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C1152E">
      <w:pPr>
        <w:snapToGrid w:val="0"/>
        <w:spacing w:line="360" w:lineRule="auto"/>
        <w:jc w:val="center"/>
        <w:rPr>
          <w:rFonts w:ascii="宋体" w:hAnsi="宋体"/>
          <w:b/>
          <w:sz w:val="52"/>
          <w:szCs w:val="52"/>
        </w:rPr>
      </w:pPr>
    </w:p>
    <w:p w14:paraId="13A81832">
      <w:pPr>
        <w:snapToGrid w:val="0"/>
        <w:spacing w:line="360" w:lineRule="auto"/>
        <w:jc w:val="center"/>
        <w:rPr>
          <w:rFonts w:ascii="宋体" w:hAnsi="宋体"/>
          <w:b/>
          <w:sz w:val="52"/>
          <w:szCs w:val="52"/>
        </w:rPr>
      </w:pPr>
    </w:p>
    <w:p w14:paraId="6840B716">
      <w:pPr>
        <w:snapToGrid w:val="0"/>
        <w:spacing w:line="360" w:lineRule="auto"/>
        <w:jc w:val="center"/>
        <w:rPr>
          <w:rFonts w:ascii="宋体" w:hAnsi="宋体"/>
          <w:b/>
          <w:sz w:val="52"/>
          <w:szCs w:val="52"/>
        </w:rPr>
      </w:pPr>
    </w:p>
    <w:p w14:paraId="15EE2DB7">
      <w:pPr>
        <w:snapToGrid w:val="0"/>
        <w:spacing w:line="360" w:lineRule="auto"/>
        <w:jc w:val="center"/>
        <w:rPr>
          <w:rFonts w:ascii="宋体" w:hAnsi="宋体"/>
          <w:b/>
          <w:sz w:val="52"/>
          <w:szCs w:val="52"/>
        </w:rPr>
      </w:pPr>
    </w:p>
    <w:p w14:paraId="59FFB52F">
      <w:pPr>
        <w:snapToGrid w:val="0"/>
        <w:spacing w:line="360" w:lineRule="auto"/>
        <w:jc w:val="center"/>
        <w:rPr>
          <w:rFonts w:hint="eastAsia" w:ascii="宋体" w:hAnsi="宋体"/>
          <w:b/>
          <w:sz w:val="52"/>
          <w:szCs w:val="52"/>
        </w:rPr>
      </w:pPr>
      <w:bookmarkStart w:id="83" w:name="_GoBack"/>
      <w:r>
        <w:rPr>
          <w:rFonts w:hint="eastAsia" w:ascii="宋体" w:hAnsi="宋体"/>
          <w:b/>
          <w:sz w:val="56"/>
          <w:szCs w:val="44"/>
        </w:rPr>
        <w:t>桦南县</w:t>
      </w:r>
      <w:r>
        <w:rPr>
          <w:rFonts w:hint="eastAsia" w:ascii="宋体" w:hAnsi="宋体"/>
          <w:b/>
          <w:sz w:val="52"/>
          <w:szCs w:val="52"/>
        </w:rPr>
        <w:t>危险化学品生产安全</w:t>
      </w:r>
    </w:p>
    <w:p w14:paraId="714FACDF">
      <w:pPr>
        <w:snapToGrid w:val="0"/>
        <w:spacing w:line="360" w:lineRule="auto"/>
        <w:jc w:val="center"/>
        <w:rPr>
          <w:rFonts w:ascii="宋体" w:hAnsi="宋体"/>
          <w:b/>
          <w:sz w:val="52"/>
          <w:szCs w:val="52"/>
        </w:rPr>
      </w:pPr>
      <w:r>
        <w:rPr>
          <w:rFonts w:hint="eastAsia" w:ascii="宋体" w:hAnsi="宋体"/>
          <w:b/>
          <w:sz w:val="52"/>
          <w:szCs w:val="52"/>
        </w:rPr>
        <w:t>事故应急预案</w:t>
      </w:r>
      <w:bookmarkEnd w:id="83"/>
    </w:p>
    <w:p w14:paraId="03618D50">
      <w:pPr>
        <w:snapToGrid w:val="0"/>
        <w:spacing w:line="360" w:lineRule="auto"/>
        <w:ind w:firstLine="560" w:firstLineChars="200"/>
        <w:rPr>
          <w:rFonts w:ascii="宋体" w:hAnsi="宋体"/>
          <w:sz w:val="11"/>
          <w:szCs w:val="11"/>
        </w:rPr>
      </w:pPr>
      <w:r>
        <w:rPr>
          <w:rFonts w:hint="eastAsia" w:ascii="宋体" w:hAnsi="宋体"/>
          <w:sz w:val="28"/>
          <w:szCs w:val="28"/>
        </w:rPr>
        <w:t>　　</w:t>
      </w:r>
    </w:p>
    <w:p w14:paraId="33B3D1A5">
      <w:pPr>
        <w:spacing w:line="360" w:lineRule="auto"/>
        <w:jc w:val="left"/>
        <w:rPr>
          <w:rFonts w:ascii="宋体" w:hAnsi="宋体"/>
          <w:sz w:val="32"/>
          <w:szCs w:val="32"/>
        </w:rPr>
      </w:pPr>
    </w:p>
    <w:p w14:paraId="1B8BFFF5">
      <w:pPr>
        <w:spacing w:line="360" w:lineRule="auto"/>
        <w:jc w:val="left"/>
        <w:rPr>
          <w:rFonts w:ascii="宋体" w:hAnsi="宋体"/>
          <w:sz w:val="44"/>
          <w:szCs w:val="44"/>
        </w:rPr>
      </w:pPr>
    </w:p>
    <w:p w14:paraId="1A8A4624">
      <w:pPr>
        <w:spacing w:line="360" w:lineRule="auto"/>
        <w:jc w:val="left"/>
        <w:rPr>
          <w:rFonts w:ascii="宋体" w:hAnsi="宋体"/>
          <w:sz w:val="44"/>
          <w:szCs w:val="44"/>
        </w:rPr>
      </w:pPr>
    </w:p>
    <w:p w14:paraId="181D7D58">
      <w:pPr>
        <w:spacing w:line="360" w:lineRule="auto"/>
        <w:jc w:val="left"/>
        <w:rPr>
          <w:rFonts w:ascii="宋体" w:hAnsi="宋体"/>
          <w:sz w:val="44"/>
          <w:szCs w:val="44"/>
        </w:rPr>
      </w:pPr>
    </w:p>
    <w:p w14:paraId="0541CB83">
      <w:pPr>
        <w:spacing w:line="360" w:lineRule="auto"/>
        <w:jc w:val="left"/>
        <w:rPr>
          <w:rFonts w:ascii="宋体" w:hAnsi="宋体"/>
          <w:sz w:val="44"/>
          <w:szCs w:val="44"/>
        </w:rPr>
      </w:pPr>
    </w:p>
    <w:p w14:paraId="4136E56A">
      <w:pPr>
        <w:spacing w:line="360" w:lineRule="auto"/>
        <w:jc w:val="left"/>
        <w:rPr>
          <w:rFonts w:ascii="宋体" w:hAnsi="宋体"/>
          <w:sz w:val="44"/>
          <w:szCs w:val="44"/>
        </w:rPr>
      </w:pPr>
    </w:p>
    <w:p w14:paraId="7B2A7322">
      <w:pPr>
        <w:spacing w:line="360" w:lineRule="auto"/>
        <w:jc w:val="left"/>
        <w:rPr>
          <w:rFonts w:ascii="宋体" w:hAnsi="宋体"/>
          <w:sz w:val="44"/>
          <w:szCs w:val="44"/>
        </w:rPr>
      </w:pPr>
    </w:p>
    <w:p w14:paraId="5D0866EE">
      <w:pPr>
        <w:spacing w:line="360" w:lineRule="auto"/>
        <w:jc w:val="left"/>
        <w:rPr>
          <w:rFonts w:ascii="宋体" w:hAnsi="宋体"/>
          <w:sz w:val="44"/>
          <w:szCs w:val="44"/>
        </w:rPr>
      </w:pPr>
    </w:p>
    <w:p w14:paraId="6EA41D84">
      <w:pPr>
        <w:spacing w:line="360" w:lineRule="auto"/>
        <w:jc w:val="left"/>
        <w:rPr>
          <w:rFonts w:ascii="宋体" w:hAnsi="宋体"/>
          <w:sz w:val="44"/>
          <w:szCs w:val="44"/>
        </w:rPr>
      </w:pPr>
    </w:p>
    <w:p w14:paraId="65B169B1">
      <w:pPr>
        <w:spacing w:line="360" w:lineRule="auto"/>
        <w:jc w:val="center"/>
        <w:rPr>
          <w:rFonts w:ascii="宋体" w:hAnsi="宋体"/>
          <w:b/>
          <w:kern w:val="0"/>
          <w:sz w:val="28"/>
          <w:szCs w:val="28"/>
        </w:rPr>
      </w:pPr>
    </w:p>
    <w:p w14:paraId="725F7497">
      <w:pPr>
        <w:spacing w:line="360" w:lineRule="auto"/>
        <w:jc w:val="center"/>
        <w:rPr>
          <w:rFonts w:ascii="宋体" w:hAnsi="宋体"/>
          <w:b/>
          <w:kern w:val="0"/>
          <w:sz w:val="28"/>
          <w:szCs w:val="28"/>
        </w:rPr>
      </w:pPr>
    </w:p>
    <w:p w14:paraId="7B05B3FE">
      <w:pPr>
        <w:widowControl/>
        <w:jc w:val="left"/>
        <w:rPr>
          <w:rFonts w:ascii="宋体" w:hAnsi="宋体"/>
          <w:b/>
          <w:kern w:val="0"/>
          <w:sz w:val="28"/>
          <w:szCs w:val="28"/>
        </w:rPr>
      </w:pPr>
      <w:r>
        <w:rPr>
          <w:rFonts w:ascii="宋体" w:hAnsi="宋体"/>
          <w:b/>
          <w:kern w:val="0"/>
          <w:sz w:val="28"/>
          <w:szCs w:val="28"/>
        </w:rPr>
        <w:br w:type="page"/>
      </w:r>
    </w:p>
    <w:p w14:paraId="7FF3E4EF">
      <w:pPr>
        <w:spacing w:line="360" w:lineRule="auto"/>
        <w:jc w:val="center"/>
        <w:rPr>
          <w:rFonts w:ascii="宋体" w:hAnsi="宋体"/>
          <w:b/>
          <w:kern w:val="0"/>
          <w:sz w:val="28"/>
          <w:szCs w:val="28"/>
        </w:rPr>
      </w:pPr>
      <w:r>
        <w:rPr>
          <w:rFonts w:ascii="宋体" w:hAnsi="宋体"/>
          <w:b/>
          <w:kern w:val="0"/>
          <w:sz w:val="28"/>
          <w:szCs w:val="28"/>
        </w:rPr>
        <w:t>目录</w:t>
      </w:r>
    </w:p>
    <w:p w14:paraId="75233B8C">
      <w:pPr>
        <w:pStyle w:val="9"/>
        <w:rPr>
          <w:rFonts w:asciiTheme="minorHAnsi" w:hAnsiTheme="minorHAnsi" w:eastAsiaTheme="minorEastAsia" w:cstheme="minorBidi"/>
        </w:rPr>
      </w:pPr>
      <w:r>
        <w:rPr>
          <w:rFonts w:ascii="宋体" w:hAnsi="宋体"/>
          <w:kern w:val="0"/>
          <w:sz w:val="32"/>
          <w:szCs w:val="32"/>
        </w:rPr>
        <w:fldChar w:fldCharType="begin"/>
      </w:r>
      <w:r>
        <w:rPr>
          <w:rFonts w:ascii="宋体" w:hAnsi="宋体"/>
          <w:kern w:val="0"/>
          <w:sz w:val="32"/>
          <w:szCs w:val="32"/>
        </w:rPr>
        <w:instrText xml:space="preserve"> TOC \o "1-3" \h \z \u </w:instrText>
      </w:r>
      <w:r>
        <w:rPr>
          <w:rFonts w:ascii="宋体" w:hAnsi="宋体"/>
          <w:kern w:val="0"/>
          <w:sz w:val="32"/>
          <w:szCs w:val="32"/>
        </w:rPr>
        <w:fldChar w:fldCharType="separate"/>
      </w:r>
      <w:r>
        <w:fldChar w:fldCharType="begin"/>
      </w:r>
      <w:r>
        <w:instrText xml:space="preserve"> HYPERLINK \l "_Toc184287564" </w:instrText>
      </w:r>
      <w:r>
        <w:fldChar w:fldCharType="separate"/>
      </w:r>
      <w:r>
        <w:rPr>
          <w:rStyle w:val="15"/>
          <w:rFonts w:hint="eastAsia" w:ascii="宋体" w:hAnsi="宋体"/>
        </w:rPr>
        <w:t>一、总则</w:t>
      </w:r>
      <w:r>
        <w:tab/>
      </w:r>
      <w:r>
        <w:fldChar w:fldCharType="begin"/>
      </w:r>
      <w:r>
        <w:instrText xml:space="preserve"> PAGEREF _Toc184287564 \h </w:instrText>
      </w:r>
      <w:r>
        <w:fldChar w:fldCharType="separate"/>
      </w:r>
      <w:r>
        <w:t>4</w:t>
      </w:r>
      <w:r>
        <w:fldChar w:fldCharType="end"/>
      </w:r>
      <w:r>
        <w:fldChar w:fldCharType="end"/>
      </w:r>
    </w:p>
    <w:p w14:paraId="63B05827">
      <w:pPr>
        <w:pStyle w:val="10"/>
        <w:tabs>
          <w:tab w:val="right" w:leader="dot" w:pos="8296"/>
        </w:tabs>
        <w:rPr>
          <w:rFonts w:asciiTheme="minorHAnsi" w:hAnsiTheme="minorHAnsi" w:eastAsiaTheme="minorEastAsia" w:cstheme="minorBidi"/>
        </w:rPr>
      </w:pPr>
      <w:r>
        <w:fldChar w:fldCharType="begin"/>
      </w:r>
      <w:r>
        <w:instrText xml:space="preserve"> HYPERLINK \l "_Toc184287565" </w:instrText>
      </w:r>
      <w:r>
        <w:fldChar w:fldCharType="separate"/>
      </w:r>
      <w:r>
        <w:rPr>
          <w:rStyle w:val="15"/>
          <w:rFonts w:hint="eastAsia" w:ascii="宋体" w:hAnsi="宋体"/>
          <w:kern w:val="0"/>
        </w:rPr>
        <w:t>（一）编制目的</w:t>
      </w:r>
      <w:r>
        <w:tab/>
      </w:r>
      <w:r>
        <w:fldChar w:fldCharType="begin"/>
      </w:r>
      <w:r>
        <w:instrText xml:space="preserve"> PAGEREF _Toc184287565 \h </w:instrText>
      </w:r>
      <w:r>
        <w:fldChar w:fldCharType="separate"/>
      </w:r>
      <w:r>
        <w:t>4</w:t>
      </w:r>
      <w:r>
        <w:fldChar w:fldCharType="end"/>
      </w:r>
      <w:r>
        <w:fldChar w:fldCharType="end"/>
      </w:r>
    </w:p>
    <w:p w14:paraId="7F32B864">
      <w:pPr>
        <w:pStyle w:val="10"/>
        <w:tabs>
          <w:tab w:val="right" w:leader="dot" w:pos="8296"/>
        </w:tabs>
        <w:rPr>
          <w:rFonts w:asciiTheme="minorHAnsi" w:hAnsiTheme="minorHAnsi" w:eastAsiaTheme="minorEastAsia" w:cstheme="minorBidi"/>
        </w:rPr>
      </w:pPr>
      <w:r>
        <w:fldChar w:fldCharType="begin"/>
      </w:r>
      <w:r>
        <w:instrText xml:space="preserve"> HYPERLINK \l "_Toc184287566" </w:instrText>
      </w:r>
      <w:r>
        <w:fldChar w:fldCharType="separate"/>
      </w:r>
      <w:r>
        <w:rPr>
          <w:rStyle w:val="15"/>
          <w:rFonts w:hint="eastAsia" w:ascii="宋体" w:hAnsi="宋体"/>
          <w:kern w:val="0"/>
        </w:rPr>
        <w:t>（二）编制依据</w:t>
      </w:r>
      <w:r>
        <w:tab/>
      </w:r>
      <w:r>
        <w:fldChar w:fldCharType="begin"/>
      </w:r>
      <w:r>
        <w:instrText xml:space="preserve"> PAGEREF _Toc184287566 \h </w:instrText>
      </w:r>
      <w:r>
        <w:fldChar w:fldCharType="separate"/>
      </w:r>
      <w:r>
        <w:t>4</w:t>
      </w:r>
      <w:r>
        <w:fldChar w:fldCharType="end"/>
      </w:r>
      <w:r>
        <w:fldChar w:fldCharType="end"/>
      </w:r>
    </w:p>
    <w:p w14:paraId="57D8C791">
      <w:pPr>
        <w:pStyle w:val="10"/>
        <w:tabs>
          <w:tab w:val="right" w:leader="dot" w:pos="8296"/>
        </w:tabs>
        <w:rPr>
          <w:rFonts w:asciiTheme="minorHAnsi" w:hAnsiTheme="minorHAnsi" w:eastAsiaTheme="minorEastAsia" w:cstheme="minorBidi"/>
        </w:rPr>
      </w:pPr>
      <w:r>
        <w:fldChar w:fldCharType="begin"/>
      </w:r>
      <w:r>
        <w:instrText xml:space="preserve"> HYPERLINK \l "_Toc184287567" </w:instrText>
      </w:r>
      <w:r>
        <w:fldChar w:fldCharType="separate"/>
      </w:r>
      <w:r>
        <w:rPr>
          <w:rStyle w:val="15"/>
          <w:rFonts w:hint="eastAsia" w:ascii="宋体" w:hAnsi="宋体"/>
          <w:kern w:val="0"/>
        </w:rPr>
        <w:t>（三）工作原则</w:t>
      </w:r>
      <w:r>
        <w:tab/>
      </w:r>
      <w:r>
        <w:fldChar w:fldCharType="begin"/>
      </w:r>
      <w:r>
        <w:instrText xml:space="preserve"> PAGEREF _Toc184287567 \h </w:instrText>
      </w:r>
      <w:r>
        <w:fldChar w:fldCharType="separate"/>
      </w:r>
      <w:r>
        <w:t>4</w:t>
      </w:r>
      <w:r>
        <w:fldChar w:fldCharType="end"/>
      </w:r>
      <w:r>
        <w:fldChar w:fldCharType="end"/>
      </w:r>
    </w:p>
    <w:p w14:paraId="326CED74">
      <w:pPr>
        <w:pStyle w:val="10"/>
        <w:tabs>
          <w:tab w:val="right" w:leader="dot" w:pos="8296"/>
        </w:tabs>
        <w:rPr>
          <w:rFonts w:asciiTheme="minorHAnsi" w:hAnsiTheme="minorHAnsi" w:eastAsiaTheme="minorEastAsia" w:cstheme="minorBidi"/>
        </w:rPr>
      </w:pPr>
      <w:r>
        <w:fldChar w:fldCharType="begin"/>
      </w:r>
      <w:r>
        <w:instrText xml:space="preserve"> HYPERLINK \l "_Toc184287568" </w:instrText>
      </w:r>
      <w:r>
        <w:fldChar w:fldCharType="separate"/>
      </w:r>
      <w:r>
        <w:rPr>
          <w:rStyle w:val="15"/>
          <w:rFonts w:hint="eastAsia" w:ascii="宋体" w:hAnsi="宋体"/>
          <w:kern w:val="0"/>
        </w:rPr>
        <w:t>（四）适用范围</w:t>
      </w:r>
      <w:r>
        <w:tab/>
      </w:r>
      <w:r>
        <w:fldChar w:fldCharType="begin"/>
      </w:r>
      <w:r>
        <w:instrText xml:space="preserve"> PAGEREF _Toc184287568 \h </w:instrText>
      </w:r>
      <w:r>
        <w:fldChar w:fldCharType="separate"/>
      </w:r>
      <w:r>
        <w:t>5</w:t>
      </w:r>
      <w:r>
        <w:fldChar w:fldCharType="end"/>
      </w:r>
      <w:r>
        <w:fldChar w:fldCharType="end"/>
      </w:r>
    </w:p>
    <w:p w14:paraId="17DE4493">
      <w:pPr>
        <w:pStyle w:val="9"/>
        <w:rPr>
          <w:rFonts w:asciiTheme="minorHAnsi" w:hAnsiTheme="minorHAnsi" w:eastAsiaTheme="minorEastAsia" w:cstheme="minorBidi"/>
        </w:rPr>
      </w:pPr>
      <w:r>
        <w:fldChar w:fldCharType="begin"/>
      </w:r>
      <w:r>
        <w:instrText xml:space="preserve"> HYPERLINK \l "_Toc184287569" </w:instrText>
      </w:r>
      <w:r>
        <w:fldChar w:fldCharType="separate"/>
      </w:r>
      <w:r>
        <w:rPr>
          <w:rStyle w:val="15"/>
          <w:rFonts w:hint="eastAsia" w:ascii="宋体" w:hAnsi="宋体"/>
        </w:rPr>
        <w:t>二、组织领导机制</w:t>
      </w:r>
      <w:r>
        <w:tab/>
      </w:r>
      <w:r>
        <w:fldChar w:fldCharType="begin"/>
      </w:r>
      <w:r>
        <w:instrText xml:space="preserve"> PAGEREF _Toc184287569 \h </w:instrText>
      </w:r>
      <w:r>
        <w:fldChar w:fldCharType="separate"/>
      </w:r>
      <w:r>
        <w:t>5</w:t>
      </w:r>
      <w:r>
        <w:fldChar w:fldCharType="end"/>
      </w:r>
      <w:r>
        <w:fldChar w:fldCharType="end"/>
      </w:r>
    </w:p>
    <w:p w14:paraId="44F96F2E">
      <w:pPr>
        <w:pStyle w:val="10"/>
        <w:tabs>
          <w:tab w:val="right" w:leader="dot" w:pos="8296"/>
        </w:tabs>
        <w:rPr>
          <w:rFonts w:asciiTheme="minorHAnsi" w:hAnsiTheme="minorHAnsi" w:eastAsiaTheme="minorEastAsia" w:cstheme="minorBidi"/>
        </w:rPr>
      </w:pPr>
      <w:r>
        <w:fldChar w:fldCharType="begin"/>
      </w:r>
      <w:r>
        <w:instrText xml:space="preserve"> HYPERLINK \l "_Toc184287570" </w:instrText>
      </w:r>
      <w:r>
        <w:fldChar w:fldCharType="separate"/>
      </w:r>
      <w:r>
        <w:rPr>
          <w:rStyle w:val="15"/>
          <w:rFonts w:hint="eastAsia" w:ascii="宋体" w:hAnsi="宋体"/>
          <w:kern w:val="0"/>
        </w:rPr>
        <w:t>（一）应急指挥</w:t>
      </w:r>
      <w:r>
        <w:tab/>
      </w:r>
      <w:r>
        <w:fldChar w:fldCharType="begin"/>
      </w:r>
      <w:r>
        <w:instrText xml:space="preserve"> PAGEREF _Toc184287570 \h </w:instrText>
      </w:r>
      <w:r>
        <w:fldChar w:fldCharType="separate"/>
      </w:r>
      <w:r>
        <w:t>5</w:t>
      </w:r>
      <w:r>
        <w:fldChar w:fldCharType="end"/>
      </w:r>
      <w:r>
        <w:fldChar w:fldCharType="end"/>
      </w:r>
    </w:p>
    <w:p w14:paraId="302AFEE5">
      <w:pPr>
        <w:pStyle w:val="10"/>
        <w:tabs>
          <w:tab w:val="right" w:leader="dot" w:pos="8296"/>
        </w:tabs>
        <w:rPr>
          <w:rFonts w:asciiTheme="minorHAnsi" w:hAnsiTheme="minorHAnsi" w:eastAsiaTheme="minorEastAsia" w:cstheme="minorBidi"/>
        </w:rPr>
      </w:pPr>
      <w:r>
        <w:fldChar w:fldCharType="begin"/>
      </w:r>
      <w:r>
        <w:instrText xml:space="preserve"> HYPERLINK \l "_Toc184287571" </w:instrText>
      </w:r>
      <w:r>
        <w:fldChar w:fldCharType="separate"/>
      </w:r>
      <w:r>
        <w:rPr>
          <w:rStyle w:val="15"/>
          <w:rFonts w:hint="eastAsia" w:ascii="宋体" w:hAnsi="宋体"/>
          <w:kern w:val="0"/>
        </w:rPr>
        <w:t>（二）应急救援机构及职责</w:t>
      </w:r>
      <w:r>
        <w:tab/>
      </w:r>
      <w:r>
        <w:fldChar w:fldCharType="begin"/>
      </w:r>
      <w:r>
        <w:instrText xml:space="preserve"> PAGEREF _Toc184287571 \h </w:instrText>
      </w:r>
      <w:r>
        <w:fldChar w:fldCharType="separate"/>
      </w:r>
      <w:r>
        <w:t>6</w:t>
      </w:r>
      <w:r>
        <w:fldChar w:fldCharType="end"/>
      </w:r>
      <w:r>
        <w:fldChar w:fldCharType="end"/>
      </w:r>
    </w:p>
    <w:p w14:paraId="7C816018">
      <w:pPr>
        <w:pStyle w:val="9"/>
        <w:rPr>
          <w:rFonts w:asciiTheme="minorHAnsi" w:hAnsiTheme="minorHAnsi" w:eastAsiaTheme="minorEastAsia" w:cstheme="minorBidi"/>
        </w:rPr>
      </w:pPr>
      <w:r>
        <w:fldChar w:fldCharType="begin"/>
      </w:r>
      <w:r>
        <w:instrText xml:space="preserve"> HYPERLINK \l "_Toc184287572" </w:instrText>
      </w:r>
      <w:r>
        <w:fldChar w:fldCharType="separate"/>
      </w:r>
      <w:r>
        <w:rPr>
          <w:rStyle w:val="15"/>
          <w:rFonts w:hint="eastAsia" w:ascii="宋体" w:hAnsi="宋体"/>
          <w:kern w:val="0"/>
        </w:rPr>
        <w:t>三、危险化学品生产安全事故风险分析及控制</w:t>
      </w:r>
      <w:r>
        <w:tab/>
      </w:r>
      <w:r>
        <w:fldChar w:fldCharType="begin"/>
      </w:r>
      <w:r>
        <w:instrText xml:space="preserve"> PAGEREF _Toc184287572 \h </w:instrText>
      </w:r>
      <w:r>
        <w:fldChar w:fldCharType="separate"/>
      </w:r>
      <w:r>
        <w:t>12</w:t>
      </w:r>
      <w:r>
        <w:fldChar w:fldCharType="end"/>
      </w:r>
      <w:r>
        <w:fldChar w:fldCharType="end"/>
      </w:r>
    </w:p>
    <w:p w14:paraId="0A506ECF">
      <w:pPr>
        <w:pStyle w:val="10"/>
        <w:tabs>
          <w:tab w:val="right" w:leader="dot" w:pos="8296"/>
        </w:tabs>
        <w:rPr>
          <w:rFonts w:asciiTheme="minorHAnsi" w:hAnsiTheme="minorHAnsi" w:eastAsiaTheme="minorEastAsia" w:cstheme="minorBidi"/>
        </w:rPr>
      </w:pPr>
      <w:r>
        <w:fldChar w:fldCharType="begin"/>
      </w:r>
      <w:r>
        <w:instrText xml:space="preserve"> HYPERLINK \l "_Toc184287573" </w:instrText>
      </w:r>
      <w:r>
        <w:fldChar w:fldCharType="separate"/>
      </w:r>
      <w:r>
        <w:rPr>
          <w:rStyle w:val="15"/>
          <w:rFonts w:hint="eastAsia" w:ascii="宋体" w:hAnsi="宋体"/>
          <w:kern w:val="0"/>
        </w:rPr>
        <w:t>（一）现状及风险分析</w:t>
      </w:r>
      <w:r>
        <w:tab/>
      </w:r>
      <w:r>
        <w:fldChar w:fldCharType="begin"/>
      </w:r>
      <w:r>
        <w:instrText xml:space="preserve"> PAGEREF _Toc184287573 \h </w:instrText>
      </w:r>
      <w:r>
        <w:fldChar w:fldCharType="separate"/>
      </w:r>
      <w:r>
        <w:t>13</w:t>
      </w:r>
      <w:r>
        <w:fldChar w:fldCharType="end"/>
      </w:r>
      <w:r>
        <w:fldChar w:fldCharType="end"/>
      </w:r>
    </w:p>
    <w:p w14:paraId="4AB7B8DD">
      <w:pPr>
        <w:pStyle w:val="10"/>
        <w:tabs>
          <w:tab w:val="right" w:leader="dot" w:pos="8296"/>
        </w:tabs>
        <w:rPr>
          <w:rFonts w:asciiTheme="minorHAnsi" w:hAnsiTheme="minorHAnsi" w:eastAsiaTheme="minorEastAsia" w:cstheme="minorBidi"/>
        </w:rPr>
      </w:pPr>
      <w:r>
        <w:fldChar w:fldCharType="begin"/>
      </w:r>
      <w:r>
        <w:instrText xml:space="preserve"> HYPERLINK \l "_Toc184287574" </w:instrText>
      </w:r>
      <w:r>
        <w:fldChar w:fldCharType="separate"/>
      </w:r>
      <w:r>
        <w:rPr>
          <w:rStyle w:val="15"/>
          <w:rFonts w:hint="eastAsia" w:ascii="宋体" w:hAnsi="宋体"/>
          <w:kern w:val="0"/>
        </w:rPr>
        <w:t>（二）危险化学品生产安全事故分类</w:t>
      </w:r>
      <w:r>
        <w:tab/>
      </w:r>
      <w:r>
        <w:fldChar w:fldCharType="begin"/>
      </w:r>
      <w:r>
        <w:instrText xml:space="preserve"> PAGEREF _Toc184287574 \h </w:instrText>
      </w:r>
      <w:r>
        <w:fldChar w:fldCharType="separate"/>
      </w:r>
      <w:r>
        <w:t>13</w:t>
      </w:r>
      <w:r>
        <w:fldChar w:fldCharType="end"/>
      </w:r>
      <w:r>
        <w:fldChar w:fldCharType="end"/>
      </w:r>
    </w:p>
    <w:p w14:paraId="053BE2EF">
      <w:pPr>
        <w:pStyle w:val="10"/>
        <w:tabs>
          <w:tab w:val="right" w:leader="dot" w:pos="8296"/>
        </w:tabs>
        <w:rPr>
          <w:rFonts w:asciiTheme="minorHAnsi" w:hAnsiTheme="minorHAnsi" w:eastAsiaTheme="minorEastAsia" w:cstheme="minorBidi"/>
        </w:rPr>
      </w:pPr>
      <w:r>
        <w:fldChar w:fldCharType="begin"/>
      </w:r>
      <w:r>
        <w:instrText xml:space="preserve"> HYPERLINK \l "_Toc184287575" </w:instrText>
      </w:r>
      <w:r>
        <w:fldChar w:fldCharType="separate"/>
      </w:r>
      <w:r>
        <w:rPr>
          <w:rStyle w:val="15"/>
          <w:rFonts w:hint="eastAsia" w:ascii="宋体" w:hAnsi="宋体"/>
          <w:kern w:val="0"/>
        </w:rPr>
        <w:t>（三）事故分级</w:t>
      </w:r>
      <w:r>
        <w:tab/>
      </w:r>
      <w:r>
        <w:fldChar w:fldCharType="begin"/>
      </w:r>
      <w:r>
        <w:instrText xml:space="preserve"> PAGEREF _Toc184287575 \h </w:instrText>
      </w:r>
      <w:r>
        <w:fldChar w:fldCharType="separate"/>
      </w:r>
      <w:r>
        <w:t>14</w:t>
      </w:r>
      <w:r>
        <w:fldChar w:fldCharType="end"/>
      </w:r>
      <w:r>
        <w:fldChar w:fldCharType="end"/>
      </w:r>
    </w:p>
    <w:p w14:paraId="657DACD6">
      <w:pPr>
        <w:pStyle w:val="10"/>
        <w:tabs>
          <w:tab w:val="right" w:leader="dot" w:pos="8296"/>
        </w:tabs>
        <w:rPr>
          <w:rFonts w:asciiTheme="minorHAnsi" w:hAnsiTheme="minorHAnsi" w:eastAsiaTheme="minorEastAsia" w:cstheme="minorBidi"/>
        </w:rPr>
      </w:pPr>
      <w:r>
        <w:fldChar w:fldCharType="begin"/>
      </w:r>
      <w:r>
        <w:instrText xml:space="preserve"> HYPERLINK \l "_Toc184287576" </w:instrText>
      </w:r>
      <w:r>
        <w:fldChar w:fldCharType="separate"/>
      </w:r>
      <w:r>
        <w:rPr>
          <w:rStyle w:val="15"/>
          <w:rFonts w:hint="eastAsia" w:ascii="宋体" w:hAnsi="宋体"/>
          <w:kern w:val="0"/>
        </w:rPr>
        <w:t>（四）风险控制措施</w:t>
      </w:r>
      <w:r>
        <w:tab/>
      </w:r>
      <w:r>
        <w:fldChar w:fldCharType="begin"/>
      </w:r>
      <w:r>
        <w:instrText xml:space="preserve"> PAGEREF _Toc184287576 \h </w:instrText>
      </w:r>
      <w:r>
        <w:fldChar w:fldCharType="separate"/>
      </w:r>
      <w:r>
        <w:t>14</w:t>
      </w:r>
      <w:r>
        <w:fldChar w:fldCharType="end"/>
      </w:r>
      <w:r>
        <w:fldChar w:fldCharType="end"/>
      </w:r>
    </w:p>
    <w:p w14:paraId="215C688F">
      <w:pPr>
        <w:pStyle w:val="9"/>
        <w:rPr>
          <w:rFonts w:asciiTheme="minorHAnsi" w:hAnsiTheme="minorHAnsi" w:eastAsiaTheme="minorEastAsia" w:cstheme="minorBidi"/>
        </w:rPr>
      </w:pPr>
      <w:r>
        <w:fldChar w:fldCharType="begin"/>
      </w:r>
      <w:r>
        <w:instrText xml:space="preserve"> HYPERLINK \l "_Toc184287577" </w:instrText>
      </w:r>
      <w:r>
        <w:fldChar w:fldCharType="separate"/>
      </w:r>
      <w:r>
        <w:rPr>
          <w:rStyle w:val="15"/>
          <w:rFonts w:hint="eastAsia" w:ascii="宋体" w:hAnsi="宋体"/>
        </w:rPr>
        <w:t>四、事故风险监测与预警</w:t>
      </w:r>
      <w:r>
        <w:tab/>
      </w:r>
      <w:r>
        <w:fldChar w:fldCharType="begin"/>
      </w:r>
      <w:r>
        <w:instrText xml:space="preserve"> PAGEREF _Toc184287577 \h </w:instrText>
      </w:r>
      <w:r>
        <w:fldChar w:fldCharType="separate"/>
      </w:r>
      <w:r>
        <w:t>15</w:t>
      </w:r>
      <w:r>
        <w:fldChar w:fldCharType="end"/>
      </w:r>
      <w:r>
        <w:fldChar w:fldCharType="end"/>
      </w:r>
    </w:p>
    <w:p w14:paraId="7123EF1E">
      <w:pPr>
        <w:pStyle w:val="10"/>
        <w:tabs>
          <w:tab w:val="right" w:leader="dot" w:pos="8296"/>
        </w:tabs>
        <w:rPr>
          <w:rFonts w:asciiTheme="minorHAnsi" w:hAnsiTheme="minorHAnsi" w:eastAsiaTheme="minorEastAsia" w:cstheme="minorBidi"/>
        </w:rPr>
      </w:pPr>
      <w:r>
        <w:fldChar w:fldCharType="begin"/>
      </w:r>
      <w:r>
        <w:instrText xml:space="preserve"> HYPERLINK \l "_Toc184287578" </w:instrText>
      </w:r>
      <w:r>
        <w:fldChar w:fldCharType="separate"/>
      </w:r>
      <w:r>
        <w:rPr>
          <w:rStyle w:val="15"/>
          <w:rFonts w:hint="eastAsia" w:ascii="宋体" w:hAnsi="宋体"/>
          <w:kern w:val="0"/>
        </w:rPr>
        <w:t>（一）事故风险监测</w:t>
      </w:r>
      <w:r>
        <w:tab/>
      </w:r>
      <w:r>
        <w:fldChar w:fldCharType="begin"/>
      </w:r>
      <w:r>
        <w:instrText xml:space="preserve"> PAGEREF _Toc184287578 \h </w:instrText>
      </w:r>
      <w:r>
        <w:fldChar w:fldCharType="separate"/>
      </w:r>
      <w:r>
        <w:t>15</w:t>
      </w:r>
      <w:r>
        <w:fldChar w:fldCharType="end"/>
      </w:r>
      <w:r>
        <w:fldChar w:fldCharType="end"/>
      </w:r>
    </w:p>
    <w:p w14:paraId="0A994272">
      <w:pPr>
        <w:pStyle w:val="10"/>
        <w:tabs>
          <w:tab w:val="right" w:leader="dot" w:pos="8296"/>
        </w:tabs>
        <w:rPr>
          <w:rFonts w:asciiTheme="minorHAnsi" w:hAnsiTheme="minorHAnsi" w:eastAsiaTheme="minorEastAsia" w:cstheme="minorBidi"/>
        </w:rPr>
      </w:pPr>
      <w:r>
        <w:fldChar w:fldCharType="begin"/>
      </w:r>
      <w:r>
        <w:instrText xml:space="preserve"> HYPERLINK \l "_Toc184287579" </w:instrText>
      </w:r>
      <w:r>
        <w:fldChar w:fldCharType="separate"/>
      </w:r>
      <w:r>
        <w:rPr>
          <w:rStyle w:val="15"/>
          <w:rFonts w:hint="eastAsia" w:ascii="宋体" w:hAnsi="宋体"/>
          <w:kern w:val="0"/>
        </w:rPr>
        <w:t>（二）事故预警</w:t>
      </w:r>
      <w:r>
        <w:tab/>
      </w:r>
      <w:r>
        <w:fldChar w:fldCharType="begin"/>
      </w:r>
      <w:r>
        <w:instrText xml:space="preserve"> PAGEREF _Toc184287579 \h </w:instrText>
      </w:r>
      <w:r>
        <w:fldChar w:fldCharType="separate"/>
      </w:r>
      <w:r>
        <w:t>16</w:t>
      </w:r>
      <w:r>
        <w:fldChar w:fldCharType="end"/>
      </w:r>
      <w:r>
        <w:fldChar w:fldCharType="end"/>
      </w:r>
    </w:p>
    <w:p w14:paraId="3496BC26">
      <w:pPr>
        <w:pStyle w:val="9"/>
        <w:rPr>
          <w:rFonts w:asciiTheme="minorHAnsi" w:hAnsiTheme="minorHAnsi" w:eastAsiaTheme="minorEastAsia" w:cstheme="minorBidi"/>
        </w:rPr>
      </w:pPr>
      <w:r>
        <w:fldChar w:fldCharType="begin"/>
      </w:r>
      <w:r>
        <w:instrText xml:space="preserve"> HYPERLINK \l "_Toc184287580" </w:instrText>
      </w:r>
      <w:r>
        <w:fldChar w:fldCharType="separate"/>
      </w:r>
      <w:r>
        <w:rPr>
          <w:rStyle w:val="15"/>
          <w:rFonts w:hint="eastAsia" w:ascii="宋体" w:hAnsi="宋体"/>
        </w:rPr>
        <w:t>五、事故信息报告</w:t>
      </w:r>
      <w:r>
        <w:tab/>
      </w:r>
      <w:r>
        <w:fldChar w:fldCharType="begin"/>
      </w:r>
      <w:r>
        <w:instrText xml:space="preserve"> PAGEREF _Toc184287580 \h </w:instrText>
      </w:r>
      <w:r>
        <w:fldChar w:fldCharType="separate"/>
      </w:r>
      <w:r>
        <w:t>19</w:t>
      </w:r>
      <w:r>
        <w:fldChar w:fldCharType="end"/>
      </w:r>
      <w:r>
        <w:fldChar w:fldCharType="end"/>
      </w:r>
    </w:p>
    <w:p w14:paraId="15BCC224">
      <w:pPr>
        <w:pStyle w:val="10"/>
        <w:tabs>
          <w:tab w:val="right" w:leader="dot" w:pos="8296"/>
        </w:tabs>
        <w:rPr>
          <w:rFonts w:asciiTheme="minorHAnsi" w:hAnsiTheme="minorHAnsi" w:eastAsiaTheme="minorEastAsia" w:cstheme="minorBidi"/>
        </w:rPr>
      </w:pPr>
      <w:r>
        <w:fldChar w:fldCharType="begin"/>
      </w:r>
      <w:r>
        <w:instrText xml:space="preserve"> HYPERLINK \l "_Toc184287581" </w:instrText>
      </w:r>
      <w:r>
        <w:fldChar w:fldCharType="separate"/>
      </w:r>
      <w:r>
        <w:rPr>
          <w:rStyle w:val="15"/>
          <w:rFonts w:hint="eastAsia" w:ascii="宋体" w:hAnsi="宋体"/>
          <w:kern w:val="0"/>
        </w:rPr>
        <w:t>（一）事故单位报告及处置</w:t>
      </w:r>
      <w:r>
        <w:tab/>
      </w:r>
      <w:r>
        <w:fldChar w:fldCharType="begin"/>
      </w:r>
      <w:r>
        <w:instrText xml:space="preserve"> PAGEREF _Toc184287581 \h </w:instrText>
      </w:r>
      <w:r>
        <w:fldChar w:fldCharType="separate"/>
      </w:r>
      <w:r>
        <w:t>19</w:t>
      </w:r>
      <w:r>
        <w:fldChar w:fldCharType="end"/>
      </w:r>
      <w:r>
        <w:fldChar w:fldCharType="end"/>
      </w:r>
    </w:p>
    <w:p w14:paraId="0570ABBC">
      <w:pPr>
        <w:pStyle w:val="10"/>
        <w:tabs>
          <w:tab w:val="right" w:leader="dot" w:pos="8296"/>
        </w:tabs>
        <w:rPr>
          <w:rFonts w:asciiTheme="minorHAnsi" w:hAnsiTheme="minorHAnsi" w:eastAsiaTheme="minorEastAsia" w:cstheme="minorBidi"/>
        </w:rPr>
      </w:pPr>
      <w:r>
        <w:fldChar w:fldCharType="begin"/>
      </w:r>
      <w:r>
        <w:instrText xml:space="preserve"> HYPERLINK \l "_Toc184287582" </w:instrText>
      </w:r>
      <w:r>
        <w:fldChar w:fldCharType="separate"/>
      </w:r>
      <w:r>
        <w:rPr>
          <w:rStyle w:val="15"/>
          <w:rFonts w:hint="eastAsia" w:ascii="宋体" w:hAnsi="宋体"/>
          <w:kern w:val="0"/>
        </w:rPr>
        <w:t>（二）事故信息上报</w:t>
      </w:r>
      <w:r>
        <w:tab/>
      </w:r>
      <w:r>
        <w:fldChar w:fldCharType="begin"/>
      </w:r>
      <w:r>
        <w:instrText xml:space="preserve"> PAGEREF _Toc184287582 \h </w:instrText>
      </w:r>
      <w:r>
        <w:fldChar w:fldCharType="separate"/>
      </w:r>
      <w:r>
        <w:t>20</w:t>
      </w:r>
      <w:r>
        <w:fldChar w:fldCharType="end"/>
      </w:r>
      <w:r>
        <w:fldChar w:fldCharType="end"/>
      </w:r>
    </w:p>
    <w:p w14:paraId="4E78F7CE">
      <w:pPr>
        <w:pStyle w:val="10"/>
        <w:tabs>
          <w:tab w:val="right" w:leader="dot" w:pos="8296"/>
        </w:tabs>
        <w:rPr>
          <w:rFonts w:asciiTheme="minorHAnsi" w:hAnsiTheme="minorHAnsi" w:eastAsiaTheme="minorEastAsia" w:cstheme="minorBidi"/>
        </w:rPr>
      </w:pPr>
      <w:r>
        <w:fldChar w:fldCharType="begin"/>
      </w:r>
      <w:r>
        <w:instrText xml:space="preserve"> HYPERLINK \l "_Toc184287583" </w:instrText>
      </w:r>
      <w:r>
        <w:fldChar w:fldCharType="separate"/>
      </w:r>
      <w:r>
        <w:rPr>
          <w:rStyle w:val="15"/>
          <w:rFonts w:hint="eastAsia" w:ascii="宋体" w:hAnsi="宋体"/>
          <w:kern w:val="0"/>
        </w:rPr>
        <w:t>（三）事故报告的主要内容</w:t>
      </w:r>
      <w:r>
        <w:tab/>
      </w:r>
      <w:r>
        <w:fldChar w:fldCharType="begin"/>
      </w:r>
      <w:r>
        <w:instrText xml:space="preserve"> PAGEREF _Toc184287583 \h </w:instrText>
      </w:r>
      <w:r>
        <w:fldChar w:fldCharType="separate"/>
      </w:r>
      <w:r>
        <w:t>20</w:t>
      </w:r>
      <w:r>
        <w:fldChar w:fldCharType="end"/>
      </w:r>
      <w:r>
        <w:fldChar w:fldCharType="end"/>
      </w:r>
    </w:p>
    <w:p w14:paraId="11C76FA2">
      <w:pPr>
        <w:pStyle w:val="9"/>
        <w:rPr>
          <w:rFonts w:asciiTheme="minorHAnsi" w:hAnsiTheme="minorHAnsi" w:eastAsiaTheme="minorEastAsia" w:cstheme="minorBidi"/>
        </w:rPr>
      </w:pPr>
      <w:r>
        <w:fldChar w:fldCharType="begin"/>
      </w:r>
      <w:r>
        <w:instrText xml:space="preserve"> HYPERLINK \l "_Toc184287584" </w:instrText>
      </w:r>
      <w:r>
        <w:fldChar w:fldCharType="separate"/>
      </w:r>
      <w:r>
        <w:rPr>
          <w:rStyle w:val="15"/>
          <w:rFonts w:hint="eastAsia" w:ascii="宋体" w:hAnsi="宋体"/>
        </w:rPr>
        <w:t>六、应急响应</w:t>
      </w:r>
      <w:r>
        <w:tab/>
      </w:r>
      <w:r>
        <w:fldChar w:fldCharType="begin"/>
      </w:r>
      <w:r>
        <w:instrText xml:space="preserve"> PAGEREF _Toc184287584 \h </w:instrText>
      </w:r>
      <w:r>
        <w:fldChar w:fldCharType="separate"/>
      </w:r>
      <w:r>
        <w:t>21</w:t>
      </w:r>
      <w:r>
        <w:fldChar w:fldCharType="end"/>
      </w:r>
      <w:r>
        <w:fldChar w:fldCharType="end"/>
      </w:r>
    </w:p>
    <w:p w14:paraId="2B124C81">
      <w:pPr>
        <w:pStyle w:val="10"/>
        <w:tabs>
          <w:tab w:val="right" w:leader="dot" w:pos="8296"/>
        </w:tabs>
        <w:rPr>
          <w:rFonts w:asciiTheme="minorHAnsi" w:hAnsiTheme="minorHAnsi" w:eastAsiaTheme="minorEastAsia" w:cstheme="minorBidi"/>
        </w:rPr>
      </w:pPr>
      <w:r>
        <w:fldChar w:fldCharType="begin"/>
      </w:r>
      <w:r>
        <w:instrText xml:space="preserve"> HYPERLINK \l "_Toc184287585" </w:instrText>
      </w:r>
      <w:r>
        <w:fldChar w:fldCharType="separate"/>
      </w:r>
      <w:r>
        <w:rPr>
          <w:rStyle w:val="15"/>
          <w:rFonts w:hint="eastAsia" w:ascii="宋体" w:hAnsi="宋体"/>
          <w:kern w:val="0"/>
        </w:rPr>
        <w:t>（一）分级响应</w:t>
      </w:r>
      <w:r>
        <w:tab/>
      </w:r>
      <w:r>
        <w:fldChar w:fldCharType="begin"/>
      </w:r>
      <w:r>
        <w:instrText xml:space="preserve"> PAGEREF _Toc184287585 \h </w:instrText>
      </w:r>
      <w:r>
        <w:fldChar w:fldCharType="separate"/>
      </w:r>
      <w:r>
        <w:t>21</w:t>
      </w:r>
      <w:r>
        <w:fldChar w:fldCharType="end"/>
      </w:r>
      <w:r>
        <w:fldChar w:fldCharType="end"/>
      </w:r>
    </w:p>
    <w:p w14:paraId="780DC29B">
      <w:pPr>
        <w:pStyle w:val="10"/>
        <w:tabs>
          <w:tab w:val="right" w:leader="dot" w:pos="8296"/>
        </w:tabs>
        <w:rPr>
          <w:rFonts w:asciiTheme="minorHAnsi" w:hAnsiTheme="minorHAnsi" w:eastAsiaTheme="minorEastAsia" w:cstheme="minorBidi"/>
        </w:rPr>
      </w:pPr>
      <w:r>
        <w:fldChar w:fldCharType="begin"/>
      </w:r>
      <w:r>
        <w:instrText xml:space="preserve"> HYPERLINK \l "_Toc184287586" </w:instrText>
      </w:r>
      <w:r>
        <w:fldChar w:fldCharType="separate"/>
      </w:r>
      <w:r>
        <w:rPr>
          <w:rStyle w:val="15"/>
          <w:rFonts w:hint="eastAsia" w:ascii="宋体" w:hAnsi="宋体"/>
          <w:kern w:val="0"/>
        </w:rPr>
        <w:t>（二）响应程序</w:t>
      </w:r>
      <w:r>
        <w:tab/>
      </w:r>
      <w:r>
        <w:fldChar w:fldCharType="begin"/>
      </w:r>
      <w:r>
        <w:instrText xml:space="preserve"> PAGEREF _Toc184287586 \h </w:instrText>
      </w:r>
      <w:r>
        <w:fldChar w:fldCharType="separate"/>
      </w:r>
      <w:r>
        <w:t>22</w:t>
      </w:r>
      <w:r>
        <w:fldChar w:fldCharType="end"/>
      </w:r>
      <w:r>
        <w:fldChar w:fldCharType="end"/>
      </w:r>
    </w:p>
    <w:p w14:paraId="42EFBB08">
      <w:pPr>
        <w:pStyle w:val="9"/>
        <w:rPr>
          <w:rFonts w:asciiTheme="minorHAnsi" w:hAnsiTheme="minorHAnsi" w:eastAsiaTheme="minorEastAsia" w:cstheme="minorBidi"/>
        </w:rPr>
      </w:pPr>
      <w:r>
        <w:fldChar w:fldCharType="begin"/>
      </w:r>
      <w:r>
        <w:instrText xml:space="preserve"> HYPERLINK \l "_Toc184287587" </w:instrText>
      </w:r>
      <w:r>
        <w:fldChar w:fldCharType="separate"/>
      </w:r>
      <w:r>
        <w:rPr>
          <w:rStyle w:val="15"/>
          <w:rFonts w:hint="eastAsia" w:ascii="宋体" w:hAnsi="宋体"/>
        </w:rPr>
        <w:t>七、应急处置</w:t>
      </w:r>
      <w:r>
        <w:tab/>
      </w:r>
      <w:r>
        <w:fldChar w:fldCharType="begin"/>
      </w:r>
      <w:r>
        <w:instrText xml:space="preserve"> PAGEREF _Toc184287587 \h </w:instrText>
      </w:r>
      <w:r>
        <w:fldChar w:fldCharType="separate"/>
      </w:r>
      <w:r>
        <w:t>24</w:t>
      </w:r>
      <w:r>
        <w:fldChar w:fldCharType="end"/>
      </w:r>
      <w:r>
        <w:fldChar w:fldCharType="end"/>
      </w:r>
    </w:p>
    <w:p w14:paraId="01E6EC04">
      <w:pPr>
        <w:pStyle w:val="10"/>
        <w:tabs>
          <w:tab w:val="right" w:leader="dot" w:pos="8296"/>
        </w:tabs>
        <w:rPr>
          <w:rFonts w:asciiTheme="minorHAnsi" w:hAnsiTheme="minorHAnsi" w:eastAsiaTheme="minorEastAsia" w:cstheme="minorBidi"/>
        </w:rPr>
      </w:pPr>
      <w:r>
        <w:fldChar w:fldCharType="begin"/>
      </w:r>
      <w:r>
        <w:instrText xml:space="preserve"> HYPERLINK \l "_Toc184287588" </w:instrText>
      </w:r>
      <w:r>
        <w:fldChar w:fldCharType="separate"/>
      </w:r>
      <w:r>
        <w:rPr>
          <w:rStyle w:val="15"/>
          <w:rFonts w:hint="eastAsia" w:ascii="宋体" w:hAnsi="宋体"/>
          <w:kern w:val="0"/>
        </w:rPr>
        <w:t>（一）先期处置</w:t>
      </w:r>
      <w:r>
        <w:tab/>
      </w:r>
      <w:r>
        <w:fldChar w:fldCharType="begin"/>
      </w:r>
      <w:r>
        <w:instrText xml:space="preserve"> PAGEREF _Toc184287588 \h </w:instrText>
      </w:r>
      <w:r>
        <w:fldChar w:fldCharType="separate"/>
      </w:r>
      <w:r>
        <w:t>24</w:t>
      </w:r>
      <w:r>
        <w:fldChar w:fldCharType="end"/>
      </w:r>
      <w:r>
        <w:fldChar w:fldCharType="end"/>
      </w:r>
    </w:p>
    <w:p w14:paraId="12F8FB38">
      <w:pPr>
        <w:pStyle w:val="10"/>
        <w:tabs>
          <w:tab w:val="right" w:leader="dot" w:pos="8296"/>
        </w:tabs>
        <w:rPr>
          <w:rFonts w:asciiTheme="minorHAnsi" w:hAnsiTheme="minorHAnsi" w:eastAsiaTheme="minorEastAsia" w:cstheme="minorBidi"/>
        </w:rPr>
      </w:pPr>
      <w:r>
        <w:fldChar w:fldCharType="begin"/>
      </w:r>
      <w:r>
        <w:instrText xml:space="preserve"> HYPERLINK \l "_Toc184287589" </w:instrText>
      </w:r>
      <w:r>
        <w:fldChar w:fldCharType="separate"/>
      </w:r>
      <w:r>
        <w:rPr>
          <w:rStyle w:val="15"/>
          <w:rFonts w:hint="eastAsia" w:ascii="宋体" w:hAnsi="宋体"/>
          <w:kern w:val="0"/>
        </w:rPr>
        <w:t>（二）应急救援机构的行动</w:t>
      </w:r>
      <w:r>
        <w:tab/>
      </w:r>
      <w:r>
        <w:fldChar w:fldCharType="begin"/>
      </w:r>
      <w:r>
        <w:instrText xml:space="preserve"> PAGEREF _Toc184287589 \h </w:instrText>
      </w:r>
      <w:r>
        <w:fldChar w:fldCharType="separate"/>
      </w:r>
      <w:r>
        <w:t>25</w:t>
      </w:r>
      <w:r>
        <w:fldChar w:fldCharType="end"/>
      </w:r>
      <w:r>
        <w:fldChar w:fldCharType="end"/>
      </w:r>
    </w:p>
    <w:p w14:paraId="74CA5BCD">
      <w:pPr>
        <w:pStyle w:val="10"/>
        <w:tabs>
          <w:tab w:val="right" w:leader="dot" w:pos="8296"/>
        </w:tabs>
        <w:rPr>
          <w:rFonts w:asciiTheme="minorHAnsi" w:hAnsiTheme="minorHAnsi" w:eastAsiaTheme="minorEastAsia" w:cstheme="minorBidi"/>
        </w:rPr>
      </w:pPr>
      <w:r>
        <w:fldChar w:fldCharType="begin"/>
      </w:r>
      <w:r>
        <w:instrText xml:space="preserve"> HYPERLINK \l "_Toc184287590" </w:instrText>
      </w:r>
      <w:r>
        <w:fldChar w:fldCharType="separate"/>
      </w:r>
      <w:r>
        <w:rPr>
          <w:rStyle w:val="15"/>
          <w:rFonts w:hint="eastAsia" w:ascii="宋体" w:hAnsi="宋体"/>
          <w:kern w:val="0"/>
        </w:rPr>
        <w:t>（三）指挥与协调</w:t>
      </w:r>
      <w:r>
        <w:tab/>
      </w:r>
      <w:r>
        <w:fldChar w:fldCharType="begin"/>
      </w:r>
      <w:r>
        <w:instrText xml:space="preserve"> PAGEREF _Toc184287590 \h </w:instrText>
      </w:r>
      <w:r>
        <w:fldChar w:fldCharType="separate"/>
      </w:r>
      <w:r>
        <w:t>26</w:t>
      </w:r>
      <w:r>
        <w:fldChar w:fldCharType="end"/>
      </w:r>
      <w:r>
        <w:fldChar w:fldCharType="end"/>
      </w:r>
    </w:p>
    <w:p w14:paraId="1230AAC1">
      <w:pPr>
        <w:pStyle w:val="10"/>
        <w:tabs>
          <w:tab w:val="right" w:leader="dot" w:pos="8296"/>
        </w:tabs>
        <w:rPr>
          <w:rFonts w:asciiTheme="minorHAnsi" w:hAnsiTheme="minorHAnsi" w:eastAsiaTheme="minorEastAsia" w:cstheme="minorBidi"/>
        </w:rPr>
      </w:pPr>
      <w:r>
        <w:fldChar w:fldCharType="begin"/>
      </w:r>
      <w:r>
        <w:instrText xml:space="preserve"> HYPERLINK \l "_Toc184287591" </w:instrText>
      </w:r>
      <w:r>
        <w:fldChar w:fldCharType="separate"/>
      </w:r>
      <w:r>
        <w:rPr>
          <w:rStyle w:val="15"/>
          <w:rFonts w:hint="eastAsia" w:ascii="宋体" w:hAnsi="宋体"/>
          <w:kern w:val="0"/>
        </w:rPr>
        <w:t>（四）应急人员的安全防护</w:t>
      </w:r>
      <w:r>
        <w:tab/>
      </w:r>
      <w:r>
        <w:fldChar w:fldCharType="begin"/>
      </w:r>
      <w:r>
        <w:instrText xml:space="preserve"> PAGEREF _Toc184287591 \h </w:instrText>
      </w:r>
      <w:r>
        <w:fldChar w:fldCharType="separate"/>
      </w:r>
      <w:r>
        <w:t>27</w:t>
      </w:r>
      <w:r>
        <w:fldChar w:fldCharType="end"/>
      </w:r>
      <w:r>
        <w:fldChar w:fldCharType="end"/>
      </w:r>
    </w:p>
    <w:p w14:paraId="70137B83">
      <w:pPr>
        <w:pStyle w:val="10"/>
        <w:tabs>
          <w:tab w:val="right" w:leader="dot" w:pos="8296"/>
        </w:tabs>
        <w:rPr>
          <w:rFonts w:asciiTheme="minorHAnsi" w:hAnsiTheme="minorHAnsi" w:eastAsiaTheme="minorEastAsia" w:cstheme="minorBidi"/>
        </w:rPr>
      </w:pPr>
      <w:r>
        <w:fldChar w:fldCharType="begin"/>
      </w:r>
      <w:r>
        <w:instrText xml:space="preserve"> HYPERLINK \l "_Toc184287592" </w:instrText>
      </w:r>
      <w:r>
        <w:fldChar w:fldCharType="separate"/>
      </w:r>
      <w:r>
        <w:rPr>
          <w:rStyle w:val="15"/>
          <w:rFonts w:hint="eastAsia" w:ascii="宋体" w:hAnsi="宋体"/>
          <w:kern w:val="0"/>
        </w:rPr>
        <w:t>（五）受事故影响的群众安全防护</w:t>
      </w:r>
      <w:r>
        <w:tab/>
      </w:r>
      <w:r>
        <w:fldChar w:fldCharType="begin"/>
      </w:r>
      <w:r>
        <w:instrText xml:space="preserve"> PAGEREF _Toc184287592 \h </w:instrText>
      </w:r>
      <w:r>
        <w:fldChar w:fldCharType="separate"/>
      </w:r>
      <w:r>
        <w:t>27</w:t>
      </w:r>
      <w:r>
        <w:fldChar w:fldCharType="end"/>
      </w:r>
      <w:r>
        <w:fldChar w:fldCharType="end"/>
      </w:r>
    </w:p>
    <w:p w14:paraId="367642C8">
      <w:pPr>
        <w:pStyle w:val="10"/>
        <w:tabs>
          <w:tab w:val="right" w:leader="dot" w:pos="8296"/>
        </w:tabs>
        <w:rPr>
          <w:rFonts w:asciiTheme="minorHAnsi" w:hAnsiTheme="minorHAnsi" w:eastAsiaTheme="minorEastAsia" w:cstheme="minorBidi"/>
        </w:rPr>
      </w:pPr>
      <w:r>
        <w:fldChar w:fldCharType="begin"/>
      </w:r>
      <w:r>
        <w:instrText xml:space="preserve"> HYPERLINK \l "_Toc184287593" </w:instrText>
      </w:r>
      <w:r>
        <w:fldChar w:fldCharType="separate"/>
      </w:r>
      <w:r>
        <w:rPr>
          <w:rStyle w:val="15"/>
          <w:rFonts w:hint="eastAsia" w:ascii="宋体" w:hAnsi="宋体"/>
          <w:kern w:val="0"/>
        </w:rPr>
        <w:t>（六）动员社会力量参与</w:t>
      </w:r>
      <w:r>
        <w:tab/>
      </w:r>
      <w:r>
        <w:fldChar w:fldCharType="begin"/>
      </w:r>
      <w:r>
        <w:instrText xml:space="preserve"> PAGEREF _Toc184287593 \h </w:instrText>
      </w:r>
      <w:r>
        <w:fldChar w:fldCharType="separate"/>
      </w:r>
      <w:r>
        <w:t>27</w:t>
      </w:r>
      <w:r>
        <w:fldChar w:fldCharType="end"/>
      </w:r>
      <w:r>
        <w:fldChar w:fldCharType="end"/>
      </w:r>
    </w:p>
    <w:p w14:paraId="71ECC599">
      <w:pPr>
        <w:pStyle w:val="10"/>
        <w:tabs>
          <w:tab w:val="right" w:leader="dot" w:pos="8296"/>
        </w:tabs>
        <w:rPr>
          <w:rFonts w:asciiTheme="minorHAnsi" w:hAnsiTheme="minorHAnsi" w:eastAsiaTheme="minorEastAsia" w:cstheme="minorBidi"/>
        </w:rPr>
      </w:pPr>
      <w:r>
        <w:fldChar w:fldCharType="begin"/>
      </w:r>
      <w:r>
        <w:instrText xml:space="preserve"> HYPERLINK \l "_Toc184287594" </w:instrText>
      </w:r>
      <w:r>
        <w:fldChar w:fldCharType="separate"/>
      </w:r>
      <w:r>
        <w:rPr>
          <w:rStyle w:val="15"/>
          <w:rFonts w:hint="eastAsia" w:ascii="宋体" w:hAnsi="宋体"/>
          <w:kern w:val="0"/>
        </w:rPr>
        <w:t>（七）事故现场检测与评估</w:t>
      </w:r>
      <w:r>
        <w:tab/>
      </w:r>
      <w:r>
        <w:fldChar w:fldCharType="begin"/>
      </w:r>
      <w:r>
        <w:instrText xml:space="preserve"> PAGEREF _Toc184287594 \h </w:instrText>
      </w:r>
      <w:r>
        <w:fldChar w:fldCharType="separate"/>
      </w:r>
      <w:r>
        <w:t>28</w:t>
      </w:r>
      <w:r>
        <w:fldChar w:fldCharType="end"/>
      </w:r>
      <w:r>
        <w:fldChar w:fldCharType="end"/>
      </w:r>
    </w:p>
    <w:p w14:paraId="236581B5">
      <w:pPr>
        <w:pStyle w:val="10"/>
        <w:tabs>
          <w:tab w:val="right" w:leader="dot" w:pos="8296"/>
        </w:tabs>
        <w:rPr>
          <w:rFonts w:asciiTheme="minorHAnsi" w:hAnsiTheme="minorHAnsi" w:eastAsiaTheme="minorEastAsia" w:cstheme="minorBidi"/>
        </w:rPr>
      </w:pPr>
      <w:r>
        <w:fldChar w:fldCharType="begin"/>
      </w:r>
      <w:r>
        <w:instrText xml:space="preserve"> HYPERLINK \l "_Toc184287595" </w:instrText>
      </w:r>
      <w:r>
        <w:fldChar w:fldCharType="separate"/>
      </w:r>
      <w:r>
        <w:rPr>
          <w:rStyle w:val="15"/>
          <w:rFonts w:hint="eastAsia" w:ascii="宋体" w:hAnsi="宋体"/>
          <w:kern w:val="0"/>
        </w:rPr>
        <w:t>（八）扩大应急</w:t>
      </w:r>
      <w:r>
        <w:tab/>
      </w:r>
      <w:r>
        <w:fldChar w:fldCharType="begin"/>
      </w:r>
      <w:r>
        <w:instrText xml:space="preserve"> PAGEREF _Toc184287595 \h </w:instrText>
      </w:r>
      <w:r>
        <w:fldChar w:fldCharType="separate"/>
      </w:r>
      <w:r>
        <w:t>28</w:t>
      </w:r>
      <w:r>
        <w:fldChar w:fldCharType="end"/>
      </w:r>
      <w:r>
        <w:fldChar w:fldCharType="end"/>
      </w:r>
    </w:p>
    <w:p w14:paraId="082DD1A7">
      <w:pPr>
        <w:pStyle w:val="10"/>
        <w:tabs>
          <w:tab w:val="right" w:leader="dot" w:pos="8296"/>
        </w:tabs>
        <w:rPr>
          <w:rFonts w:asciiTheme="minorHAnsi" w:hAnsiTheme="minorHAnsi" w:eastAsiaTheme="minorEastAsia" w:cstheme="minorBidi"/>
        </w:rPr>
      </w:pPr>
      <w:r>
        <w:fldChar w:fldCharType="begin"/>
      </w:r>
      <w:r>
        <w:instrText xml:space="preserve"> HYPERLINK \l "_Toc184287596" </w:instrText>
      </w:r>
      <w:r>
        <w:fldChar w:fldCharType="separate"/>
      </w:r>
      <w:r>
        <w:rPr>
          <w:rStyle w:val="15"/>
          <w:rFonts w:hint="eastAsia" w:ascii="宋体" w:hAnsi="宋体"/>
          <w:kern w:val="0"/>
        </w:rPr>
        <w:t>（九）响应终止</w:t>
      </w:r>
      <w:r>
        <w:tab/>
      </w:r>
      <w:r>
        <w:fldChar w:fldCharType="begin"/>
      </w:r>
      <w:r>
        <w:instrText xml:space="preserve"> PAGEREF _Toc184287596 \h </w:instrText>
      </w:r>
      <w:r>
        <w:fldChar w:fldCharType="separate"/>
      </w:r>
      <w:r>
        <w:t>28</w:t>
      </w:r>
      <w:r>
        <w:fldChar w:fldCharType="end"/>
      </w:r>
      <w:r>
        <w:fldChar w:fldCharType="end"/>
      </w:r>
    </w:p>
    <w:p w14:paraId="60D09F6D">
      <w:pPr>
        <w:pStyle w:val="10"/>
        <w:tabs>
          <w:tab w:val="right" w:leader="dot" w:pos="8296"/>
        </w:tabs>
        <w:rPr>
          <w:rFonts w:asciiTheme="minorHAnsi" w:hAnsiTheme="minorHAnsi" w:eastAsiaTheme="minorEastAsia" w:cstheme="minorBidi"/>
        </w:rPr>
      </w:pPr>
      <w:r>
        <w:fldChar w:fldCharType="begin"/>
      </w:r>
      <w:r>
        <w:instrText xml:space="preserve"> HYPERLINK \l "_Toc184287597" </w:instrText>
      </w:r>
      <w:r>
        <w:fldChar w:fldCharType="separate"/>
      </w:r>
      <w:r>
        <w:rPr>
          <w:rStyle w:val="15"/>
          <w:rFonts w:hint="eastAsia" w:ascii="宋体" w:hAnsi="宋体"/>
          <w:kern w:val="0"/>
        </w:rPr>
        <w:t>（十）信息发布</w:t>
      </w:r>
      <w:r>
        <w:tab/>
      </w:r>
      <w:r>
        <w:fldChar w:fldCharType="begin"/>
      </w:r>
      <w:r>
        <w:instrText xml:space="preserve"> PAGEREF _Toc184287597 \h </w:instrText>
      </w:r>
      <w:r>
        <w:fldChar w:fldCharType="separate"/>
      </w:r>
      <w:r>
        <w:t>29</w:t>
      </w:r>
      <w:r>
        <w:fldChar w:fldCharType="end"/>
      </w:r>
      <w:r>
        <w:fldChar w:fldCharType="end"/>
      </w:r>
    </w:p>
    <w:p w14:paraId="3E80F56F">
      <w:pPr>
        <w:pStyle w:val="10"/>
        <w:tabs>
          <w:tab w:val="right" w:leader="dot" w:pos="8296"/>
        </w:tabs>
        <w:rPr>
          <w:rFonts w:asciiTheme="minorHAnsi" w:hAnsiTheme="minorHAnsi" w:eastAsiaTheme="minorEastAsia" w:cstheme="minorBidi"/>
        </w:rPr>
      </w:pPr>
      <w:r>
        <w:fldChar w:fldCharType="begin"/>
      </w:r>
      <w:r>
        <w:instrText xml:space="preserve"> HYPERLINK \l "_Toc184287598" </w:instrText>
      </w:r>
      <w:r>
        <w:fldChar w:fldCharType="separate"/>
      </w:r>
      <w:r>
        <w:rPr>
          <w:rStyle w:val="15"/>
          <w:rFonts w:hint="eastAsia" w:ascii="宋体" w:hAnsi="宋体"/>
          <w:kern w:val="0"/>
        </w:rPr>
        <w:t>（十一）现场处置注意事项</w:t>
      </w:r>
      <w:r>
        <w:tab/>
      </w:r>
      <w:r>
        <w:fldChar w:fldCharType="begin"/>
      </w:r>
      <w:r>
        <w:instrText xml:space="preserve"> PAGEREF _Toc184287598 \h </w:instrText>
      </w:r>
      <w:r>
        <w:fldChar w:fldCharType="separate"/>
      </w:r>
      <w:r>
        <w:t>29</w:t>
      </w:r>
      <w:r>
        <w:fldChar w:fldCharType="end"/>
      </w:r>
      <w:r>
        <w:fldChar w:fldCharType="end"/>
      </w:r>
    </w:p>
    <w:p w14:paraId="74547F2F">
      <w:pPr>
        <w:pStyle w:val="9"/>
        <w:rPr>
          <w:rFonts w:asciiTheme="minorHAnsi" w:hAnsiTheme="minorHAnsi" w:eastAsiaTheme="minorEastAsia" w:cstheme="minorBidi"/>
        </w:rPr>
      </w:pPr>
      <w:r>
        <w:fldChar w:fldCharType="begin"/>
      </w:r>
      <w:r>
        <w:instrText xml:space="preserve"> HYPERLINK \l "_Toc184287599" </w:instrText>
      </w:r>
      <w:r>
        <w:fldChar w:fldCharType="separate"/>
      </w:r>
      <w:r>
        <w:rPr>
          <w:rStyle w:val="15"/>
          <w:rFonts w:hint="eastAsia" w:ascii="宋体" w:hAnsi="宋体"/>
        </w:rPr>
        <w:t>八、后期处置</w:t>
      </w:r>
      <w:r>
        <w:tab/>
      </w:r>
      <w:r>
        <w:fldChar w:fldCharType="begin"/>
      </w:r>
      <w:r>
        <w:instrText xml:space="preserve"> PAGEREF _Toc184287599 \h </w:instrText>
      </w:r>
      <w:r>
        <w:fldChar w:fldCharType="separate"/>
      </w:r>
      <w:r>
        <w:t>32</w:t>
      </w:r>
      <w:r>
        <w:fldChar w:fldCharType="end"/>
      </w:r>
      <w:r>
        <w:fldChar w:fldCharType="end"/>
      </w:r>
    </w:p>
    <w:p w14:paraId="68A02270">
      <w:pPr>
        <w:pStyle w:val="10"/>
        <w:tabs>
          <w:tab w:val="right" w:leader="dot" w:pos="8296"/>
        </w:tabs>
        <w:rPr>
          <w:rFonts w:asciiTheme="minorHAnsi" w:hAnsiTheme="minorHAnsi" w:eastAsiaTheme="minorEastAsia" w:cstheme="minorBidi"/>
        </w:rPr>
      </w:pPr>
      <w:r>
        <w:fldChar w:fldCharType="begin"/>
      </w:r>
      <w:r>
        <w:instrText xml:space="preserve"> HYPERLINK \l "_Toc184287600" </w:instrText>
      </w:r>
      <w:r>
        <w:fldChar w:fldCharType="separate"/>
      </w:r>
      <w:r>
        <w:rPr>
          <w:rStyle w:val="15"/>
          <w:rFonts w:hint="eastAsia" w:ascii="宋体" w:hAnsi="宋体"/>
          <w:kern w:val="0"/>
        </w:rPr>
        <w:t>（一）善后处置</w:t>
      </w:r>
      <w:r>
        <w:tab/>
      </w:r>
      <w:r>
        <w:fldChar w:fldCharType="begin"/>
      </w:r>
      <w:r>
        <w:instrText xml:space="preserve"> PAGEREF _Toc184287600 \h </w:instrText>
      </w:r>
      <w:r>
        <w:fldChar w:fldCharType="separate"/>
      </w:r>
      <w:r>
        <w:t>32</w:t>
      </w:r>
      <w:r>
        <w:fldChar w:fldCharType="end"/>
      </w:r>
      <w:r>
        <w:fldChar w:fldCharType="end"/>
      </w:r>
    </w:p>
    <w:p w14:paraId="6255FFF9">
      <w:pPr>
        <w:pStyle w:val="10"/>
        <w:tabs>
          <w:tab w:val="right" w:leader="dot" w:pos="8296"/>
        </w:tabs>
        <w:rPr>
          <w:rFonts w:asciiTheme="minorHAnsi" w:hAnsiTheme="minorHAnsi" w:eastAsiaTheme="minorEastAsia" w:cstheme="minorBidi"/>
        </w:rPr>
      </w:pPr>
      <w:r>
        <w:fldChar w:fldCharType="begin"/>
      </w:r>
      <w:r>
        <w:instrText xml:space="preserve"> HYPERLINK \l "_Toc184287601" </w:instrText>
      </w:r>
      <w:r>
        <w:fldChar w:fldCharType="separate"/>
      </w:r>
      <w:r>
        <w:rPr>
          <w:rStyle w:val="15"/>
          <w:rFonts w:hint="eastAsia" w:ascii="宋体" w:hAnsi="宋体"/>
          <w:kern w:val="0"/>
        </w:rPr>
        <w:t>（二）事故调查</w:t>
      </w:r>
      <w:r>
        <w:tab/>
      </w:r>
      <w:r>
        <w:fldChar w:fldCharType="begin"/>
      </w:r>
      <w:r>
        <w:instrText xml:space="preserve"> PAGEREF _Toc184287601 \h </w:instrText>
      </w:r>
      <w:r>
        <w:fldChar w:fldCharType="separate"/>
      </w:r>
      <w:r>
        <w:t>32</w:t>
      </w:r>
      <w:r>
        <w:fldChar w:fldCharType="end"/>
      </w:r>
      <w:r>
        <w:fldChar w:fldCharType="end"/>
      </w:r>
    </w:p>
    <w:p w14:paraId="1849D2C5">
      <w:pPr>
        <w:pStyle w:val="10"/>
        <w:tabs>
          <w:tab w:val="right" w:leader="dot" w:pos="8296"/>
        </w:tabs>
        <w:rPr>
          <w:rFonts w:asciiTheme="minorHAnsi" w:hAnsiTheme="minorHAnsi" w:eastAsiaTheme="minorEastAsia" w:cstheme="minorBidi"/>
        </w:rPr>
      </w:pPr>
      <w:r>
        <w:fldChar w:fldCharType="begin"/>
      </w:r>
      <w:r>
        <w:instrText xml:space="preserve"> HYPERLINK \l "_Toc184287602" </w:instrText>
      </w:r>
      <w:r>
        <w:fldChar w:fldCharType="separate"/>
      </w:r>
      <w:r>
        <w:rPr>
          <w:rStyle w:val="15"/>
          <w:rFonts w:hint="eastAsia" w:ascii="宋体" w:hAnsi="宋体"/>
          <w:kern w:val="0"/>
        </w:rPr>
        <w:t>（三）总结与评估</w:t>
      </w:r>
      <w:r>
        <w:tab/>
      </w:r>
      <w:r>
        <w:fldChar w:fldCharType="begin"/>
      </w:r>
      <w:r>
        <w:instrText xml:space="preserve"> PAGEREF _Toc184287602 \h </w:instrText>
      </w:r>
      <w:r>
        <w:fldChar w:fldCharType="separate"/>
      </w:r>
      <w:r>
        <w:t>33</w:t>
      </w:r>
      <w:r>
        <w:fldChar w:fldCharType="end"/>
      </w:r>
      <w:r>
        <w:fldChar w:fldCharType="end"/>
      </w:r>
    </w:p>
    <w:p w14:paraId="632784D7">
      <w:pPr>
        <w:pStyle w:val="10"/>
        <w:tabs>
          <w:tab w:val="right" w:leader="dot" w:pos="8296"/>
        </w:tabs>
        <w:rPr>
          <w:rFonts w:asciiTheme="minorHAnsi" w:hAnsiTheme="minorHAnsi" w:eastAsiaTheme="minorEastAsia" w:cstheme="minorBidi"/>
        </w:rPr>
      </w:pPr>
      <w:r>
        <w:fldChar w:fldCharType="begin"/>
      </w:r>
      <w:r>
        <w:instrText xml:space="preserve"> HYPERLINK \l "_Toc184287603" </w:instrText>
      </w:r>
      <w:r>
        <w:fldChar w:fldCharType="separate"/>
      </w:r>
      <w:r>
        <w:rPr>
          <w:rStyle w:val="15"/>
          <w:rFonts w:hint="eastAsia" w:ascii="宋体" w:hAnsi="宋体"/>
          <w:kern w:val="0"/>
        </w:rPr>
        <w:t>（四）恢复与重建</w:t>
      </w:r>
      <w:r>
        <w:tab/>
      </w:r>
      <w:r>
        <w:fldChar w:fldCharType="begin"/>
      </w:r>
      <w:r>
        <w:instrText xml:space="preserve"> PAGEREF _Toc184287603 \h </w:instrText>
      </w:r>
      <w:r>
        <w:fldChar w:fldCharType="separate"/>
      </w:r>
      <w:r>
        <w:t>33</w:t>
      </w:r>
      <w:r>
        <w:fldChar w:fldCharType="end"/>
      </w:r>
      <w:r>
        <w:fldChar w:fldCharType="end"/>
      </w:r>
    </w:p>
    <w:p w14:paraId="7E200B90">
      <w:pPr>
        <w:pStyle w:val="9"/>
        <w:rPr>
          <w:rFonts w:asciiTheme="minorHAnsi" w:hAnsiTheme="minorHAnsi" w:eastAsiaTheme="minorEastAsia" w:cstheme="minorBidi"/>
        </w:rPr>
      </w:pPr>
      <w:r>
        <w:fldChar w:fldCharType="begin"/>
      </w:r>
      <w:r>
        <w:instrText xml:space="preserve"> HYPERLINK \l "_Toc184287604" </w:instrText>
      </w:r>
      <w:r>
        <w:fldChar w:fldCharType="separate"/>
      </w:r>
      <w:r>
        <w:rPr>
          <w:rStyle w:val="15"/>
          <w:rFonts w:hint="eastAsia" w:ascii="宋体" w:hAnsi="宋体"/>
          <w:kern w:val="0"/>
        </w:rPr>
        <w:t>九、应急保障</w:t>
      </w:r>
      <w:r>
        <w:tab/>
      </w:r>
      <w:r>
        <w:fldChar w:fldCharType="begin"/>
      </w:r>
      <w:r>
        <w:instrText xml:space="preserve"> PAGEREF _Toc184287604 \h </w:instrText>
      </w:r>
      <w:r>
        <w:fldChar w:fldCharType="separate"/>
      </w:r>
      <w:r>
        <w:t>34</w:t>
      </w:r>
      <w:r>
        <w:fldChar w:fldCharType="end"/>
      </w:r>
      <w:r>
        <w:fldChar w:fldCharType="end"/>
      </w:r>
    </w:p>
    <w:p w14:paraId="2E687CE3">
      <w:pPr>
        <w:pStyle w:val="10"/>
        <w:tabs>
          <w:tab w:val="right" w:leader="dot" w:pos="8296"/>
        </w:tabs>
        <w:rPr>
          <w:rFonts w:asciiTheme="minorHAnsi" w:hAnsiTheme="minorHAnsi" w:eastAsiaTheme="minorEastAsia" w:cstheme="minorBidi"/>
        </w:rPr>
      </w:pPr>
      <w:r>
        <w:fldChar w:fldCharType="begin"/>
      </w:r>
      <w:r>
        <w:instrText xml:space="preserve"> HYPERLINK \l "_Toc184287605" </w:instrText>
      </w:r>
      <w:r>
        <w:fldChar w:fldCharType="separate"/>
      </w:r>
      <w:r>
        <w:rPr>
          <w:rStyle w:val="15"/>
          <w:rFonts w:hint="eastAsia" w:ascii="宋体" w:hAnsi="宋体"/>
          <w:kern w:val="0"/>
        </w:rPr>
        <w:t>（一）信息保障</w:t>
      </w:r>
      <w:r>
        <w:tab/>
      </w:r>
      <w:r>
        <w:fldChar w:fldCharType="begin"/>
      </w:r>
      <w:r>
        <w:instrText xml:space="preserve"> PAGEREF _Toc184287605 \h </w:instrText>
      </w:r>
      <w:r>
        <w:fldChar w:fldCharType="separate"/>
      </w:r>
      <w:r>
        <w:t>34</w:t>
      </w:r>
      <w:r>
        <w:fldChar w:fldCharType="end"/>
      </w:r>
      <w:r>
        <w:fldChar w:fldCharType="end"/>
      </w:r>
    </w:p>
    <w:p w14:paraId="798BE7C1">
      <w:pPr>
        <w:pStyle w:val="10"/>
        <w:tabs>
          <w:tab w:val="right" w:leader="dot" w:pos="8296"/>
        </w:tabs>
        <w:rPr>
          <w:rFonts w:asciiTheme="minorHAnsi" w:hAnsiTheme="minorHAnsi" w:eastAsiaTheme="minorEastAsia" w:cstheme="minorBidi"/>
        </w:rPr>
      </w:pPr>
      <w:r>
        <w:fldChar w:fldCharType="begin"/>
      </w:r>
      <w:r>
        <w:instrText xml:space="preserve"> HYPERLINK \l "_Toc184287606" </w:instrText>
      </w:r>
      <w:r>
        <w:fldChar w:fldCharType="separate"/>
      </w:r>
      <w:r>
        <w:rPr>
          <w:rStyle w:val="15"/>
          <w:rFonts w:hint="eastAsia" w:ascii="宋体" w:hAnsi="宋体"/>
          <w:kern w:val="0"/>
        </w:rPr>
        <w:t>（二）应急队伍保障</w:t>
      </w:r>
      <w:r>
        <w:tab/>
      </w:r>
      <w:r>
        <w:fldChar w:fldCharType="begin"/>
      </w:r>
      <w:r>
        <w:instrText xml:space="preserve"> PAGEREF _Toc184287606 \h </w:instrText>
      </w:r>
      <w:r>
        <w:fldChar w:fldCharType="separate"/>
      </w:r>
      <w:r>
        <w:t>34</w:t>
      </w:r>
      <w:r>
        <w:fldChar w:fldCharType="end"/>
      </w:r>
      <w:r>
        <w:fldChar w:fldCharType="end"/>
      </w:r>
    </w:p>
    <w:p w14:paraId="0746C869">
      <w:pPr>
        <w:pStyle w:val="10"/>
        <w:tabs>
          <w:tab w:val="right" w:leader="dot" w:pos="8296"/>
        </w:tabs>
        <w:rPr>
          <w:rFonts w:asciiTheme="minorHAnsi" w:hAnsiTheme="minorHAnsi" w:eastAsiaTheme="minorEastAsia" w:cstheme="minorBidi"/>
        </w:rPr>
      </w:pPr>
      <w:r>
        <w:fldChar w:fldCharType="begin"/>
      </w:r>
      <w:r>
        <w:instrText xml:space="preserve"> HYPERLINK \l "_Toc184287607" </w:instrText>
      </w:r>
      <w:r>
        <w:fldChar w:fldCharType="separate"/>
      </w:r>
      <w:r>
        <w:rPr>
          <w:rStyle w:val="15"/>
          <w:rFonts w:hint="eastAsia" w:ascii="宋体" w:hAnsi="宋体"/>
          <w:kern w:val="0"/>
        </w:rPr>
        <w:t>（三）救援装备和物资保障</w:t>
      </w:r>
      <w:r>
        <w:tab/>
      </w:r>
      <w:r>
        <w:fldChar w:fldCharType="begin"/>
      </w:r>
      <w:r>
        <w:instrText xml:space="preserve"> PAGEREF _Toc184287607 \h </w:instrText>
      </w:r>
      <w:r>
        <w:fldChar w:fldCharType="separate"/>
      </w:r>
      <w:r>
        <w:t>34</w:t>
      </w:r>
      <w:r>
        <w:fldChar w:fldCharType="end"/>
      </w:r>
      <w:r>
        <w:fldChar w:fldCharType="end"/>
      </w:r>
    </w:p>
    <w:p w14:paraId="418309D5">
      <w:pPr>
        <w:pStyle w:val="10"/>
        <w:tabs>
          <w:tab w:val="right" w:leader="dot" w:pos="8296"/>
        </w:tabs>
        <w:rPr>
          <w:rFonts w:asciiTheme="minorHAnsi" w:hAnsiTheme="minorHAnsi" w:eastAsiaTheme="minorEastAsia" w:cstheme="minorBidi"/>
        </w:rPr>
      </w:pPr>
      <w:r>
        <w:fldChar w:fldCharType="begin"/>
      </w:r>
      <w:r>
        <w:instrText xml:space="preserve"> HYPERLINK \l "_Toc184287608" </w:instrText>
      </w:r>
      <w:r>
        <w:fldChar w:fldCharType="separate"/>
      </w:r>
      <w:r>
        <w:rPr>
          <w:rStyle w:val="15"/>
          <w:rFonts w:hint="eastAsia" w:ascii="宋体" w:hAnsi="宋体"/>
          <w:kern w:val="0"/>
        </w:rPr>
        <w:t>（四）交通运输保障</w:t>
      </w:r>
      <w:r>
        <w:tab/>
      </w:r>
      <w:r>
        <w:fldChar w:fldCharType="begin"/>
      </w:r>
      <w:r>
        <w:instrText xml:space="preserve"> PAGEREF _Toc184287608 \h </w:instrText>
      </w:r>
      <w:r>
        <w:fldChar w:fldCharType="separate"/>
      </w:r>
      <w:r>
        <w:t>35</w:t>
      </w:r>
      <w:r>
        <w:fldChar w:fldCharType="end"/>
      </w:r>
      <w:r>
        <w:fldChar w:fldCharType="end"/>
      </w:r>
    </w:p>
    <w:p w14:paraId="5B1D183A">
      <w:pPr>
        <w:pStyle w:val="10"/>
        <w:tabs>
          <w:tab w:val="right" w:leader="dot" w:pos="8296"/>
        </w:tabs>
        <w:rPr>
          <w:rFonts w:asciiTheme="minorHAnsi" w:hAnsiTheme="minorHAnsi" w:eastAsiaTheme="minorEastAsia" w:cstheme="minorBidi"/>
        </w:rPr>
      </w:pPr>
      <w:r>
        <w:fldChar w:fldCharType="begin"/>
      </w:r>
      <w:r>
        <w:instrText xml:space="preserve"> HYPERLINK \l "_Toc184287609" </w:instrText>
      </w:r>
      <w:r>
        <w:fldChar w:fldCharType="separate"/>
      </w:r>
      <w:r>
        <w:rPr>
          <w:rStyle w:val="15"/>
          <w:rFonts w:hint="eastAsia" w:ascii="宋体" w:hAnsi="宋体"/>
          <w:kern w:val="0"/>
        </w:rPr>
        <w:t>（五）医疗卫生保障</w:t>
      </w:r>
      <w:r>
        <w:tab/>
      </w:r>
      <w:r>
        <w:fldChar w:fldCharType="begin"/>
      </w:r>
      <w:r>
        <w:instrText xml:space="preserve"> PAGEREF _Toc184287609 \h </w:instrText>
      </w:r>
      <w:r>
        <w:fldChar w:fldCharType="separate"/>
      </w:r>
      <w:r>
        <w:t>35</w:t>
      </w:r>
      <w:r>
        <w:fldChar w:fldCharType="end"/>
      </w:r>
      <w:r>
        <w:fldChar w:fldCharType="end"/>
      </w:r>
    </w:p>
    <w:p w14:paraId="06375FD6">
      <w:pPr>
        <w:pStyle w:val="10"/>
        <w:tabs>
          <w:tab w:val="right" w:leader="dot" w:pos="8296"/>
        </w:tabs>
        <w:rPr>
          <w:rFonts w:asciiTheme="minorHAnsi" w:hAnsiTheme="minorHAnsi" w:eastAsiaTheme="minorEastAsia" w:cstheme="minorBidi"/>
        </w:rPr>
      </w:pPr>
      <w:r>
        <w:fldChar w:fldCharType="begin"/>
      </w:r>
      <w:r>
        <w:instrText xml:space="preserve"> HYPERLINK \l "_Toc184287610" </w:instrText>
      </w:r>
      <w:r>
        <w:fldChar w:fldCharType="separate"/>
      </w:r>
      <w:r>
        <w:rPr>
          <w:rStyle w:val="15"/>
          <w:rFonts w:hint="eastAsia" w:ascii="宋体" w:hAnsi="宋体"/>
          <w:kern w:val="0"/>
        </w:rPr>
        <w:t>（六）治安保障</w:t>
      </w:r>
      <w:r>
        <w:tab/>
      </w:r>
      <w:r>
        <w:fldChar w:fldCharType="begin"/>
      </w:r>
      <w:r>
        <w:instrText xml:space="preserve"> PAGEREF _Toc184287610 \h </w:instrText>
      </w:r>
      <w:r>
        <w:fldChar w:fldCharType="separate"/>
      </w:r>
      <w:r>
        <w:t>35</w:t>
      </w:r>
      <w:r>
        <w:fldChar w:fldCharType="end"/>
      </w:r>
      <w:r>
        <w:fldChar w:fldCharType="end"/>
      </w:r>
    </w:p>
    <w:p w14:paraId="15644466">
      <w:pPr>
        <w:pStyle w:val="10"/>
        <w:tabs>
          <w:tab w:val="right" w:leader="dot" w:pos="8296"/>
        </w:tabs>
        <w:rPr>
          <w:rFonts w:asciiTheme="minorHAnsi" w:hAnsiTheme="minorHAnsi" w:eastAsiaTheme="minorEastAsia" w:cstheme="minorBidi"/>
        </w:rPr>
      </w:pPr>
      <w:r>
        <w:fldChar w:fldCharType="begin"/>
      </w:r>
      <w:r>
        <w:instrText xml:space="preserve"> HYPERLINK \l "_Toc184287611" </w:instrText>
      </w:r>
      <w:r>
        <w:fldChar w:fldCharType="separate"/>
      </w:r>
      <w:r>
        <w:rPr>
          <w:rStyle w:val="15"/>
          <w:rFonts w:hint="eastAsia" w:ascii="宋体" w:hAnsi="宋体"/>
          <w:kern w:val="0"/>
        </w:rPr>
        <w:t>（七）资金保障</w:t>
      </w:r>
      <w:r>
        <w:tab/>
      </w:r>
      <w:r>
        <w:fldChar w:fldCharType="begin"/>
      </w:r>
      <w:r>
        <w:instrText xml:space="preserve"> PAGEREF _Toc184287611 \h </w:instrText>
      </w:r>
      <w:r>
        <w:fldChar w:fldCharType="separate"/>
      </w:r>
      <w:r>
        <w:t>35</w:t>
      </w:r>
      <w:r>
        <w:fldChar w:fldCharType="end"/>
      </w:r>
      <w:r>
        <w:fldChar w:fldCharType="end"/>
      </w:r>
    </w:p>
    <w:p w14:paraId="42A0C49D">
      <w:pPr>
        <w:pStyle w:val="10"/>
        <w:tabs>
          <w:tab w:val="right" w:leader="dot" w:pos="8296"/>
        </w:tabs>
        <w:rPr>
          <w:rFonts w:asciiTheme="minorHAnsi" w:hAnsiTheme="minorHAnsi" w:eastAsiaTheme="minorEastAsia" w:cstheme="minorBidi"/>
        </w:rPr>
      </w:pPr>
      <w:r>
        <w:fldChar w:fldCharType="begin"/>
      </w:r>
      <w:r>
        <w:instrText xml:space="preserve"> HYPERLINK \l "_Toc184287612" </w:instrText>
      </w:r>
      <w:r>
        <w:fldChar w:fldCharType="separate"/>
      </w:r>
      <w:r>
        <w:rPr>
          <w:rStyle w:val="15"/>
          <w:rFonts w:hint="eastAsia" w:ascii="宋体" w:hAnsi="宋体"/>
          <w:kern w:val="0"/>
        </w:rPr>
        <w:t>（八）社会动员保障</w:t>
      </w:r>
      <w:r>
        <w:tab/>
      </w:r>
      <w:r>
        <w:fldChar w:fldCharType="begin"/>
      </w:r>
      <w:r>
        <w:instrText xml:space="preserve"> PAGEREF _Toc184287612 \h </w:instrText>
      </w:r>
      <w:r>
        <w:fldChar w:fldCharType="separate"/>
      </w:r>
      <w:r>
        <w:t>36</w:t>
      </w:r>
      <w:r>
        <w:fldChar w:fldCharType="end"/>
      </w:r>
      <w:r>
        <w:fldChar w:fldCharType="end"/>
      </w:r>
    </w:p>
    <w:p w14:paraId="2CA3806C">
      <w:pPr>
        <w:pStyle w:val="10"/>
        <w:tabs>
          <w:tab w:val="right" w:leader="dot" w:pos="8296"/>
        </w:tabs>
        <w:rPr>
          <w:rFonts w:asciiTheme="minorHAnsi" w:hAnsiTheme="minorHAnsi" w:eastAsiaTheme="minorEastAsia" w:cstheme="minorBidi"/>
        </w:rPr>
      </w:pPr>
      <w:r>
        <w:fldChar w:fldCharType="begin"/>
      </w:r>
      <w:r>
        <w:instrText xml:space="preserve"> HYPERLINK \l "_Toc184287613" </w:instrText>
      </w:r>
      <w:r>
        <w:fldChar w:fldCharType="separate"/>
      </w:r>
      <w:r>
        <w:rPr>
          <w:rStyle w:val="15"/>
          <w:rFonts w:hint="eastAsia" w:ascii="宋体" w:hAnsi="宋体"/>
          <w:kern w:val="0"/>
        </w:rPr>
        <w:t>（九）应急避难场所保障</w:t>
      </w:r>
      <w:r>
        <w:tab/>
      </w:r>
      <w:r>
        <w:fldChar w:fldCharType="begin"/>
      </w:r>
      <w:r>
        <w:instrText xml:space="preserve"> PAGEREF _Toc184287613 \h </w:instrText>
      </w:r>
      <w:r>
        <w:fldChar w:fldCharType="separate"/>
      </w:r>
      <w:r>
        <w:t>36</w:t>
      </w:r>
      <w:r>
        <w:fldChar w:fldCharType="end"/>
      </w:r>
      <w:r>
        <w:fldChar w:fldCharType="end"/>
      </w:r>
    </w:p>
    <w:p w14:paraId="17826A5B">
      <w:pPr>
        <w:pStyle w:val="10"/>
        <w:tabs>
          <w:tab w:val="right" w:leader="dot" w:pos="8296"/>
        </w:tabs>
        <w:rPr>
          <w:rFonts w:asciiTheme="minorHAnsi" w:hAnsiTheme="minorHAnsi" w:eastAsiaTheme="minorEastAsia" w:cstheme="minorBidi"/>
        </w:rPr>
      </w:pPr>
      <w:r>
        <w:fldChar w:fldCharType="begin"/>
      </w:r>
      <w:r>
        <w:instrText xml:space="preserve"> HYPERLINK \l "_Toc184287614" </w:instrText>
      </w:r>
      <w:r>
        <w:fldChar w:fldCharType="separate"/>
      </w:r>
      <w:r>
        <w:rPr>
          <w:rStyle w:val="15"/>
          <w:rFonts w:hint="eastAsia" w:ascii="宋体" w:hAnsi="宋体"/>
          <w:kern w:val="0"/>
        </w:rPr>
        <w:t>（十）公共基础设施保障</w:t>
      </w:r>
      <w:r>
        <w:tab/>
      </w:r>
      <w:r>
        <w:fldChar w:fldCharType="begin"/>
      </w:r>
      <w:r>
        <w:instrText xml:space="preserve"> PAGEREF _Toc184287614 \h </w:instrText>
      </w:r>
      <w:r>
        <w:fldChar w:fldCharType="separate"/>
      </w:r>
      <w:r>
        <w:t>36</w:t>
      </w:r>
      <w:r>
        <w:fldChar w:fldCharType="end"/>
      </w:r>
      <w:r>
        <w:fldChar w:fldCharType="end"/>
      </w:r>
    </w:p>
    <w:p w14:paraId="0136E49A">
      <w:pPr>
        <w:pStyle w:val="9"/>
        <w:rPr>
          <w:rFonts w:asciiTheme="minorHAnsi" w:hAnsiTheme="minorHAnsi" w:eastAsiaTheme="minorEastAsia" w:cstheme="minorBidi"/>
        </w:rPr>
      </w:pPr>
      <w:r>
        <w:fldChar w:fldCharType="begin"/>
      </w:r>
      <w:r>
        <w:instrText xml:space="preserve"> HYPERLINK \l "_Toc184287615" </w:instrText>
      </w:r>
      <w:r>
        <w:fldChar w:fldCharType="separate"/>
      </w:r>
      <w:r>
        <w:rPr>
          <w:rStyle w:val="15"/>
          <w:rFonts w:hint="eastAsia" w:ascii="宋体" w:hAnsi="宋体"/>
          <w:kern w:val="0"/>
        </w:rPr>
        <w:t>十、监督管理</w:t>
      </w:r>
      <w:r>
        <w:tab/>
      </w:r>
      <w:r>
        <w:fldChar w:fldCharType="begin"/>
      </w:r>
      <w:r>
        <w:instrText xml:space="preserve"> PAGEREF _Toc184287615 \h </w:instrText>
      </w:r>
      <w:r>
        <w:fldChar w:fldCharType="separate"/>
      </w:r>
      <w:r>
        <w:t>36</w:t>
      </w:r>
      <w:r>
        <w:fldChar w:fldCharType="end"/>
      </w:r>
      <w:r>
        <w:fldChar w:fldCharType="end"/>
      </w:r>
    </w:p>
    <w:p w14:paraId="31EC9C9F">
      <w:pPr>
        <w:pStyle w:val="10"/>
        <w:tabs>
          <w:tab w:val="right" w:leader="dot" w:pos="8296"/>
        </w:tabs>
        <w:rPr>
          <w:rFonts w:asciiTheme="minorHAnsi" w:hAnsiTheme="minorHAnsi" w:eastAsiaTheme="minorEastAsia" w:cstheme="minorBidi"/>
        </w:rPr>
      </w:pPr>
      <w:r>
        <w:fldChar w:fldCharType="begin"/>
      </w:r>
      <w:r>
        <w:instrText xml:space="preserve"> HYPERLINK \l "_Toc184287616" </w:instrText>
      </w:r>
      <w:r>
        <w:fldChar w:fldCharType="separate"/>
      </w:r>
      <w:r>
        <w:rPr>
          <w:rStyle w:val="15"/>
          <w:rFonts w:hint="eastAsia" w:ascii="宋体" w:hAnsi="宋体" w:cs="宋体"/>
        </w:rPr>
        <w:t>（一）宣传教育</w:t>
      </w:r>
      <w:r>
        <w:tab/>
      </w:r>
      <w:r>
        <w:fldChar w:fldCharType="begin"/>
      </w:r>
      <w:r>
        <w:instrText xml:space="preserve"> PAGEREF _Toc184287616 \h </w:instrText>
      </w:r>
      <w:r>
        <w:fldChar w:fldCharType="separate"/>
      </w:r>
      <w:r>
        <w:t>36</w:t>
      </w:r>
      <w:r>
        <w:fldChar w:fldCharType="end"/>
      </w:r>
      <w:r>
        <w:fldChar w:fldCharType="end"/>
      </w:r>
    </w:p>
    <w:p w14:paraId="5D414DD6">
      <w:pPr>
        <w:pStyle w:val="10"/>
        <w:tabs>
          <w:tab w:val="right" w:leader="dot" w:pos="8296"/>
        </w:tabs>
        <w:rPr>
          <w:rFonts w:asciiTheme="minorHAnsi" w:hAnsiTheme="minorHAnsi" w:eastAsiaTheme="minorEastAsia" w:cstheme="minorBidi"/>
        </w:rPr>
      </w:pPr>
      <w:r>
        <w:fldChar w:fldCharType="begin"/>
      </w:r>
      <w:r>
        <w:instrText xml:space="preserve"> HYPERLINK \l "_Toc184287617" </w:instrText>
      </w:r>
      <w:r>
        <w:fldChar w:fldCharType="separate"/>
      </w:r>
      <w:r>
        <w:rPr>
          <w:rStyle w:val="15"/>
          <w:rFonts w:hint="eastAsia" w:ascii="宋体" w:hAnsi="宋体" w:cs="宋体"/>
        </w:rPr>
        <w:t>（二）培训</w:t>
      </w:r>
      <w:r>
        <w:tab/>
      </w:r>
      <w:r>
        <w:fldChar w:fldCharType="begin"/>
      </w:r>
      <w:r>
        <w:instrText xml:space="preserve"> PAGEREF _Toc184287617 \h </w:instrText>
      </w:r>
      <w:r>
        <w:fldChar w:fldCharType="separate"/>
      </w:r>
      <w:r>
        <w:t>37</w:t>
      </w:r>
      <w:r>
        <w:fldChar w:fldCharType="end"/>
      </w:r>
      <w:r>
        <w:fldChar w:fldCharType="end"/>
      </w:r>
    </w:p>
    <w:p w14:paraId="2D53FA6D">
      <w:pPr>
        <w:pStyle w:val="10"/>
        <w:tabs>
          <w:tab w:val="right" w:leader="dot" w:pos="8296"/>
        </w:tabs>
        <w:rPr>
          <w:rFonts w:asciiTheme="minorHAnsi" w:hAnsiTheme="minorHAnsi" w:eastAsiaTheme="minorEastAsia" w:cstheme="minorBidi"/>
        </w:rPr>
      </w:pPr>
      <w:r>
        <w:fldChar w:fldCharType="begin"/>
      </w:r>
      <w:r>
        <w:instrText xml:space="preserve"> HYPERLINK \l "_Toc184287618" </w:instrText>
      </w:r>
      <w:r>
        <w:fldChar w:fldCharType="separate"/>
      </w:r>
      <w:r>
        <w:rPr>
          <w:rStyle w:val="15"/>
          <w:rFonts w:hint="eastAsia" w:ascii="宋体" w:hAnsi="宋体" w:cs="宋体"/>
        </w:rPr>
        <w:t>（三）演练</w:t>
      </w:r>
      <w:r>
        <w:tab/>
      </w:r>
      <w:r>
        <w:fldChar w:fldCharType="begin"/>
      </w:r>
      <w:r>
        <w:instrText xml:space="preserve"> PAGEREF _Toc184287618 \h </w:instrText>
      </w:r>
      <w:r>
        <w:fldChar w:fldCharType="separate"/>
      </w:r>
      <w:r>
        <w:t>37</w:t>
      </w:r>
      <w:r>
        <w:fldChar w:fldCharType="end"/>
      </w:r>
      <w:r>
        <w:fldChar w:fldCharType="end"/>
      </w:r>
    </w:p>
    <w:p w14:paraId="09BAE425">
      <w:pPr>
        <w:pStyle w:val="10"/>
        <w:tabs>
          <w:tab w:val="right" w:leader="dot" w:pos="8296"/>
        </w:tabs>
        <w:rPr>
          <w:rFonts w:asciiTheme="minorHAnsi" w:hAnsiTheme="minorHAnsi" w:eastAsiaTheme="minorEastAsia" w:cstheme="minorBidi"/>
        </w:rPr>
      </w:pPr>
      <w:r>
        <w:fldChar w:fldCharType="begin"/>
      </w:r>
      <w:r>
        <w:instrText xml:space="preserve"> HYPERLINK \l "_Toc184287619" </w:instrText>
      </w:r>
      <w:r>
        <w:fldChar w:fldCharType="separate"/>
      </w:r>
      <w:r>
        <w:rPr>
          <w:rStyle w:val="15"/>
          <w:rFonts w:hint="eastAsia" w:ascii="宋体" w:hAnsi="宋体" w:cs="宋体"/>
        </w:rPr>
        <w:t>（四）监督检查与奖惩</w:t>
      </w:r>
      <w:r>
        <w:tab/>
      </w:r>
      <w:r>
        <w:fldChar w:fldCharType="begin"/>
      </w:r>
      <w:r>
        <w:instrText xml:space="preserve"> PAGEREF _Toc184287619 \h </w:instrText>
      </w:r>
      <w:r>
        <w:fldChar w:fldCharType="separate"/>
      </w:r>
      <w:r>
        <w:t>37</w:t>
      </w:r>
      <w:r>
        <w:fldChar w:fldCharType="end"/>
      </w:r>
      <w:r>
        <w:fldChar w:fldCharType="end"/>
      </w:r>
    </w:p>
    <w:p w14:paraId="61CF09ED">
      <w:pPr>
        <w:pStyle w:val="10"/>
        <w:tabs>
          <w:tab w:val="right" w:leader="dot" w:pos="8296"/>
        </w:tabs>
        <w:rPr>
          <w:rFonts w:asciiTheme="minorHAnsi" w:hAnsiTheme="minorHAnsi" w:eastAsiaTheme="minorEastAsia" w:cstheme="minorBidi"/>
        </w:rPr>
      </w:pPr>
      <w:r>
        <w:fldChar w:fldCharType="begin"/>
      </w:r>
      <w:r>
        <w:instrText xml:space="preserve"> HYPERLINK \l "_Toc184287620" </w:instrText>
      </w:r>
      <w:r>
        <w:fldChar w:fldCharType="separate"/>
      </w:r>
      <w:r>
        <w:rPr>
          <w:rStyle w:val="15"/>
          <w:rFonts w:hint="eastAsia" w:ascii="宋体" w:hAnsi="宋体" w:cs="宋体"/>
        </w:rPr>
        <w:t>（五）修订与更新</w:t>
      </w:r>
      <w:r>
        <w:tab/>
      </w:r>
      <w:r>
        <w:fldChar w:fldCharType="begin"/>
      </w:r>
      <w:r>
        <w:instrText xml:space="preserve"> PAGEREF _Toc184287620 \h </w:instrText>
      </w:r>
      <w:r>
        <w:fldChar w:fldCharType="separate"/>
      </w:r>
      <w:r>
        <w:t>38</w:t>
      </w:r>
      <w:r>
        <w:fldChar w:fldCharType="end"/>
      </w:r>
      <w:r>
        <w:fldChar w:fldCharType="end"/>
      </w:r>
    </w:p>
    <w:p w14:paraId="5EBCA28F">
      <w:pPr>
        <w:pStyle w:val="10"/>
        <w:tabs>
          <w:tab w:val="right" w:leader="dot" w:pos="8296"/>
        </w:tabs>
        <w:rPr>
          <w:rFonts w:asciiTheme="minorHAnsi" w:hAnsiTheme="minorHAnsi" w:eastAsiaTheme="minorEastAsia" w:cstheme="minorBidi"/>
        </w:rPr>
      </w:pPr>
      <w:r>
        <w:fldChar w:fldCharType="begin"/>
      </w:r>
      <w:r>
        <w:instrText xml:space="preserve"> HYPERLINK \l "_Toc184287621" </w:instrText>
      </w:r>
      <w:r>
        <w:fldChar w:fldCharType="separate"/>
      </w:r>
      <w:r>
        <w:rPr>
          <w:rStyle w:val="15"/>
          <w:rFonts w:hint="eastAsia" w:ascii="宋体" w:hAnsi="宋体" w:cs="宋体"/>
        </w:rPr>
        <w:t>（六）审批与备案</w:t>
      </w:r>
      <w:r>
        <w:tab/>
      </w:r>
      <w:r>
        <w:fldChar w:fldCharType="begin"/>
      </w:r>
      <w:r>
        <w:instrText xml:space="preserve"> PAGEREF _Toc184287621 \h </w:instrText>
      </w:r>
      <w:r>
        <w:fldChar w:fldCharType="separate"/>
      </w:r>
      <w:r>
        <w:t>38</w:t>
      </w:r>
      <w:r>
        <w:fldChar w:fldCharType="end"/>
      </w:r>
      <w:r>
        <w:fldChar w:fldCharType="end"/>
      </w:r>
    </w:p>
    <w:p w14:paraId="05B54383">
      <w:pPr>
        <w:pStyle w:val="10"/>
        <w:tabs>
          <w:tab w:val="right" w:leader="dot" w:pos="8296"/>
        </w:tabs>
        <w:rPr>
          <w:rFonts w:asciiTheme="minorHAnsi" w:hAnsiTheme="minorHAnsi" w:eastAsiaTheme="minorEastAsia" w:cstheme="minorBidi"/>
        </w:rPr>
      </w:pPr>
      <w:r>
        <w:fldChar w:fldCharType="begin"/>
      </w:r>
      <w:r>
        <w:instrText xml:space="preserve"> HYPERLINK \l "_Toc184287622" </w:instrText>
      </w:r>
      <w:r>
        <w:fldChar w:fldCharType="separate"/>
      </w:r>
      <w:r>
        <w:rPr>
          <w:rStyle w:val="15"/>
          <w:rFonts w:hint="eastAsia" w:ascii="宋体" w:hAnsi="宋体" w:cs="宋体"/>
        </w:rPr>
        <w:t>（七）解释与批准</w:t>
      </w:r>
      <w:r>
        <w:tab/>
      </w:r>
      <w:r>
        <w:fldChar w:fldCharType="begin"/>
      </w:r>
      <w:r>
        <w:instrText xml:space="preserve"> PAGEREF _Toc184287622 \h </w:instrText>
      </w:r>
      <w:r>
        <w:fldChar w:fldCharType="separate"/>
      </w:r>
      <w:r>
        <w:t>38</w:t>
      </w:r>
      <w:r>
        <w:fldChar w:fldCharType="end"/>
      </w:r>
      <w:r>
        <w:fldChar w:fldCharType="end"/>
      </w:r>
    </w:p>
    <w:p w14:paraId="15EB99DC">
      <w:pPr>
        <w:pStyle w:val="10"/>
        <w:tabs>
          <w:tab w:val="right" w:leader="dot" w:pos="8296"/>
        </w:tabs>
        <w:rPr>
          <w:rFonts w:asciiTheme="minorHAnsi" w:hAnsiTheme="minorHAnsi" w:eastAsiaTheme="minorEastAsia" w:cstheme="minorBidi"/>
        </w:rPr>
      </w:pPr>
      <w:r>
        <w:fldChar w:fldCharType="begin"/>
      </w:r>
      <w:r>
        <w:instrText xml:space="preserve"> HYPERLINK \l "_Toc184287623" </w:instrText>
      </w:r>
      <w:r>
        <w:fldChar w:fldCharType="separate"/>
      </w:r>
      <w:r>
        <w:rPr>
          <w:rStyle w:val="15"/>
          <w:rFonts w:hint="eastAsia" w:ascii="宋体" w:hAnsi="宋体" w:cs="宋体"/>
        </w:rPr>
        <w:t>（八）预案施行</w:t>
      </w:r>
      <w:r>
        <w:tab/>
      </w:r>
      <w:r>
        <w:fldChar w:fldCharType="begin"/>
      </w:r>
      <w:r>
        <w:instrText xml:space="preserve"> PAGEREF _Toc184287623 \h </w:instrText>
      </w:r>
      <w:r>
        <w:fldChar w:fldCharType="separate"/>
      </w:r>
      <w:r>
        <w:t>39</w:t>
      </w:r>
      <w:r>
        <w:fldChar w:fldCharType="end"/>
      </w:r>
      <w:r>
        <w:fldChar w:fldCharType="end"/>
      </w:r>
    </w:p>
    <w:p w14:paraId="0A7A5947">
      <w:pPr>
        <w:pStyle w:val="9"/>
        <w:rPr>
          <w:rFonts w:asciiTheme="minorHAnsi" w:hAnsiTheme="minorHAnsi" w:eastAsiaTheme="minorEastAsia" w:cstheme="minorBidi"/>
        </w:rPr>
      </w:pPr>
      <w:r>
        <w:fldChar w:fldCharType="begin"/>
      </w:r>
      <w:r>
        <w:instrText xml:space="preserve"> HYPERLINK \l "_Toc184287624" </w:instrText>
      </w:r>
      <w:r>
        <w:fldChar w:fldCharType="separate"/>
      </w:r>
      <w:r>
        <w:rPr>
          <w:rStyle w:val="15"/>
          <w:rFonts w:hint="eastAsia" w:ascii="宋体" w:hAnsi="宋体"/>
          <w:kern w:val="0"/>
        </w:rPr>
        <w:t>十一、附件</w:t>
      </w:r>
      <w:r>
        <w:tab/>
      </w:r>
      <w:r>
        <w:fldChar w:fldCharType="begin"/>
      </w:r>
      <w:r>
        <w:instrText xml:space="preserve"> PAGEREF _Toc184287624 \h </w:instrText>
      </w:r>
      <w:r>
        <w:fldChar w:fldCharType="separate"/>
      </w:r>
      <w:r>
        <w:t>39</w:t>
      </w:r>
      <w:r>
        <w:fldChar w:fldCharType="end"/>
      </w:r>
      <w:r>
        <w:fldChar w:fldCharType="end"/>
      </w:r>
    </w:p>
    <w:p w14:paraId="12BFAFCB">
      <w:pPr>
        <w:pStyle w:val="10"/>
        <w:tabs>
          <w:tab w:val="right" w:leader="dot" w:pos="8296"/>
        </w:tabs>
        <w:rPr>
          <w:rFonts w:asciiTheme="minorHAnsi" w:hAnsiTheme="minorHAnsi" w:eastAsiaTheme="minorEastAsia" w:cstheme="minorBidi"/>
        </w:rPr>
      </w:pPr>
      <w:r>
        <w:fldChar w:fldCharType="begin"/>
      </w:r>
      <w:r>
        <w:instrText xml:space="preserve"> HYPERLINK \l "_Toc184287625" </w:instrText>
      </w:r>
      <w:r>
        <w:fldChar w:fldCharType="separate"/>
      </w:r>
      <w:r>
        <w:rPr>
          <w:rStyle w:val="15"/>
          <w:rFonts w:hint="eastAsia" w:ascii="宋体" w:hAnsi="宋体"/>
          <w:kern w:val="0"/>
        </w:rPr>
        <w:t>附件</w:t>
      </w:r>
      <w:r>
        <w:rPr>
          <w:rStyle w:val="15"/>
          <w:rFonts w:ascii="宋体" w:hAnsi="宋体"/>
          <w:kern w:val="0"/>
        </w:rPr>
        <w:t>1</w:t>
      </w:r>
      <w:r>
        <w:rPr>
          <w:rStyle w:val="15"/>
          <w:rFonts w:hint="eastAsia" w:ascii="宋体" w:hAnsi="宋体"/>
          <w:kern w:val="0"/>
        </w:rPr>
        <w:t>：</w:t>
      </w:r>
      <w:r>
        <w:rPr>
          <w:rStyle w:val="15"/>
          <w:rFonts w:hint="eastAsia" w:ascii="宋体" w:hAnsi="宋体" w:cs="宋体"/>
          <w:kern w:val="0"/>
        </w:rPr>
        <w:t>危险化学品生产安全事故分级</w:t>
      </w:r>
      <w:r>
        <w:tab/>
      </w:r>
      <w:r>
        <w:fldChar w:fldCharType="begin"/>
      </w:r>
      <w:r>
        <w:instrText xml:space="preserve"> PAGEREF _Toc184287625 \h </w:instrText>
      </w:r>
      <w:r>
        <w:fldChar w:fldCharType="separate"/>
      </w:r>
      <w:r>
        <w:t>39</w:t>
      </w:r>
      <w:r>
        <w:fldChar w:fldCharType="end"/>
      </w:r>
      <w:r>
        <w:fldChar w:fldCharType="end"/>
      </w:r>
    </w:p>
    <w:p w14:paraId="5EC7BEA9">
      <w:pPr>
        <w:pStyle w:val="10"/>
        <w:tabs>
          <w:tab w:val="right" w:leader="dot" w:pos="8296"/>
        </w:tabs>
        <w:rPr>
          <w:rFonts w:asciiTheme="minorHAnsi" w:hAnsiTheme="minorHAnsi" w:eastAsiaTheme="minorEastAsia" w:cstheme="minorBidi"/>
        </w:rPr>
      </w:pPr>
      <w:r>
        <w:fldChar w:fldCharType="begin"/>
      </w:r>
      <w:r>
        <w:instrText xml:space="preserve"> HYPERLINK \l "_Toc184287626" </w:instrText>
      </w:r>
      <w:r>
        <w:fldChar w:fldCharType="separate"/>
      </w:r>
      <w:r>
        <w:rPr>
          <w:rStyle w:val="15"/>
          <w:rFonts w:hint="eastAsia" w:ascii="宋体" w:hAnsi="宋体"/>
          <w:kern w:val="0"/>
        </w:rPr>
        <w:t>附件</w:t>
      </w:r>
      <w:r>
        <w:rPr>
          <w:rStyle w:val="15"/>
          <w:rFonts w:ascii="宋体" w:hAnsi="宋体"/>
          <w:kern w:val="0"/>
        </w:rPr>
        <w:t>2</w:t>
      </w:r>
      <w:r>
        <w:rPr>
          <w:rStyle w:val="15"/>
          <w:rFonts w:hint="eastAsia" w:ascii="宋体" w:hAnsi="宋体"/>
          <w:kern w:val="0"/>
        </w:rPr>
        <w:t>：危险化学品相关单位统计表</w:t>
      </w:r>
      <w:r>
        <w:tab/>
      </w:r>
      <w:r>
        <w:fldChar w:fldCharType="begin"/>
      </w:r>
      <w:r>
        <w:instrText xml:space="preserve"> PAGEREF _Toc184287626 \h </w:instrText>
      </w:r>
      <w:r>
        <w:fldChar w:fldCharType="separate"/>
      </w:r>
      <w:r>
        <w:t>41</w:t>
      </w:r>
      <w:r>
        <w:fldChar w:fldCharType="end"/>
      </w:r>
      <w:r>
        <w:fldChar w:fldCharType="end"/>
      </w:r>
    </w:p>
    <w:p w14:paraId="2FEA30E9">
      <w:pPr>
        <w:pStyle w:val="10"/>
        <w:tabs>
          <w:tab w:val="right" w:leader="dot" w:pos="8296"/>
        </w:tabs>
        <w:rPr>
          <w:rFonts w:asciiTheme="minorHAnsi" w:hAnsiTheme="minorHAnsi" w:eastAsiaTheme="minorEastAsia" w:cstheme="minorBidi"/>
        </w:rPr>
      </w:pPr>
      <w:r>
        <w:fldChar w:fldCharType="begin"/>
      </w:r>
      <w:r>
        <w:instrText xml:space="preserve"> HYPERLINK \l "_Toc184287627" </w:instrText>
      </w:r>
      <w:r>
        <w:fldChar w:fldCharType="separate"/>
      </w:r>
      <w:r>
        <w:rPr>
          <w:rStyle w:val="15"/>
          <w:rFonts w:hint="eastAsia" w:ascii="宋体" w:hAnsi="宋体"/>
          <w:kern w:val="0"/>
        </w:rPr>
        <w:t>附件</w:t>
      </w:r>
      <w:r>
        <w:rPr>
          <w:rStyle w:val="15"/>
          <w:rFonts w:ascii="宋体" w:hAnsi="宋体"/>
          <w:kern w:val="0"/>
        </w:rPr>
        <w:t>3</w:t>
      </w:r>
      <w:r>
        <w:rPr>
          <w:rStyle w:val="15"/>
          <w:rFonts w:hint="eastAsia" w:ascii="宋体" w:hAnsi="宋体"/>
          <w:kern w:val="0"/>
        </w:rPr>
        <w:t>：应急救援队伍统计表</w:t>
      </w:r>
      <w:r>
        <w:tab/>
      </w:r>
      <w:r>
        <w:fldChar w:fldCharType="begin"/>
      </w:r>
      <w:r>
        <w:instrText xml:space="preserve"> PAGEREF _Toc184287627 \h </w:instrText>
      </w:r>
      <w:r>
        <w:fldChar w:fldCharType="separate"/>
      </w:r>
      <w:r>
        <w:t>45</w:t>
      </w:r>
      <w:r>
        <w:fldChar w:fldCharType="end"/>
      </w:r>
      <w:r>
        <w:fldChar w:fldCharType="end"/>
      </w:r>
    </w:p>
    <w:p w14:paraId="420B1F7B">
      <w:pPr>
        <w:pStyle w:val="2"/>
        <w:keepNext w:val="0"/>
        <w:keepLines w:val="0"/>
        <w:spacing w:line="360" w:lineRule="auto"/>
        <w:rPr>
          <w:rFonts w:ascii="宋体" w:hAnsi="宋体"/>
          <w:sz w:val="28"/>
          <w:szCs w:val="28"/>
        </w:rPr>
      </w:pPr>
      <w:r>
        <w:fldChar w:fldCharType="end"/>
      </w:r>
      <w:r>
        <w:br w:type="page"/>
      </w:r>
      <w:bookmarkStart w:id="0" w:name="_Toc184287564"/>
      <w:r>
        <w:rPr>
          <w:rFonts w:ascii="宋体" w:hAnsi="宋体"/>
          <w:sz w:val="28"/>
          <w:szCs w:val="28"/>
        </w:rPr>
        <w:t>一</w:t>
      </w:r>
      <w:r>
        <w:rPr>
          <w:rFonts w:hint="eastAsia" w:ascii="宋体" w:hAnsi="宋体"/>
          <w:sz w:val="28"/>
          <w:szCs w:val="28"/>
        </w:rPr>
        <w:t>、</w:t>
      </w:r>
      <w:r>
        <w:rPr>
          <w:rFonts w:ascii="宋体" w:hAnsi="宋体"/>
          <w:sz w:val="28"/>
          <w:szCs w:val="28"/>
        </w:rPr>
        <w:t>总则</w:t>
      </w:r>
      <w:bookmarkEnd w:id="0"/>
    </w:p>
    <w:p w14:paraId="2F901452">
      <w:pPr>
        <w:pStyle w:val="3"/>
        <w:keepNext w:val="0"/>
        <w:keepLines w:val="0"/>
        <w:spacing w:before="0" w:after="0" w:line="360" w:lineRule="auto"/>
        <w:rPr>
          <w:rFonts w:ascii="宋体" w:hAnsi="宋体"/>
          <w:kern w:val="0"/>
          <w:sz w:val="28"/>
          <w:szCs w:val="28"/>
        </w:rPr>
      </w:pPr>
      <w:bookmarkStart w:id="1" w:name="_Toc184287565"/>
      <w:r>
        <w:rPr>
          <w:rFonts w:hint="eastAsia" w:ascii="宋体" w:hAnsi="宋体"/>
          <w:kern w:val="0"/>
          <w:sz w:val="28"/>
          <w:szCs w:val="28"/>
        </w:rPr>
        <w:t>（一）</w:t>
      </w:r>
      <w:r>
        <w:rPr>
          <w:rFonts w:ascii="宋体" w:hAnsi="宋体"/>
          <w:kern w:val="0"/>
          <w:sz w:val="28"/>
          <w:szCs w:val="28"/>
        </w:rPr>
        <w:t>编制目的</w:t>
      </w:r>
      <w:bookmarkEnd w:id="1"/>
    </w:p>
    <w:p w14:paraId="5BB678FF">
      <w:pPr>
        <w:spacing w:line="360" w:lineRule="auto"/>
        <w:ind w:firstLine="560" w:firstLineChars="200"/>
        <w:jc w:val="left"/>
        <w:rPr>
          <w:rFonts w:ascii="宋体" w:hAnsi="宋体" w:cs="Arial"/>
          <w:kern w:val="0"/>
          <w:sz w:val="28"/>
          <w:szCs w:val="28"/>
        </w:rPr>
      </w:pPr>
      <w:r>
        <w:rPr>
          <w:rFonts w:hint="eastAsia" w:ascii="宋体" w:hAnsi="宋体" w:cs="宋体"/>
          <w:kern w:val="0"/>
          <w:sz w:val="28"/>
          <w:szCs w:val="28"/>
        </w:rPr>
        <w:t>为规范危险化学品生产安全事故应急处置职责和响应程序，不断提高事故应急救援工作能力，建立统一领导、分工明确、预警预防、分级响应、快速反应、科学高效、保障有力的应急救援体系，切实有效防止事故灾害的扩大，及时有效地实施应急救援工作，最大限度地降低事故危害程度、人员伤亡和经济损失，保护人民群众的生命安全，维护社会稳定，促进本县经济发展</w:t>
      </w:r>
      <w:r>
        <w:rPr>
          <w:rFonts w:ascii="宋体" w:hAnsi="宋体" w:cs="Arial"/>
          <w:kern w:val="0"/>
          <w:sz w:val="28"/>
          <w:szCs w:val="28"/>
        </w:rPr>
        <w:t>。</w:t>
      </w:r>
    </w:p>
    <w:p w14:paraId="7EDDC872">
      <w:pPr>
        <w:pStyle w:val="3"/>
        <w:keepNext w:val="0"/>
        <w:keepLines w:val="0"/>
        <w:spacing w:before="0" w:after="0" w:line="360" w:lineRule="auto"/>
        <w:rPr>
          <w:rFonts w:ascii="宋体" w:hAnsi="宋体"/>
          <w:kern w:val="0"/>
          <w:sz w:val="28"/>
          <w:szCs w:val="28"/>
        </w:rPr>
      </w:pPr>
      <w:bookmarkStart w:id="2" w:name="_Toc184287566"/>
      <w:r>
        <w:rPr>
          <w:rFonts w:hint="eastAsia" w:ascii="宋体" w:hAnsi="宋体"/>
          <w:kern w:val="0"/>
          <w:sz w:val="28"/>
          <w:szCs w:val="28"/>
        </w:rPr>
        <w:t>（二）</w:t>
      </w:r>
      <w:r>
        <w:rPr>
          <w:rFonts w:ascii="宋体" w:hAnsi="宋体"/>
          <w:kern w:val="0"/>
          <w:sz w:val="28"/>
          <w:szCs w:val="28"/>
        </w:rPr>
        <w:t>编制依据</w:t>
      </w:r>
      <w:bookmarkEnd w:id="2"/>
    </w:p>
    <w:p w14:paraId="246B1535">
      <w:pPr>
        <w:pStyle w:val="17"/>
        <w:numPr>
          <w:ilvl w:val="0"/>
          <w:numId w:val="1"/>
        </w:numPr>
        <w:spacing w:line="360" w:lineRule="auto"/>
        <w:ind w:left="426" w:hanging="426" w:firstLineChars="0"/>
        <w:jc w:val="left"/>
        <w:rPr>
          <w:rFonts w:ascii="宋体" w:hAnsi="宋体" w:cs="宋体"/>
          <w:kern w:val="0"/>
          <w:sz w:val="28"/>
          <w:szCs w:val="28"/>
        </w:rPr>
      </w:pPr>
      <w:r>
        <w:rPr>
          <w:rFonts w:ascii="宋体" w:hAnsi="宋体" w:cs="Arial"/>
          <w:kern w:val="0"/>
          <w:sz w:val="28"/>
          <w:szCs w:val="28"/>
        </w:rPr>
        <w:t>《中华人民共和国突发事件应对法》</w:t>
      </w:r>
    </w:p>
    <w:p w14:paraId="798DC95D">
      <w:pPr>
        <w:pStyle w:val="17"/>
        <w:numPr>
          <w:ilvl w:val="0"/>
          <w:numId w:val="1"/>
        </w:numPr>
        <w:spacing w:line="360" w:lineRule="auto"/>
        <w:ind w:left="426" w:hanging="426" w:firstLineChars="0"/>
        <w:jc w:val="left"/>
        <w:rPr>
          <w:rFonts w:ascii="宋体" w:hAnsi="宋体" w:cs="宋体"/>
          <w:kern w:val="0"/>
          <w:sz w:val="28"/>
          <w:szCs w:val="28"/>
        </w:rPr>
      </w:pPr>
      <w:r>
        <w:rPr>
          <w:rFonts w:hint="eastAsia" w:ascii="宋体" w:hAnsi="宋体" w:cs="宋体"/>
          <w:kern w:val="0"/>
          <w:sz w:val="28"/>
          <w:szCs w:val="28"/>
        </w:rPr>
        <w:t>《中华人民共和国安全生产法》</w:t>
      </w:r>
    </w:p>
    <w:p w14:paraId="30D4AD49">
      <w:pPr>
        <w:pStyle w:val="17"/>
        <w:numPr>
          <w:ilvl w:val="0"/>
          <w:numId w:val="1"/>
        </w:numPr>
        <w:spacing w:line="360" w:lineRule="auto"/>
        <w:ind w:left="426" w:hanging="426" w:firstLineChars="0"/>
        <w:jc w:val="left"/>
        <w:rPr>
          <w:rFonts w:ascii="宋体" w:hAnsi="宋体" w:cs="宋体"/>
          <w:kern w:val="0"/>
          <w:sz w:val="28"/>
          <w:szCs w:val="28"/>
        </w:rPr>
      </w:pPr>
      <w:r>
        <w:rPr>
          <w:rFonts w:hint="eastAsia" w:ascii="宋体" w:hAnsi="宋体"/>
          <w:sz w:val="28"/>
          <w:szCs w:val="28"/>
        </w:rPr>
        <w:t>《中华人民共和国消防法》</w:t>
      </w:r>
    </w:p>
    <w:p w14:paraId="7E26AFA7">
      <w:pPr>
        <w:pStyle w:val="17"/>
        <w:numPr>
          <w:ilvl w:val="0"/>
          <w:numId w:val="1"/>
        </w:numPr>
        <w:spacing w:line="360" w:lineRule="auto"/>
        <w:ind w:left="426" w:hanging="426" w:firstLineChars="0"/>
        <w:jc w:val="left"/>
        <w:rPr>
          <w:rFonts w:ascii="宋体" w:hAnsi="宋体" w:cs="宋体"/>
          <w:kern w:val="0"/>
          <w:sz w:val="28"/>
          <w:szCs w:val="28"/>
        </w:rPr>
      </w:pPr>
      <w:r>
        <w:rPr>
          <w:rFonts w:hint="eastAsia" w:ascii="宋体" w:hAnsi="宋体" w:cs="宋体"/>
          <w:kern w:val="0"/>
          <w:sz w:val="28"/>
          <w:szCs w:val="28"/>
        </w:rPr>
        <w:t>《生产安全事故报告和调查处理条例》</w:t>
      </w:r>
    </w:p>
    <w:p w14:paraId="1620FB18">
      <w:pPr>
        <w:pStyle w:val="17"/>
        <w:numPr>
          <w:ilvl w:val="0"/>
          <w:numId w:val="1"/>
        </w:numPr>
        <w:spacing w:line="360" w:lineRule="auto"/>
        <w:ind w:left="426" w:hanging="426" w:firstLineChars="0"/>
        <w:jc w:val="left"/>
        <w:rPr>
          <w:rFonts w:ascii="宋体" w:hAnsi="宋体" w:cs="宋体"/>
          <w:kern w:val="0"/>
          <w:sz w:val="28"/>
          <w:szCs w:val="28"/>
        </w:rPr>
      </w:pPr>
      <w:r>
        <w:rPr>
          <w:rFonts w:hint="eastAsia" w:ascii="宋体" w:hAnsi="宋体" w:cs="宋体"/>
          <w:kern w:val="0"/>
          <w:sz w:val="28"/>
          <w:szCs w:val="28"/>
        </w:rPr>
        <w:t>《生产安全事故应急条例》</w:t>
      </w:r>
    </w:p>
    <w:p w14:paraId="37448114">
      <w:pPr>
        <w:pStyle w:val="17"/>
        <w:numPr>
          <w:ilvl w:val="0"/>
          <w:numId w:val="1"/>
        </w:numPr>
        <w:spacing w:line="360" w:lineRule="auto"/>
        <w:ind w:left="426" w:hanging="426" w:firstLineChars="0"/>
        <w:jc w:val="left"/>
        <w:rPr>
          <w:rFonts w:ascii="宋体" w:hAnsi="宋体" w:cs="宋体"/>
          <w:kern w:val="0"/>
          <w:sz w:val="28"/>
          <w:szCs w:val="28"/>
        </w:rPr>
      </w:pPr>
      <w:r>
        <w:rPr>
          <w:rFonts w:hint="eastAsia" w:ascii="宋体" w:hAnsi="宋体" w:cs="宋体"/>
          <w:kern w:val="0"/>
          <w:sz w:val="28"/>
          <w:szCs w:val="28"/>
        </w:rPr>
        <w:t>《危险化学品安全管理条例》</w:t>
      </w:r>
    </w:p>
    <w:p w14:paraId="2D48C83E">
      <w:pPr>
        <w:pStyle w:val="17"/>
        <w:numPr>
          <w:ilvl w:val="0"/>
          <w:numId w:val="1"/>
        </w:numPr>
        <w:spacing w:line="360" w:lineRule="auto"/>
        <w:ind w:left="426" w:hanging="426" w:firstLineChars="0"/>
        <w:jc w:val="left"/>
        <w:rPr>
          <w:rFonts w:ascii="宋体" w:hAnsi="宋体" w:cs="宋体"/>
          <w:kern w:val="0"/>
          <w:sz w:val="28"/>
          <w:szCs w:val="28"/>
        </w:rPr>
      </w:pPr>
      <w:r>
        <w:rPr>
          <w:rFonts w:hint="eastAsia" w:ascii="宋体" w:hAnsi="宋体" w:cs="宋体"/>
          <w:kern w:val="0"/>
          <w:sz w:val="28"/>
          <w:szCs w:val="28"/>
        </w:rPr>
        <w:t>《生产安全事故应急预案管理办法》</w:t>
      </w:r>
    </w:p>
    <w:p w14:paraId="745D9ED4">
      <w:pPr>
        <w:pStyle w:val="17"/>
        <w:numPr>
          <w:ilvl w:val="0"/>
          <w:numId w:val="1"/>
        </w:numPr>
        <w:spacing w:line="360" w:lineRule="auto"/>
        <w:ind w:left="426" w:hanging="426" w:firstLineChars="0"/>
        <w:jc w:val="left"/>
        <w:rPr>
          <w:rFonts w:ascii="宋体" w:hAnsi="宋体" w:cs="宋体"/>
          <w:kern w:val="0"/>
          <w:sz w:val="28"/>
          <w:szCs w:val="28"/>
        </w:rPr>
      </w:pPr>
      <w:r>
        <w:rPr>
          <w:rFonts w:hint="eastAsia" w:ascii="宋体" w:hAnsi="宋体" w:cs="宋体"/>
          <w:kern w:val="0"/>
          <w:sz w:val="28"/>
          <w:szCs w:val="28"/>
        </w:rPr>
        <w:t>《黑龙江省突发事件应急预案管理实施办法》</w:t>
      </w:r>
    </w:p>
    <w:p w14:paraId="246DF898">
      <w:pPr>
        <w:pStyle w:val="17"/>
        <w:numPr>
          <w:ilvl w:val="0"/>
          <w:numId w:val="1"/>
        </w:numPr>
        <w:spacing w:line="360" w:lineRule="auto"/>
        <w:ind w:left="426" w:hanging="426" w:firstLineChars="0"/>
        <w:jc w:val="left"/>
        <w:rPr>
          <w:rFonts w:ascii="宋体" w:hAnsi="宋体" w:cs="宋体"/>
          <w:kern w:val="0"/>
          <w:sz w:val="28"/>
          <w:szCs w:val="28"/>
        </w:rPr>
      </w:pPr>
      <w:r>
        <w:rPr>
          <w:rFonts w:ascii="宋体" w:hAnsi="宋体" w:cs="宋体"/>
          <w:kern w:val="0"/>
          <w:sz w:val="28"/>
          <w:szCs w:val="28"/>
        </w:rPr>
        <w:t>《桦南县生产安全事故应急预案》</w:t>
      </w:r>
    </w:p>
    <w:p w14:paraId="3D31F6BC">
      <w:pPr>
        <w:pStyle w:val="3"/>
        <w:keepNext w:val="0"/>
        <w:keepLines w:val="0"/>
        <w:spacing w:before="0" w:after="0" w:line="360" w:lineRule="auto"/>
        <w:rPr>
          <w:rFonts w:ascii="宋体" w:hAnsi="宋体"/>
          <w:kern w:val="0"/>
          <w:sz w:val="28"/>
          <w:szCs w:val="28"/>
        </w:rPr>
      </w:pPr>
      <w:bookmarkStart w:id="3" w:name="_Toc184287567"/>
      <w:r>
        <w:rPr>
          <w:rFonts w:hint="eastAsia" w:ascii="宋体" w:hAnsi="宋体"/>
          <w:kern w:val="0"/>
          <w:sz w:val="28"/>
          <w:szCs w:val="28"/>
        </w:rPr>
        <w:t>（三）</w:t>
      </w:r>
      <w:r>
        <w:rPr>
          <w:rFonts w:ascii="宋体" w:hAnsi="宋体"/>
          <w:kern w:val="0"/>
          <w:sz w:val="28"/>
          <w:szCs w:val="28"/>
        </w:rPr>
        <w:t>工作原则</w:t>
      </w:r>
      <w:bookmarkEnd w:id="3"/>
    </w:p>
    <w:p w14:paraId="4D6F4133">
      <w:pPr>
        <w:spacing w:line="360" w:lineRule="auto"/>
        <w:ind w:firstLine="480"/>
        <w:jc w:val="left"/>
        <w:rPr>
          <w:rFonts w:ascii="宋体" w:hAnsi="宋体" w:cs="Arial"/>
          <w:kern w:val="0"/>
          <w:sz w:val="28"/>
          <w:szCs w:val="28"/>
        </w:rPr>
      </w:pPr>
      <w:r>
        <w:rPr>
          <w:rFonts w:ascii="宋体" w:hAnsi="宋体" w:cs="Arial"/>
          <w:kern w:val="0"/>
          <w:sz w:val="28"/>
          <w:szCs w:val="28"/>
        </w:rPr>
        <w:t>统一指挥，密切合作。有关部门、救援队伍要服从指挥，各司其职，各负其责，相互配合，形成合力。</w:t>
      </w:r>
    </w:p>
    <w:p w14:paraId="6237648D">
      <w:pPr>
        <w:spacing w:line="360" w:lineRule="auto"/>
        <w:ind w:firstLine="480"/>
        <w:jc w:val="left"/>
        <w:rPr>
          <w:rFonts w:ascii="宋体" w:hAnsi="宋体" w:cs="Arial"/>
          <w:kern w:val="0"/>
          <w:sz w:val="28"/>
          <w:szCs w:val="28"/>
        </w:rPr>
      </w:pPr>
      <w:r>
        <w:rPr>
          <w:rFonts w:ascii="宋体" w:hAnsi="宋体" w:cs="Arial"/>
          <w:kern w:val="0"/>
          <w:sz w:val="28"/>
          <w:szCs w:val="28"/>
        </w:rPr>
        <w:t>集中力量，突出重点。发生危险化学品生产安全事故时，根据事故现场实际情况，以救人为重点，集中力量开展救援工作。</w:t>
      </w:r>
    </w:p>
    <w:p w14:paraId="0B175C9F">
      <w:pPr>
        <w:spacing w:line="360" w:lineRule="auto"/>
        <w:ind w:firstLine="480"/>
        <w:jc w:val="left"/>
        <w:rPr>
          <w:rFonts w:ascii="宋体" w:hAnsi="宋体" w:cs="Arial"/>
          <w:kern w:val="0"/>
          <w:sz w:val="28"/>
          <w:szCs w:val="28"/>
        </w:rPr>
      </w:pPr>
      <w:r>
        <w:rPr>
          <w:rFonts w:ascii="宋体" w:hAnsi="宋体" w:cs="Arial"/>
          <w:kern w:val="0"/>
          <w:sz w:val="28"/>
          <w:szCs w:val="28"/>
        </w:rPr>
        <w:t>企业自救与社会救援相结合。发生事故的危险化学品</w:t>
      </w:r>
      <w:r>
        <w:rPr>
          <w:rFonts w:hint="eastAsia" w:ascii="宋体" w:hAnsi="宋体" w:cs="Arial"/>
          <w:kern w:val="0"/>
          <w:sz w:val="28"/>
          <w:szCs w:val="28"/>
        </w:rPr>
        <w:t>生产经营</w:t>
      </w:r>
      <w:r>
        <w:rPr>
          <w:rFonts w:ascii="宋体" w:hAnsi="宋体" w:cs="Arial"/>
          <w:kern w:val="0"/>
          <w:sz w:val="28"/>
          <w:szCs w:val="28"/>
        </w:rPr>
        <w:t>企业，应立即组织</w:t>
      </w:r>
      <w:r>
        <w:rPr>
          <w:rFonts w:hint="eastAsia" w:ascii="宋体" w:hAnsi="宋体" w:cs="Arial"/>
          <w:kern w:val="0"/>
          <w:sz w:val="28"/>
          <w:szCs w:val="28"/>
        </w:rPr>
        <w:t>本单位</w:t>
      </w:r>
      <w:r>
        <w:rPr>
          <w:rFonts w:ascii="宋体" w:hAnsi="宋体" w:cs="Arial"/>
          <w:kern w:val="0"/>
          <w:sz w:val="28"/>
          <w:szCs w:val="28"/>
        </w:rPr>
        <w:t>应急</w:t>
      </w:r>
      <w:r>
        <w:rPr>
          <w:rFonts w:hint="eastAsia" w:ascii="宋体" w:hAnsi="宋体" w:cs="Arial"/>
          <w:kern w:val="0"/>
          <w:sz w:val="28"/>
          <w:szCs w:val="28"/>
        </w:rPr>
        <w:t>人员</w:t>
      </w:r>
      <w:r>
        <w:rPr>
          <w:rFonts w:ascii="宋体" w:hAnsi="宋体" w:cs="Arial"/>
          <w:kern w:val="0"/>
          <w:sz w:val="28"/>
          <w:szCs w:val="28"/>
        </w:rPr>
        <w:t>进行抢险，并做到边抢险边报告，防止事故</w:t>
      </w:r>
      <w:r>
        <w:rPr>
          <w:rFonts w:hint="eastAsia" w:ascii="宋体" w:hAnsi="宋体" w:cs="Arial"/>
          <w:kern w:val="0"/>
          <w:sz w:val="28"/>
          <w:szCs w:val="28"/>
        </w:rPr>
        <w:t>、险情</w:t>
      </w:r>
      <w:r>
        <w:rPr>
          <w:rFonts w:ascii="宋体" w:hAnsi="宋体" w:cs="Arial"/>
          <w:kern w:val="0"/>
          <w:sz w:val="28"/>
          <w:szCs w:val="28"/>
        </w:rPr>
        <w:t>扩大</w:t>
      </w:r>
      <w:r>
        <w:rPr>
          <w:rFonts w:hint="eastAsia" w:ascii="宋体" w:hAnsi="宋体" w:cs="Arial"/>
          <w:kern w:val="0"/>
          <w:sz w:val="28"/>
          <w:szCs w:val="28"/>
        </w:rPr>
        <w:t>，</w:t>
      </w:r>
      <w:r>
        <w:rPr>
          <w:rFonts w:ascii="宋体" w:hAnsi="宋体" w:cs="Arial"/>
          <w:kern w:val="0"/>
          <w:sz w:val="28"/>
          <w:szCs w:val="28"/>
        </w:rPr>
        <w:t>及时动员就近社会力量参与救援。</w:t>
      </w:r>
    </w:p>
    <w:p w14:paraId="3B3921CD">
      <w:pPr>
        <w:spacing w:line="360" w:lineRule="auto"/>
        <w:ind w:firstLine="480"/>
        <w:jc w:val="left"/>
        <w:rPr>
          <w:rFonts w:ascii="宋体" w:hAnsi="宋体" w:cs="Arial"/>
          <w:kern w:val="0"/>
          <w:sz w:val="28"/>
          <w:szCs w:val="28"/>
        </w:rPr>
      </w:pPr>
      <w:r>
        <w:rPr>
          <w:rFonts w:ascii="宋体" w:hAnsi="宋体" w:cs="Arial"/>
          <w:kern w:val="0"/>
          <w:sz w:val="28"/>
          <w:szCs w:val="28"/>
        </w:rPr>
        <w:t>属地为主，区域化救援。发生危险化学品</w:t>
      </w:r>
      <w:r>
        <w:rPr>
          <w:rFonts w:hint="eastAsia" w:ascii="宋体" w:hAnsi="宋体" w:cs="Arial"/>
          <w:kern w:val="0"/>
          <w:sz w:val="28"/>
          <w:szCs w:val="28"/>
        </w:rPr>
        <w:t>生产</w:t>
      </w:r>
      <w:r>
        <w:rPr>
          <w:rFonts w:ascii="宋体" w:hAnsi="宋体" w:cs="Arial"/>
          <w:kern w:val="0"/>
          <w:sz w:val="28"/>
          <w:szCs w:val="28"/>
        </w:rPr>
        <w:t>安全事故时，</w:t>
      </w:r>
      <w:r>
        <w:rPr>
          <w:rFonts w:hint="eastAsia" w:ascii="宋体" w:hAnsi="宋体" w:cs="Arial"/>
          <w:kern w:val="0"/>
          <w:sz w:val="28"/>
          <w:szCs w:val="28"/>
        </w:rPr>
        <w:t>事发地乡镇人民政府、社区办、社区管委会、经开区管委会</w:t>
      </w:r>
      <w:r>
        <w:rPr>
          <w:rFonts w:ascii="宋体" w:hAnsi="宋体" w:cs="Arial"/>
          <w:kern w:val="0"/>
          <w:sz w:val="28"/>
          <w:szCs w:val="28"/>
        </w:rPr>
        <w:t>首先启动本级政府应急预案，</w:t>
      </w:r>
      <w:r>
        <w:rPr>
          <w:rFonts w:hint="eastAsia" w:ascii="宋体" w:hAnsi="宋体" w:cs="Arial"/>
          <w:kern w:val="0"/>
          <w:sz w:val="28"/>
          <w:szCs w:val="28"/>
        </w:rPr>
        <w:t>做好</w:t>
      </w:r>
      <w:r>
        <w:rPr>
          <w:rFonts w:ascii="宋体" w:hAnsi="宋体" w:cs="Arial"/>
          <w:kern w:val="0"/>
          <w:sz w:val="28"/>
          <w:szCs w:val="28"/>
        </w:rPr>
        <w:t>事故报告、事态控制、警戒隔离、人员疏散等先期处置工作。</w:t>
      </w:r>
    </w:p>
    <w:p w14:paraId="1255BEEB">
      <w:pPr>
        <w:spacing w:line="360" w:lineRule="auto"/>
        <w:ind w:firstLine="480"/>
        <w:jc w:val="left"/>
        <w:rPr>
          <w:rFonts w:ascii="宋体" w:hAnsi="宋体" w:cs="Arial"/>
          <w:kern w:val="0"/>
          <w:sz w:val="28"/>
          <w:szCs w:val="28"/>
        </w:rPr>
      </w:pPr>
      <w:r>
        <w:rPr>
          <w:rFonts w:ascii="宋体" w:hAnsi="宋体" w:cs="Arial"/>
          <w:kern w:val="0"/>
          <w:sz w:val="28"/>
          <w:szCs w:val="28"/>
        </w:rPr>
        <w:t>共同协作，快速救援。任何单位和个人都必须支持、配合事故救援，并提供事故施救所需的一切便利条件。</w:t>
      </w:r>
    </w:p>
    <w:p w14:paraId="56A2B9C2">
      <w:pPr>
        <w:pStyle w:val="3"/>
        <w:keepNext w:val="0"/>
        <w:keepLines w:val="0"/>
        <w:spacing w:before="0" w:after="0" w:line="360" w:lineRule="auto"/>
        <w:rPr>
          <w:rFonts w:ascii="宋体" w:hAnsi="宋体"/>
          <w:kern w:val="0"/>
          <w:sz w:val="28"/>
          <w:szCs w:val="28"/>
        </w:rPr>
      </w:pPr>
      <w:bookmarkStart w:id="4" w:name="_Toc184287568"/>
      <w:r>
        <w:rPr>
          <w:rFonts w:hint="eastAsia" w:ascii="宋体" w:hAnsi="宋体"/>
          <w:kern w:val="0"/>
          <w:sz w:val="28"/>
          <w:szCs w:val="28"/>
        </w:rPr>
        <w:t>（四）</w:t>
      </w:r>
      <w:r>
        <w:rPr>
          <w:rFonts w:ascii="宋体" w:hAnsi="宋体"/>
          <w:kern w:val="0"/>
          <w:sz w:val="28"/>
          <w:szCs w:val="28"/>
        </w:rPr>
        <w:t>适用范围</w:t>
      </w:r>
      <w:bookmarkEnd w:id="4"/>
    </w:p>
    <w:p w14:paraId="1063DE1A">
      <w:pPr>
        <w:spacing w:line="360" w:lineRule="auto"/>
        <w:ind w:firstLine="480"/>
        <w:jc w:val="left"/>
        <w:rPr>
          <w:rFonts w:ascii="宋体" w:hAnsi="宋体" w:cs="Arial"/>
          <w:kern w:val="0"/>
          <w:sz w:val="28"/>
          <w:szCs w:val="28"/>
        </w:rPr>
      </w:pPr>
      <w:r>
        <w:rPr>
          <w:rFonts w:ascii="宋体" w:hAnsi="宋体" w:cs="Arial"/>
          <w:kern w:val="0"/>
          <w:sz w:val="28"/>
          <w:szCs w:val="28"/>
        </w:rPr>
        <w:t>本预案适用于桦南县</w:t>
      </w:r>
      <w:r>
        <w:rPr>
          <w:rFonts w:hint="eastAsia" w:ascii="宋体" w:hAnsi="宋体" w:cs="Arial"/>
          <w:kern w:val="0"/>
          <w:sz w:val="28"/>
          <w:szCs w:val="28"/>
        </w:rPr>
        <w:t>行政区域</w:t>
      </w:r>
      <w:r>
        <w:rPr>
          <w:rFonts w:ascii="宋体" w:hAnsi="宋体" w:cs="Arial"/>
          <w:kern w:val="0"/>
          <w:sz w:val="28"/>
          <w:szCs w:val="28"/>
        </w:rPr>
        <w:t>内，</w:t>
      </w:r>
      <w:r>
        <w:rPr>
          <w:rFonts w:hint="eastAsia" w:ascii="宋体" w:hAnsi="宋体" w:cs="Arial"/>
          <w:kern w:val="0"/>
          <w:sz w:val="28"/>
          <w:szCs w:val="28"/>
        </w:rPr>
        <w:t>在危险化学品生产、经营、储存、使用、运输过程中发生的泄漏、燃烧、爆炸、中毒窒息、灼伤等危险化学品</w:t>
      </w:r>
      <w:r>
        <w:rPr>
          <w:rFonts w:ascii="宋体" w:hAnsi="宋体" w:cs="宋体"/>
          <w:kern w:val="0"/>
          <w:sz w:val="28"/>
          <w:szCs w:val="28"/>
        </w:rPr>
        <w:t>生产安全事故应对</w:t>
      </w:r>
      <w:r>
        <w:rPr>
          <w:rFonts w:hint="eastAsia" w:ascii="宋体" w:hAnsi="宋体" w:cs="宋体"/>
          <w:kern w:val="0"/>
          <w:sz w:val="28"/>
          <w:szCs w:val="28"/>
        </w:rPr>
        <w:t>处置</w:t>
      </w:r>
      <w:r>
        <w:rPr>
          <w:rFonts w:ascii="宋体" w:hAnsi="宋体" w:cs="宋体"/>
          <w:kern w:val="0"/>
          <w:sz w:val="28"/>
          <w:szCs w:val="28"/>
        </w:rPr>
        <w:t>工作</w:t>
      </w:r>
      <w:r>
        <w:rPr>
          <w:rFonts w:ascii="宋体" w:hAnsi="宋体" w:cs="Arial"/>
          <w:kern w:val="0"/>
          <w:sz w:val="28"/>
          <w:szCs w:val="28"/>
        </w:rPr>
        <w:t>。</w:t>
      </w:r>
    </w:p>
    <w:p w14:paraId="3EDDF3A0">
      <w:pPr>
        <w:pStyle w:val="2"/>
        <w:keepNext w:val="0"/>
        <w:keepLines w:val="0"/>
        <w:spacing w:before="0" w:after="0" w:line="360" w:lineRule="auto"/>
        <w:rPr>
          <w:rFonts w:ascii="宋体" w:hAnsi="宋体"/>
          <w:sz w:val="28"/>
          <w:szCs w:val="28"/>
        </w:rPr>
      </w:pPr>
      <w:bookmarkStart w:id="5" w:name="_Toc184287569"/>
      <w:r>
        <w:rPr>
          <w:rFonts w:hint="eastAsia" w:ascii="宋体" w:hAnsi="宋体"/>
          <w:sz w:val="28"/>
          <w:szCs w:val="28"/>
        </w:rPr>
        <w:t>二、</w:t>
      </w:r>
      <w:r>
        <w:rPr>
          <w:rFonts w:ascii="宋体" w:hAnsi="宋体"/>
          <w:sz w:val="28"/>
          <w:szCs w:val="28"/>
        </w:rPr>
        <w:t>组织</w:t>
      </w:r>
      <w:r>
        <w:rPr>
          <w:rFonts w:hint="eastAsia" w:ascii="宋体" w:hAnsi="宋体"/>
          <w:sz w:val="28"/>
          <w:szCs w:val="28"/>
        </w:rPr>
        <w:t>领导机制</w:t>
      </w:r>
      <w:bookmarkEnd w:id="5"/>
    </w:p>
    <w:p w14:paraId="726EBF8F">
      <w:pPr>
        <w:pStyle w:val="3"/>
        <w:keepNext w:val="0"/>
        <w:keepLines w:val="0"/>
        <w:spacing w:before="0" w:after="0" w:line="360" w:lineRule="auto"/>
        <w:rPr>
          <w:rFonts w:ascii="宋体" w:hAnsi="宋体"/>
          <w:kern w:val="0"/>
          <w:sz w:val="28"/>
          <w:szCs w:val="28"/>
        </w:rPr>
      </w:pPr>
      <w:bookmarkStart w:id="6" w:name="_Toc184287570"/>
      <w:r>
        <w:rPr>
          <w:rFonts w:hint="eastAsia" w:ascii="宋体" w:hAnsi="宋体"/>
          <w:kern w:val="0"/>
          <w:sz w:val="28"/>
          <w:szCs w:val="28"/>
        </w:rPr>
        <w:t>（一）</w:t>
      </w:r>
      <w:r>
        <w:rPr>
          <w:rFonts w:ascii="宋体" w:hAnsi="宋体"/>
          <w:kern w:val="0"/>
          <w:sz w:val="28"/>
          <w:szCs w:val="28"/>
        </w:rPr>
        <w:t>应急</w:t>
      </w:r>
      <w:r>
        <w:rPr>
          <w:rFonts w:hint="eastAsia" w:ascii="宋体" w:hAnsi="宋体"/>
          <w:kern w:val="0"/>
          <w:sz w:val="28"/>
          <w:szCs w:val="28"/>
        </w:rPr>
        <w:t>指挥</w:t>
      </w:r>
      <w:bookmarkEnd w:id="6"/>
    </w:p>
    <w:p w14:paraId="33C83EC3">
      <w:pPr>
        <w:pStyle w:val="17"/>
        <w:spacing w:line="360" w:lineRule="auto"/>
        <w:ind w:firstLine="560"/>
        <w:jc w:val="left"/>
        <w:rPr>
          <w:rFonts w:ascii="宋体" w:hAnsi="宋体" w:cs="宋体"/>
          <w:kern w:val="0"/>
          <w:sz w:val="28"/>
          <w:szCs w:val="28"/>
        </w:rPr>
      </w:pPr>
      <w:r>
        <w:rPr>
          <w:rFonts w:hint="eastAsia" w:ascii="宋体" w:hAnsi="宋体" w:cs="宋体"/>
          <w:kern w:val="0"/>
          <w:sz w:val="28"/>
          <w:szCs w:val="28"/>
        </w:rPr>
        <w:t>县政府成立危险化学品生产安全事故应急指挥部（以下称县应急指挥部），当危险化学品生产安全事故发生时，事故单位、事故所在地乡镇人民政府、社区办、社区管委会、经开区管委会等及时报告县政府值班室、县应急管理局。应急管理局立即报告危险化学品生产安全事故应急指挥部负责人，发布预案启动命令，指挥、协调各相关部门、单位做好危险化学品生产安全事故应急管理和应急救援指挥工作。</w:t>
      </w:r>
    </w:p>
    <w:p w14:paraId="19F374B4">
      <w:pPr>
        <w:pStyle w:val="3"/>
        <w:keepNext w:val="0"/>
        <w:keepLines w:val="0"/>
        <w:spacing w:before="0" w:after="0" w:line="360" w:lineRule="auto"/>
        <w:rPr>
          <w:rFonts w:ascii="宋体" w:hAnsi="宋体"/>
          <w:kern w:val="0"/>
          <w:sz w:val="28"/>
          <w:szCs w:val="28"/>
        </w:rPr>
      </w:pPr>
      <w:bookmarkStart w:id="7" w:name="_Toc184287571"/>
      <w:r>
        <w:rPr>
          <w:rFonts w:hint="eastAsia" w:ascii="宋体" w:hAnsi="宋体"/>
          <w:kern w:val="0"/>
          <w:sz w:val="28"/>
          <w:szCs w:val="28"/>
        </w:rPr>
        <w:t>（二）应急救援</w:t>
      </w:r>
      <w:r>
        <w:rPr>
          <w:rFonts w:ascii="宋体" w:hAnsi="宋体"/>
          <w:kern w:val="0"/>
          <w:sz w:val="28"/>
          <w:szCs w:val="28"/>
        </w:rPr>
        <w:t>机构及职责</w:t>
      </w:r>
      <w:bookmarkEnd w:id="7"/>
    </w:p>
    <w:p w14:paraId="2C18B75B">
      <w:pPr>
        <w:pStyle w:val="17"/>
        <w:numPr>
          <w:ilvl w:val="0"/>
          <w:numId w:val="2"/>
        </w:numPr>
        <w:spacing w:line="360" w:lineRule="auto"/>
        <w:ind w:left="284" w:hanging="284" w:firstLineChars="0"/>
        <w:rPr>
          <w:rFonts w:ascii="宋体" w:hAnsi="宋体" w:cs="宋体"/>
          <w:kern w:val="0"/>
          <w:sz w:val="28"/>
          <w:szCs w:val="28"/>
        </w:rPr>
      </w:pPr>
      <w:r>
        <w:rPr>
          <w:rFonts w:hint="eastAsia" w:ascii="宋体" w:hAnsi="宋体" w:cs="宋体"/>
          <w:kern w:val="0"/>
          <w:sz w:val="28"/>
          <w:szCs w:val="28"/>
        </w:rPr>
        <w:t>应急指挥部</w:t>
      </w:r>
    </w:p>
    <w:p w14:paraId="689801D4">
      <w:pPr>
        <w:pStyle w:val="11"/>
        <w:widowControl w:val="0"/>
        <w:spacing w:before="0" w:beforeAutospacing="0" w:after="0" w:afterAutospacing="0" w:line="360" w:lineRule="auto"/>
        <w:ind w:firstLine="560" w:firstLineChars="200"/>
        <w:jc w:val="both"/>
        <w:rPr>
          <w:sz w:val="28"/>
          <w:szCs w:val="28"/>
        </w:rPr>
      </w:pPr>
      <w:r>
        <w:rPr>
          <w:rFonts w:hint="eastAsia"/>
          <w:sz w:val="28"/>
          <w:szCs w:val="28"/>
        </w:rPr>
        <w:t>总 指 挥：常务副县长</w:t>
      </w:r>
    </w:p>
    <w:p w14:paraId="3B95A3E8">
      <w:pPr>
        <w:pStyle w:val="11"/>
        <w:widowControl w:val="0"/>
        <w:tabs>
          <w:tab w:val="left" w:pos="4530"/>
        </w:tabs>
        <w:spacing w:before="0" w:beforeAutospacing="0" w:after="0" w:afterAutospacing="0" w:line="360" w:lineRule="auto"/>
        <w:ind w:firstLine="560" w:firstLineChars="200"/>
        <w:jc w:val="both"/>
        <w:rPr>
          <w:sz w:val="28"/>
          <w:szCs w:val="28"/>
        </w:rPr>
      </w:pPr>
      <w:r>
        <w:rPr>
          <w:rFonts w:hint="eastAsia"/>
          <w:sz w:val="28"/>
          <w:szCs w:val="28"/>
        </w:rPr>
        <w:t xml:space="preserve">副总指挥：分管副县长 </w:t>
      </w:r>
      <w:r>
        <w:rPr>
          <w:sz w:val="28"/>
          <w:szCs w:val="28"/>
        </w:rPr>
        <w:tab/>
      </w:r>
    </w:p>
    <w:p w14:paraId="75CE8F50">
      <w:pPr>
        <w:pStyle w:val="11"/>
        <w:widowControl w:val="0"/>
        <w:spacing w:before="0" w:beforeAutospacing="0" w:after="0" w:afterAutospacing="0" w:line="360" w:lineRule="auto"/>
        <w:ind w:firstLine="560" w:firstLineChars="200"/>
        <w:jc w:val="both"/>
        <w:rPr>
          <w:sz w:val="28"/>
          <w:szCs w:val="28"/>
        </w:rPr>
      </w:pPr>
      <w:r>
        <w:rPr>
          <w:rFonts w:hint="eastAsia"/>
          <w:sz w:val="28"/>
          <w:szCs w:val="28"/>
        </w:rPr>
        <w:t xml:space="preserve">          应急管理局局长</w:t>
      </w:r>
    </w:p>
    <w:p w14:paraId="2FB5D826">
      <w:pPr>
        <w:pStyle w:val="11"/>
        <w:widowControl w:val="0"/>
        <w:spacing w:before="0" w:beforeAutospacing="0" w:after="0" w:afterAutospacing="0" w:line="360" w:lineRule="auto"/>
        <w:ind w:firstLine="560" w:firstLineChars="200"/>
        <w:jc w:val="both"/>
        <w:rPr>
          <w:sz w:val="28"/>
          <w:szCs w:val="28"/>
        </w:rPr>
      </w:pPr>
      <w:r>
        <w:rPr>
          <w:rFonts w:hint="eastAsia"/>
          <w:sz w:val="28"/>
          <w:szCs w:val="28"/>
        </w:rPr>
        <w:t xml:space="preserve">          负有安全生产监督管理职责的部门负责人</w:t>
      </w:r>
    </w:p>
    <w:p w14:paraId="1CEE447F">
      <w:pPr>
        <w:pStyle w:val="11"/>
        <w:widowControl w:val="0"/>
        <w:spacing w:before="0" w:beforeAutospacing="0" w:after="0" w:afterAutospacing="0" w:line="360" w:lineRule="auto"/>
        <w:ind w:firstLine="560" w:firstLineChars="200"/>
        <w:jc w:val="both"/>
        <w:rPr>
          <w:sz w:val="28"/>
          <w:szCs w:val="28"/>
        </w:rPr>
      </w:pPr>
      <w:r>
        <w:rPr>
          <w:rFonts w:hint="eastAsia"/>
          <w:sz w:val="28"/>
          <w:szCs w:val="28"/>
        </w:rPr>
        <w:t>成    员：</w:t>
      </w:r>
      <w:r>
        <w:rPr>
          <w:sz w:val="28"/>
          <w:szCs w:val="28"/>
        </w:rPr>
        <w:t>县委宣传部、发展和改革局、教育局、财政局、应急管理局、水务局、工业信息科技局、民政局、</w:t>
      </w:r>
      <w:r>
        <w:rPr>
          <w:rFonts w:hint="eastAsia"/>
          <w:sz w:val="28"/>
          <w:szCs w:val="28"/>
        </w:rPr>
        <w:t>住房和城乡建设</w:t>
      </w:r>
      <w:r>
        <w:rPr>
          <w:sz w:val="28"/>
          <w:szCs w:val="28"/>
        </w:rPr>
        <w:t>局、交通运输局、农业农村局、文</w:t>
      </w:r>
      <w:r>
        <w:rPr>
          <w:rFonts w:hint="eastAsia"/>
          <w:sz w:val="28"/>
          <w:szCs w:val="28"/>
        </w:rPr>
        <w:t>体</w:t>
      </w:r>
      <w:r>
        <w:rPr>
          <w:sz w:val="28"/>
          <w:szCs w:val="28"/>
        </w:rPr>
        <w:t>广电和旅游局、县公安局、县公安局交警大队、</w:t>
      </w:r>
      <w:r>
        <w:rPr>
          <w:rFonts w:hint="eastAsia"/>
          <w:sz w:val="28"/>
          <w:szCs w:val="28"/>
        </w:rPr>
        <w:t>卫生健康局</w:t>
      </w:r>
      <w:r>
        <w:rPr>
          <w:sz w:val="28"/>
          <w:szCs w:val="28"/>
        </w:rPr>
        <w:t>、</w:t>
      </w:r>
      <w:r>
        <w:rPr>
          <w:rFonts w:hint="eastAsia"/>
          <w:sz w:val="28"/>
          <w:szCs w:val="28"/>
        </w:rPr>
        <w:t>城市管理综合行政执法大队</w:t>
      </w:r>
      <w:r>
        <w:rPr>
          <w:sz w:val="28"/>
          <w:szCs w:val="28"/>
        </w:rPr>
        <w:t>综合执法局、气象局、林业和草原局、市场监督管理局、生态环境局、</w:t>
      </w:r>
      <w:r>
        <w:rPr>
          <w:rFonts w:hint="eastAsia"/>
          <w:sz w:val="28"/>
          <w:szCs w:val="28"/>
        </w:rPr>
        <w:t>各</w:t>
      </w:r>
      <w:r>
        <w:rPr>
          <w:sz w:val="28"/>
          <w:szCs w:val="28"/>
        </w:rPr>
        <w:t>乡镇人民政府、县社区办、社区管委会、经开区管委会、武警桦南中队、</w:t>
      </w:r>
      <w:r>
        <w:rPr>
          <w:rFonts w:hint="eastAsia"/>
          <w:sz w:val="28"/>
          <w:szCs w:val="28"/>
        </w:rPr>
        <w:t>双鸭山森林消防救援大队八中队（驻桦）</w:t>
      </w:r>
      <w:r>
        <w:rPr>
          <w:sz w:val="28"/>
          <w:szCs w:val="28"/>
        </w:rPr>
        <w:t>、桦南县消防救援</w:t>
      </w:r>
      <w:r>
        <w:rPr>
          <w:rFonts w:hint="eastAsia"/>
          <w:sz w:val="28"/>
          <w:szCs w:val="28"/>
        </w:rPr>
        <w:t>大</w:t>
      </w:r>
      <w:r>
        <w:rPr>
          <w:sz w:val="28"/>
          <w:szCs w:val="28"/>
        </w:rPr>
        <w:t>队、国网黑龙江桦南县供电有限公司、</w:t>
      </w:r>
      <w:r>
        <w:rPr>
          <w:rFonts w:hint="eastAsia"/>
          <w:sz w:val="28"/>
          <w:szCs w:val="28"/>
        </w:rPr>
        <w:t>县</w:t>
      </w:r>
      <w:r>
        <w:rPr>
          <w:sz w:val="28"/>
          <w:szCs w:val="28"/>
        </w:rPr>
        <w:t>石油公司、中国联通、中国移动、中国电信等单位负责人，以及危险化学品生产、储存、销售、使用单位负责人</w:t>
      </w:r>
      <w:commentRangeStart w:id="0"/>
      <w:r>
        <w:rPr>
          <w:rFonts w:hint="eastAsia"/>
          <w:color w:val="FF0000"/>
          <w:sz w:val="28"/>
          <w:szCs w:val="28"/>
          <w:highlight w:val="yellow"/>
        </w:rPr>
        <w:t>（机构名称是否准确、机构是否有遗漏，待应急局审定）</w:t>
      </w:r>
      <w:commentRangeEnd w:id="0"/>
      <w:r>
        <w:rPr>
          <w:rStyle w:val="16"/>
          <w:rFonts w:ascii="Calibri" w:hAnsi="Calibri" w:cs="Times New Roman"/>
          <w:kern w:val="2"/>
          <w:highlight w:val="yellow"/>
        </w:rPr>
        <w:commentReference w:id="0"/>
      </w:r>
    </w:p>
    <w:p w14:paraId="42ED0107">
      <w:pPr>
        <w:pStyle w:val="11"/>
        <w:widowControl w:val="0"/>
        <w:spacing w:before="0" w:beforeAutospacing="0" w:after="0" w:afterAutospacing="0" w:line="360" w:lineRule="auto"/>
        <w:ind w:firstLine="560" w:firstLineChars="200"/>
        <w:jc w:val="both"/>
        <w:rPr>
          <w:sz w:val="28"/>
          <w:szCs w:val="28"/>
        </w:rPr>
      </w:pPr>
      <w:r>
        <w:rPr>
          <w:rFonts w:hint="eastAsia"/>
          <w:sz w:val="28"/>
          <w:szCs w:val="28"/>
        </w:rPr>
        <w:t>应急指挥部办公室设在县应急管理局。办公室主任由县应急管理局局长兼任。</w:t>
      </w:r>
    </w:p>
    <w:p w14:paraId="56B966F3">
      <w:pPr>
        <w:pStyle w:val="17"/>
        <w:numPr>
          <w:ilvl w:val="0"/>
          <w:numId w:val="3"/>
        </w:numPr>
        <w:spacing w:line="360" w:lineRule="auto"/>
        <w:ind w:left="284" w:hanging="284" w:firstLineChars="0"/>
        <w:rPr>
          <w:rFonts w:ascii="宋体" w:hAnsi="宋体" w:cs="宋体"/>
          <w:kern w:val="0"/>
          <w:sz w:val="28"/>
          <w:szCs w:val="28"/>
        </w:rPr>
      </w:pPr>
      <w:r>
        <w:rPr>
          <w:rFonts w:hint="eastAsia" w:ascii="宋体" w:hAnsi="宋体" w:cs="宋体"/>
          <w:sz w:val="28"/>
          <w:szCs w:val="28"/>
        </w:rPr>
        <w:t>应急指挥部职责</w:t>
      </w:r>
    </w:p>
    <w:p w14:paraId="13510026">
      <w:pPr>
        <w:pStyle w:val="17"/>
        <w:numPr>
          <w:ilvl w:val="0"/>
          <w:numId w:val="4"/>
        </w:numPr>
        <w:spacing w:line="360" w:lineRule="auto"/>
        <w:ind w:left="1148" w:hanging="560" w:firstLineChars="0"/>
        <w:rPr>
          <w:rFonts w:ascii="宋体" w:hAnsi="宋体" w:cs="宋体"/>
          <w:kern w:val="0"/>
          <w:sz w:val="28"/>
          <w:szCs w:val="28"/>
        </w:rPr>
      </w:pPr>
      <w:r>
        <w:rPr>
          <w:rFonts w:hint="eastAsia" w:ascii="宋体" w:hAnsi="宋体" w:cs="宋体"/>
          <w:kern w:val="0"/>
          <w:sz w:val="28"/>
          <w:szCs w:val="28"/>
        </w:rPr>
        <w:t>负责危险化学品生产安全事故应急预案的启动和终止。</w:t>
      </w:r>
    </w:p>
    <w:p w14:paraId="5E167E67">
      <w:pPr>
        <w:pStyle w:val="17"/>
        <w:numPr>
          <w:ilvl w:val="0"/>
          <w:numId w:val="4"/>
        </w:numPr>
        <w:spacing w:line="360" w:lineRule="auto"/>
        <w:ind w:left="1148" w:hanging="560" w:firstLineChars="0"/>
        <w:rPr>
          <w:rFonts w:ascii="宋体" w:hAnsi="宋体" w:cs="宋体"/>
          <w:kern w:val="0"/>
          <w:sz w:val="28"/>
          <w:szCs w:val="28"/>
        </w:rPr>
      </w:pPr>
      <w:r>
        <w:rPr>
          <w:rFonts w:hint="eastAsia" w:ascii="宋体" w:hAnsi="宋体" w:cs="宋体"/>
          <w:kern w:val="0"/>
          <w:sz w:val="28"/>
          <w:szCs w:val="28"/>
        </w:rPr>
        <w:t>负责危险化学品生产安全事故现场的救援指挥和有关重大事项的决策。</w:t>
      </w:r>
    </w:p>
    <w:p w14:paraId="025139AF">
      <w:pPr>
        <w:pStyle w:val="17"/>
        <w:numPr>
          <w:ilvl w:val="0"/>
          <w:numId w:val="4"/>
        </w:numPr>
        <w:spacing w:line="360" w:lineRule="auto"/>
        <w:ind w:left="1148" w:hanging="560" w:firstLineChars="0"/>
        <w:rPr>
          <w:rFonts w:ascii="宋体" w:hAnsi="宋体" w:cs="宋体"/>
          <w:kern w:val="0"/>
          <w:sz w:val="28"/>
          <w:szCs w:val="28"/>
        </w:rPr>
      </w:pPr>
      <w:r>
        <w:rPr>
          <w:rFonts w:hint="eastAsia"/>
          <w:sz w:val="28"/>
          <w:szCs w:val="28"/>
        </w:rPr>
        <w:t>统一组织、</w:t>
      </w:r>
      <w:r>
        <w:rPr>
          <w:rFonts w:hint="eastAsia" w:ascii="宋体" w:hAnsi="宋体" w:cs="宋体"/>
          <w:kern w:val="0"/>
          <w:sz w:val="28"/>
          <w:szCs w:val="28"/>
        </w:rPr>
        <w:t>指挥、协调全县救援队伍和物资，做好危险化学品生产安全事故的预防、控制和救援。</w:t>
      </w:r>
    </w:p>
    <w:p w14:paraId="59EB3665">
      <w:pPr>
        <w:pStyle w:val="17"/>
        <w:numPr>
          <w:ilvl w:val="0"/>
          <w:numId w:val="3"/>
        </w:numPr>
        <w:spacing w:line="360" w:lineRule="auto"/>
        <w:ind w:left="284" w:hanging="284" w:firstLineChars="0"/>
        <w:rPr>
          <w:rFonts w:ascii="宋体" w:hAnsi="宋体" w:cs="宋体"/>
          <w:sz w:val="28"/>
          <w:szCs w:val="28"/>
        </w:rPr>
      </w:pPr>
      <w:r>
        <w:rPr>
          <w:rFonts w:hint="eastAsia" w:ascii="宋体" w:hAnsi="宋体" w:cs="宋体"/>
          <w:sz w:val="28"/>
          <w:szCs w:val="28"/>
        </w:rPr>
        <w:t>应急指挥部办公室职责</w:t>
      </w:r>
    </w:p>
    <w:p w14:paraId="439C914E">
      <w:pPr>
        <w:pStyle w:val="17"/>
        <w:numPr>
          <w:ilvl w:val="0"/>
          <w:numId w:val="5"/>
        </w:numPr>
        <w:spacing w:line="360" w:lineRule="auto"/>
        <w:ind w:left="1274" w:hanging="714" w:firstLineChars="0"/>
        <w:rPr>
          <w:rFonts w:ascii="宋体" w:hAnsi="宋体" w:cs="宋体"/>
          <w:kern w:val="0"/>
          <w:sz w:val="28"/>
          <w:szCs w:val="28"/>
        </w:rPr>
      </w:pPr>
      <w:r>
        <w:rPr>
          <w:rFonts w:hint="eastAsia" w:ascii="宋体" w:hAnsi="宋体" w:cs="宋体"/>
          <w:kern w:val="0"/>
          <w:sz w:val="28"/>
          <w:szCs w:val="28"/>
        </w:rPr>
        <w:t>传达应急指挥部的决策、决定。</w:t>
      </w:r>
    </w:p>
    <w:p w14:paraId="25450D34">
      <w:pPr>
        <w:pStyle w:val="17"/>
        <w:numPr>
          <w:ilvl w:val="0"/>
          <w:numId w:val="5"/>
        </w:numPr>
        <w:spacing w:line="360" w:lineRule="auto"/>
        <w:ind w:left="1274" w:hanging="714" w:firstLineChars="0"/>
        <w:rPr>
          <w:rFonts w:ascii="宋体" w:hAnsi="宋体" w:cs="宋体"/>
          <w:kern w:val="0"/>
          <w:sz w:val="28"/>
          <w:szCs w:val="28"/>
        </w:rPr>
      </w:pPr>
      <w:r>
        <w:rPr>
          <w:rFonts w:hint="eastAsia" w:ascii="宋体" w:hAnsi="宋体" w:cs="宋体"/>
          <w:kern w:val="0"/>
          <w:sz w:val="28"/>
          <w:szCs w:val="28"/>
        </w:rPr>
        <w:t>整理事故现场危险化学品种类、数量、危险特性等资料，为应急指挥部决策、决定提供依据。</w:t>
      </w:r>
    </w:p>
    <w:p w14:paraId="342AF8CE">
      <w:pPr>
        <w:pStyle w:val="17"/>
        <w:numPr>
          <w:ilvl w:val="0"/>
          <w:numId w:val="5"/>
        </w:numPr>
        <w:spacing w:line="360" w:lineRule="auto"/>
        <w:ind w:left="1274" w:hanging="714" w:firstLineChars="0"/>
        <w:rPr>
          <w:rFonts w:ascii="宋体" w:hAnsi="宋体" w:cs="宋体"/>
          <w:kern w:val="0"/>
          <w:sz w:val="28"/>
          <w:szCs w:val="28"/>
        </w:rPr>
      </w:pPr>
      <w:r>
        <w:rPr>
          <w:rFonts w:hint="eastAsia" w:ascii="宋体" w:hAnsi="宋体" w:cs="宋体"/>
          <w:kern w:val="0"/>
          <w:sz w:val="28"/>
          <w:szCs w:val="28"/>
        </w:rPr>
        <w:t>负责做好各应急工作小组间的协调、沟通。</w:t>
      </w:r>
    </w:p>
    <w:p w14:paraId="50DF9576">
      <w:pPr>
        <w:pStyle w:val="17"/>
        <w:numPr>
          <w:ilvl w:val="0"/>
          <w:numId w:val="2"/>
        </w:numPr>
        <w:spacing w:line="360" w:lineRule="auto"/>
        <w:ind w:left="284" w:hanging="284" w:firstLineChars="0"/>
        <w:rPr>
          <w:rFonts w:ascii="宋体" w:hAnsi="宋体" w:cs="宋体"/>
          <w:kern w:val="0"/>
          <w:sz w:val="28"/>
          <w:szCs w:val="28"/>
        </w:rPr>
      </w:pPr>
      <w:r>
        <w:rPr>
          <w:rFonts w:hint="eastAsia" w:ascii="宋体" w:hAnsi="宋体" w:cs="宋体"/>
          <w:kern w:val="0"/>
          <w:sz w:val="28"/>
          <w:szCs w:val="28"/>
        </w:rPr>
        <w:t>应急指挥部成员单位职责</w:t>
      </w:r>
    </w:p>
    <w:p w14:paraId="066CBC44">
      <w:pPr>
        <w:pStyle w:val="17"/>
        <w:numPr>
          <w:ilvl w:val="0"/>
          <w:numId w:val="6"/>
        </w:numPr>
        <w:spacing w:line="360" w:lineRule="auto"/>
        <w:ind w:left="426" w:hanging="426" w:firstLineChars="0"/>
        <w:rPr>
          <w:rFonts w:ascii="宋体" w:hAnsi="宋体" w:cs="宋体"/>
          <w:sz w:val="28"/>
          <w:szCs w:val="28"/>
        </w:rPr>
      </w:pPr>
      <w:r>
        <w:rPr>
          <w:rFonts w:hint="eastAsia" w:ascii="宋体" w:hAnsi="宋体" w:cs="宋体"/>
          <w:sz w:val="28"/>
          <w:szCs w:val="28"/>
        </w:rPr>
        <w:t>县委宣传部：负责组织协调事故应急救援的新闻发布、媒体报导、网络言论引导等工作；负责相关新闻稿件的审阅、批准；及时掌握舆情，加强网络舆论引导。</w:t>
      </w:r>
    </w:p>
    <w:p w14:paraId="36ED04D6">
      <w:pPr>
        <w:pStyle w:val="17"/>
        <w:numPr>
          <w:ilvl w:val="0"/>
          <w:numId w:val="6"/>
        </w:numPr>
        <w:spacing w:line="360" w:lineRule="auto"/>
        <w:ind w:left="426" w:hanging="426" w:firstLineChars="0"/>
        <w:rPr>
          <w:rFonts w:ascii="宋体" w:hAnsi="宋体" w:cs="宋体"/>
          <w:sz w:val="28"/>
          <w:szCs w:val="28"/>
        </w:rPr>
      </w:pPr>
      <w:r>
        <w:rPr>
          <w:rFonts w:hint="eastAsia" w:ascii="宋体" w:hAnsi="宋体" w:cs="宋体"/>
          <w:sz w:val="28"/>
          <w:szCs w:val="28"/>
        </w:rPr>
        <w:t>发展和改革局：负责分管行业领域危险化学品生产安全事故应急处置的组织、指挥、协调；负责危险化学品生产安全事故应急救援期间粮食、日常生活用品品供应工作。</w:t>
      </w:r>
    </w:p>
    <w:p w14:paraId="6C694EF9">
      <w:pPr>
        <w:pStyle w:val="17"/>
        <w:numPr>
          <w:ilvl w:val="0"/>
          <w:numId w:val="6"/>
        </w:numPr>
        <w:spacing w:line="360" w:lineRule="auto"/>
        <w:ind w:left="426" w:hanging="426" w:firstLineChars="0"/>
        <w:rPr>
          <w:rFonts w:ascii="宋体" w:hAnsi="宋体" w:cs="宋体"/>
          <w:sz w:val="28"/>
          <w:szCs w:val="28"/>
        </w:rPr>
      </w:pPr>
      <w:r>
        <w:rPr>
          <w:rFonts w:hint="eastAsia" w:ascii="宋体" w:hAnsi="宋体" w:cs="宋体"/>
          <w:sz w:val="28"/>
          <w:szCs w:val="28"/>
        </w:rPr>
        <w:t>教育局：组织、指导教育系统的危险化学品生产安全事故预防及应急管理工作；按要求完成应急指挥部指派的应急处置工作。</w:t>
      </w:r>
    </w:p>
    <w:p w14:paraId="502BD20D">
      <w:pPr>
        <w:pStyle w:val="17"/>
        <w:numPr>
          <w:ilvl w:val="0"/>
          <w:numId w:val="6"/>
        </w:numPr>
        <w:spacing w:line="360" w:lineRule="auto"/>
        <w:ind w:left="426" w:hanging="426" w:firstLineChars="0"/>
        <w:rPr>
          <w:rFonts w:ascii="宋体" w:hAnsi="宋体" w:cs="宋体"/>
          <w:sz w:val="28"/>
          <w:szCs w:val="28"/>
        </w:rPr>
      </w:pPr>
      <w:r>
        <w:rPr>
          <w:rFonts w:hint="eastAsia" w:ascii="宋体" w:hAnsi="宋体" w:cs="宋体"/>
          <w:sz w:val="28"/>
          <w:szCs w:val="28"/>
        </w:rPr>
        <w:t>财政局：负责应由县政府承担的事故应急救援专项资金和具体拨付急资金等保障工作。</w:t>
      </w:r>
    </w:p>
    <w:p w14:paraId="42D4E571">
      <w:pPr>
        <w:pStyle w:val="17"/>
        <w:numPr>
          <w:ilvl w:val="0"/>
          <w:numId w:val="6"/>
        </w:numPr>
        <w:spacing w:line="360" w:lineRule="auto"/>
        <w:ind w:left="426" w:hanging="426" w:firstLineChars="0"/>
        <w:rPr>
          <w:rFonts w:ascii="宋体" w:hAnsi="宋体" w:cs="宋体"/>
          <w:sz w:val="28"/>
          <w:szCs w:val="28"/>
        </w:rPr>
      </w:pPr>
      <w:r>
        <w:rPr>
          <w:rFonts w:hint="eastAsia" w:ascii="宋体" w:hAnsi="宋体" w:cs="宋体"/>
          <w:sz w:val="28"/>
          <w:szCs w:val="28"/>
        </w:rPr>
        <w:t>应急管理局：负责事故应急救援的综合组织、指挥、协调；负责危险化学品生产经营企业安全生产及应急管理工作的日常监督；</w:t>
      </w:r>
      <w:r>
        <w:rPr>
          <w:rFonts w:ascii="宋体" w:hAnsi="宋体" w:cs="Arial"/>
          <w:kern w:val="0"/>
          <w:sz w:val="28"/>
          <w:szCs w:val="28"/>
        </w:rPr>
        <w:t>调拨用于保障受灾人员基本生活的救灾物资</w:t>
      </w:r>
      <w:r>
        <w:rPr>
          <w:rFonts w:hint="eastAsia" w:ascii="宋体" w:hAnsi="宋体" w:cs="Arial"/>
          <w:kern w:val="0"/>
          <w:sz w:val="28"/>
          <w:szCs w:val="28"/>
        </w:rPr>
        <w:t>；组织、参加危险化学品生产安全事故调查处理；</w:t>
      </w:r>
      <w:r>
        <w:rPr>
          <w:rFonts w:ascii="宋体" w:hAnsi="宋体" w:cs="Arial"/>
          <w:kern w:val="0"/>
          <w:sz w:val="28"/>
          <w:szCs w:val="28"/>
        </w:rPr>
        <w:t>负责</w:t>
      </w:r>
      <w:r>
        <w:rPr>
          <w:rFonts w:hint="eastAsia" w:ascii="宋体" w:hAnsi="宋体" w:cs="Arial"/>
          <w:kern w:val="0"/>
          <w:sz w:val="28"/>
          <w:szCs w:val="28"/>
        </w:rPr>
        <w:t>危险化学品</w:t>
      </w:r>
      <w:r>
        <w:rPr>
          <w:rFonts w:ascii="宋体" w:hAnsi="宋体" w:cs="Arial"/>
          <w:kern w:val="0"/>
          <w:sz w:val="28"/>
          <w:szCs w:val="28"/>
        </w:rPr>
        <w:t>事故应急处置和救援信息汇总</w:t>
      </w:r>
      <w:r>
        <w:rPr>
          <w:rFonts w:hint="eastAsia" w:ascii="宋体" w:hAnsi="宋体" w:cs="Arial"/>
          <w:kern w:val="0"/>
          <w:sz w:val="28"/>
          <w:szCs w:val="28"/>
        </w:rPr>
        <w:t>、上报</w:t>
      </w:r>
      <w:r>
        <w:rPr>
          <w:rFonts w:ascii="宋体" w:hAnsi="宋体" w:cs="Arial"/>
          <w:kern w:val="0"/>
          <w:sz w:val="28"/>
          <w:szCs w:val="28"/>
        </w:rPr>
        <w:t>。</w:t>
      </w:r>
    </w:p>
    <w:p w14:paraId="09754523">
      <w:pPr>
        <w:pStyle w:val="17"/>
        <w:numPr>
          <w:ilvl w:val="0"/>
          <w:numId w:val="6"/>
        </w:numPr>
        <w:spacing w:line="360" w:lineRule="auto"/>
        <w:ind w:left="426" w:hanging="426" w:firstLineChars="0"/>
        <w:rPr>
          <w:rFonts w:ascii="宋体" w:hAnsi="宋体" w:cs="宋体"/>
          <w:sz w:val="28"/>
          <w:szCs w:val="28"/>
        </w:rPr>
      </w:pPr>
      <w:r>
        <w:rPr>
          <w:rFonts w:hint="eastAsia" w:ascii="宋体" w:hAnsi="宋体" w:cs="Arial"/>
          <w:kern w:val="0"/>
          <w:sz w:val="28"/>
          <w:szCs w:val="28"/>
        </w:rPr>
        <w:t>水务局：负责分管行业领域危险化学品生产安全事故应急处置的组织、指挥、协调；组织及水上危险化学品生产安全事故的应急处置；</w:t>
      </w:r>
    </w:p>
    <w:p w14:paraId="2A4C88BB">
      <w:pPr>
        <w:pStyle w:val="17"/>
        <w:numPr>
          <w:ilvl w:val="0"/>
          <w:numId w:val="6"/>
        </w:numPr>
        <w:spacing w:line="360" w:lineRule="auto"/>
        <w:ind w:left="426" w:hanging="426" w:firstLineChars="0"/>
        <w:rPr>
          <w:rFonts w:ascii="宋体" w:hAnsi="宋体" w:cs="宋体"/>
          <w:sz w:val="28"/>
          <w:szCs w:val="28"/>
        </w:rPr>
      </w:pPr>
      <w:r>
        <w:rPr>
          <w:rFonts w:hint="eastAsia" w:ascii="宋体" w:hAnsi="宋体" w:cs="宋体"/>
          <w:sz w:val="28"/>
          <w:szCs w:val="28"/>
        </w:rPr>
        <w:t>工业信息科技局：负责分管行业领域危险化学品生产安全事故应急处置的组织、指挥、协调；</w:t>
      </w:r>
      <w:r>
        <w:rPr>
          <w:rFonts w:ascii="宋体" w:hAnsi="宋体" w:cs="宋体"/>
          <w:sz w:val="28"/>
          <w:szCs w:val="28"/>
        </w:rPr>
        <w:t>组织协调</w:t>
      </w:r>
      <w:r>
        <w:rPr>
          <w:rFonts w:hint="eastAsia" w:ascii="宋体" w:hAnsi="宋体"/>
          <w:kern w:val="0"/>
          <w:sz w:val="28"/>
          <w:szCs w:val="28"/>
        </w:rPr>
        <w:t>危险化学品</w:t>
      </w:r>
      <w:r>
        <w:rPr>
          <w:rFonts w:ascii="宋体" w:hAnsi="宋体" w:cs="宋体"/>
          <w:sz w:val="28"/>
          <w:szCs w:val="28"/>
        </w:rPr>
        <w:t>生产安全事故</w:t>
      </w:r>
      <w:r>
        <w:rPr>
          <w:rFonts w:hint="eastAsia" w:ascii="宋体" w:hAnsi="宋体" w:cs="宋体"/>
          <w:sz w:val="28"/>
          <w:szCs w:val="28"/>
        </w:rPr>
        <w:t>应急</w:t>
      </w:r>
      <w:r>
        <w:rPr>
          <w:rFonts w:ascii="宋体" w:hAnsi="宋体" w:cs="宋体"/>
          <w:sz w:val="28"/>
          <w:szCs w:val="28"/>
        </w:rPr>
        <w:t>救援所需</w:t>
      </w:r>
      <w:r>
        <w:rPr>
          <w:rFonts w:hint="eastAsia" w:ascii="宋体" w:hAnsi="宋体" w:cs="宋体"/>
          <w:sz w:val="28"/>
          <w:szCs w:val="28"/>
        </w:rPr>
        <w:t>物资</w:t>
      </w:r>
      <w:r>
        <w:rPr>
          <w:rFonts w:ascii="宋体" w:hAnsi="宋体" w:cs="宋体"/>
          <w:sz w:val="28"/>
          <w:szCs w:val="28"/>
        </w:rPr>
        <w:t>的生产</w:t>
      </w:r>
      <w:r>
        <w:rPr>
          <w:rFonts w:hint="eastAsia" w:ascii="宋体" w:hAnsi="宋体" w:cs="宋体"/>
          <w:sz w:val="28"/>
          <w:szCs w:val="28"/>
        </w:rPr>
        <w:t>、协调。</w:t>
      </w:r>
    </w:p>
    <w:p w14:paraId="3DFF869A">
      <w:pPr>
        <w:pStyle w:val="17"/>
        <w:numPr>
          <w:ilvl w:val="0"/>
          <w:numId w:val="6"/>
        </w:numPr>
        <w:spacing w:line="360" w:lineRule="auto"/>
        <w:ind w:left="426" w:hanging="426" w:firstLineChars="0"/>
        <w:rPr>
          <w:rFonts w:ascii="宋体" w:hAnsi="宋体" w:cs="宋体"/>
          <w:sz w:val="28"/>
          <w:szCs w:val="28"/>
        </w:rPr>
      </w:pPr>
      <w:r>
        <w:rPr>
          <w:rFonts w:hint="eastAsia" w:ascii="宋体" w:hAnsi="宋体" w:cs="宋体"/>
          <w:sz w:val="28"/>
          <w:szCs w:val="28"/>
        </w:rPr>
        <w:t>民政局：负责分管行业领域危险化学品生产安全事故应急处置的组织、指挥、协调；负责依据国家有关政策、规定，对因危险化学品生产安全事故应急救援受伤或牺牲人员残疾等级和牺牲性质进行认定，并予以优待、抚恤和补助。</w:t>
      </w:r>
    </w:p>
    <w:p w14:paraId="57E1287D">
      <w:pPr>
        <w:pStyle w:val="27"/>
        <w:numPr>
          <w:ilvl w:val="0"/>
          <w:numId w:val="6"/>
        </w:numPr>
        <w:ind w:left="426" w:hanging="426" w:firstLineChars="0"/>
        <w:rPr>
          <w:rFonts w:ascii="宋体" w:hAnsi="宋体" w:eastAsia="宋体" w:cs="Arial"/>
          <w:kern w:val="0"/>
          <w:sz w:val="28"/>
          <w:szCs w:val="28"/>
        </w:rPr>
      </w:pPr>
      <w:r>
        <w:rPr>
          <w:rFonts w:hint="eastAsia" w:ascii="宋体" w:hAnsi="宋体" w:eastAsia="宋体" w:cs="Arial"/>
          <w:kern w:val="0"/>
          <w:sz w:val="28"/>
          <w:szCs w:val="28"/>
        </w:rPr>
        <w:t>住房和城乡建设局：负责分管行业领域危险化学品生产安全事故应急处置的组织、指挥、协调；组织提供危险化学品生产安全事故应急救援所需的施工机械、救援器材等；</w:t>
      </w:r>
      <w:r>
        <w:rPr>
          <w:rFonts w:ascii="宋体" w:hAnsi="宋体" w:eastAsia="宋体" w:cs="Arial"/>
          <w:kern w:val="0"/>
          <w:sz w:val="28"/>
          <w:szCs w:val="28"/>
        </w:rPr>
        <w:t xml:space="preserve"> </w:t>
      </w:r>
    </w:p>
    <w:p w14:paraId="61884F14">
      <w:pPr>
        <w:pStyle w:val="27"/>
        <w:numPr>
          <w:ilvl w:val="0"/>
          <w:numId w:val="6"/>
        </w:numPr>
        <w:ind w:left="426" w:hanging="426" w:firstLineChars="0"/>
        <w:rPr>
          <w:rFonts w:ascii="宋体" w:hAnsi="宋体" w:eastAsia="宋体" w:cs="Arial"/>
          <w:kern w:val="0"/>
          <w:sz w:val="28"/>
          <w:szCs w:val="28"/>
        </w:rPr>
      </w:pPr>
      <w:r>
        <w:rPr>
          <w:rFonts w:hint="eastAsia" w:ascii="宋体" w:hAnsi="宋体" w:cs="Arial"/>
          <w:kern w:val="0"/>
          <w:sz w:val="28"/>
          <w:szCs w:val="28"/>
        </w:rPr>
        <w:t>交通运输局：负责分管行业领域危险化学品生产安全事故应急处置的组织、指挥、协调；负责危险化学品生产安全事故应急救援人员、物资的运输；为撤离危险区人员提供必要的交通工具；抢修危险化学品生产安全事故损毁的公路、设施。</w:t>
      </w:r>
    </w:p>
    <w:p w14:paraId="6E293EC4">
      <w:pPr>
        <w:pStyle w:val="17"/>
        <w:numPr>
          <w:ilvl w:val="0"/>
          <w:numId w:val="6"/>
        </w:numPr>
        <w:spacing w:line="360" w:lineRule="auto"/>
        <w:ind w:left="426" w:hanging="426" w:firstLineChars="0"/>
        <w:rPr>
          <w:rFonts w:ascii="宋体" w:hAnsi="宋体" w:cs="宋体"/>
          <w:sz w:val="28"/>
          <w:szCs w:val="28"/>
        </w:rPr>
      </w:pPr>
      <w:r>
        <w:rPr>
          <w:rFonts w:hint="eastAsia" w:ascii="宋体" w:hAnsi="宋体" w:cs="Arial"/>
          <w:kern w:val="0"/>
          <w:sz w:val="28"/>
          <w:szCs w:val="28"/>
        </w:rPr>
        <w:t>农业农村局：负责分管行业领域危险化学品生产安全事故应急处置的组织、指挥、协调。配合乡镇农村发生的危险化学品事故抢险工作。</w:t>
      </w:r>
    </w:p>
    <w:p w14:paraId="4D8742E9">
      <w:pPr>
        <w:pStyle w:val="27"/>
        <w:numPr>
          <w:ilvl w:val="0"/>
          <w:numId w:val="6"/>
        </w:numPr>
        <w:ind w:left="426" w:hanging="426" w:firstLineChars="0"/>
        <w:rPr>
          <w:rFonts w:ascii="宋体" w:hAnsi="宋体" w:eastAsia="宋体" w:cs="Arial"/>
          <w:kern w:val="0"/>
          <w:sz w:val="28"/>
          <w:szCs w:val="28"/>
        </w:rPr>
      </w:pPr>
      <w:r>
        <w:rPr>
          <w:rFonts w:hint="eastAsia" w:ascii="宋体" w:hAnsi="宋体" w:eastAsia="宋体" w:cs="Arial"/>
          <w:kern w:val="0"/>
          <w:sz w:val="28"/>
          <w:szCs w:val="28"/>
        </w:rPr>
        <w:t>文体广电和旅游局：</w:t>
      </w:r>
      <w:r>
        <w:rPr>
          <w:rFonts w:hint="eastAsia" w:ascii="宋体" w:hAnsi="宋体" w:eastAsia="宋体" w:cs="Arial"/>
          <w:color w:val="000000" w:themeColor="text1"/>
          <w:kern w:val="0"/>
          <w:sz w:val="28"/>
          <w:szCs w:val="28"/>
          <w14:textFill>
            <w14:solidFill>
              <w14:schemeClr w14:val="tx1"/>
            </w14:solidFill>
          </w14:textFill>
        </w:rPr>
        <w:t>负责分管行业领域危险化学品生产安全事故应急处置的组织、指挥、协调</w:t>
      </w:r>
      <w:r>
        <w:rPr>
          <w:rFonts w:hint="eastAsia" w:ascii="宋体" w:hAnsi="宋体" w:cs="Arial"/>
          <w:color w:val="000000" w:themeColor="text1"/>
          <w:kern w:val="0"/>
          <w:sz w:val="28"/>
          <w:szCs w:val="28"/>
          <w14:textFill>
            <w14:solidFill>
              <w14:schemeClr w14:val="tx1"/>
            </w14:solidFill>
          </w14:textFill>
        </w:rPr>
        <w:t>；</w:t>
      </w:r>
      <w:r>
        <w:rPr>
          <w:rFonts w:hint="eastAsia" w:ascii="宋体" w:hAnsi="宋体" w:eastAsia="宋体" w:cs="Arial"/>
          <w:color w:val="000000" w:themeColor="text1"/>
          <w:kern w:val="0"/>
          <w:sz w:val="28"/>
          <w:szCs w:val="28"/>
          <w14:textFill>
            <w14:solidFill>
              <w14:schemeClr w14:val="tx1"/>
            </w14:solidFill>
          </w14:textFill>
        </w:rPr>
        <w:t>负责组织协调新闻媒体（广播电台、电视台等）及时播发危险化学品生产安全</w:t>
      </w:r>
      <w:r>
        <w:rPr>
          <w:rFonts w:hint="eastAsia" w:ascii="宋体" w:hAnsi="宋体" w:eastAsia="宋体" w:cs="Arial"/>
          <w:kern w:val="0"/>
          <w:sz w:val="28"/>
          <w:szCs w:val="28"/>
        </w:rPr>
        <w:t>事故灾害信息。</w:t>
      </w:r>
    </w:p>
    <w:p w14:paraId="7C1FC0D7">
      <w:pPr>
        <w:pStyle w:val="27"/>
        <w:numPr>
          <w:ilvl w:val="0"/>
          <w:numId w:val="6"/>
        </w:numPr>
        <w:ind w:left="426" w:hanging="426" w:firstLineChars="0"/>
        <w:rPr>
          <w:rFonts w:ascii="宋体" w:hAnsi="宋体" w:eastAsia="宋体" w:cs="Arial"/>
          <w:kern w:val="0"/>
          <w:sz w:val="28"/>
          <w:szCs w:val="28"/>
        </w:rPr>
      </w:pPr>
      <w:r>
        <w:rPr>
          <w:rFonts w:hint="eastAsia" w:ascii="宋体" w:hAnsi="宋体" w:eastAsia="宋体" w:cs="Arial"/>
          <w:kern w:val="0"/>
          <w:sz w:val="28"/>
          <w:szCs w:val="28"/>
        </w:rPr>
        <w:t>县公安局：负责分管行业领域危险化学品生产安全事故应急处置的组织、指挥、协调；负责事故发生区域的社会治安保障工作；负责对事故单位相关责任人的控制；负责按需要组织群众安全转移；负责打击各种犯罪活动。</w:t>
      </w:r>
    </w:p>
    <w:p w14:paraId="36A74AEC">
      <w:pPr>
        <w:pStyle w:val="27"/>
        <w:numPr>
          <w:ilvl w:val="0"/>
          <w:numId w:val="6"/>
        </w:numPr>
        <w:ind w:left="426" w:hanging="426" w:firstLineChars="0"/>
        <w:rPr>
          <w:rFonts w:ascii="宋体" w:hAnsi="宋体" w:eastAsia="宋体" w:cs="Arial"/>
          <w:kern w:val="0"/>
          <w:sz w:val="28"/>
          <w:szCs w:val="28"/>
        </w:rPr>
      </w:pPr>
      <w:r>
        <w:rPr>
          <w:rFonts w:hint="eastAsia" w:ascii="宋体" w:hAnsi="宋体" w:eastAsia="宋体" w:cs="Arial"/>
          <w:kern w:val="0"/>
          <w:sz w:val="28"/>
          <w:szCs w:val="28"/>
        </w:rPr>
        <w:t>县公安局交警大队：负责维护事故发生区域交通秩序，保证事故救援交通畅通。</w:t>
      </w:r>
    </w:p>
    <w:p w14:paraId="09FF193E">
      <w:pPr>
        <w:pStyle w:val="17"/>
        <w:numPr>
          <w:ilvl w:val="0"/>
          <w:numId w:val="6"/>
        </w:numPr>
        <w:spacing w:line="360" w:lineRule="auto"/>
        <w:ind w:left="426" w:hanging="426" w:firstLineChars="0"/>
        <w:rPr>
          <w:rFonts w:ascii="宋体" w:hAnsi="宋体" w:cs="Arial"/>
          <w:kern w:val="0"/>
          <w:sz w:val="28"/>
          <w:szCs w:val="28"/>
        </w:rPr>
      </w:pPr>
      <w:r>
        <w:rPr>
          <w:rFonts w:hint="eastAsia" w:ascii="宋体" w:hAnsi="宋体" w:cs="Arial"/>
          <w:kern w:val="0"/>
          <w:sz w:val="28"/>
          <w:szCs w:val="28"/>
        </w:rPr>
        <w:t>卫生健康局：负责分管行业领域危险化学品生产安全事故应急处置的组织、指挥、协调；组织危险化学品生产安全事故医疗救援，及时抢救受伤人员；负责事故区域的卫生防疫。</w:t>
      </w:r>
    </w:p>
    <w:p w14:paraId="04B2717E">
      <w:pPr>
        <w:pStyle w:val="27"/>
        <w:numPr>
          <w:ilvl w:val="0"/>
          <w:numId w:val="6"/>
        </w:numPr>
        <w:ind w:left="426" w:hanging="426" w:firstLineChars="0"/>
        <w:rPr>
          <w:rFonts w:ascii="宋体" w:hAnsi="宋体" w:eastAsia="宋体" w:cs="Arial"/>
          <w:kern w:val="0"/>
          <w:sz w:val="28"/>
          <w:szCs w:val="28"/>
        </w:rPr>
      </w:pPr>
      <w:r>
        <w:rPr>
          <w:rFonts w:hint="eastAsia" w:ascii="宋体" w:hAnsi="宋体" w:eastAsia="宋体" w:cs="Arial"/>
          <w:kern w:val="0"/>
          <w:sz w:val="28"/>
          <w:szCs w:val="28"/>
        </w:rPr>
        <w:t>城市管理综合行政执法大队综合执法局：按要求完成指派的应急处置工作，比如协助维持现场秩序和拆除危险化学品企业周边违章建筑等。</w:t>
      </w:r>
    </w:p>
    <w:p w14:paraId="6EFA3996">
      <w:pPr>
        <w:pStyle w:val="17"/>
        <w:numPr>
          <w:ilvl w:val="0"/>
          <w:numId w:val="6"/>
        </w:numPr>
        <w:spacing w:line="360" w:lineRule="auto"/>
        <w:ind w:left="426" w:hanging="426" w:firstLineChars="0"/>
        <w:rPr>
          <w:rFonts w:ascii="宋体" w:hAnsi="宋体" w:cs="宋体"/>
          <w:sz w:val="28"/>
          <w:szCs w:val="28"/>
        </w:rPr>
      </w:pPr>
      <w:r>
        <w:rPr>
          <w:rFonts w:hint="eastAsia" w:ascii="宋体" w:hAnsi="宋体" w:cs="Arial"/>
          <w:kern w:val="0"/>
          <w:sz w:val="28"/>
          <w:szCs w:val="28"/>
        </w:rPr>
        <w:t>气象局：及时发布事故抢险期间高温、雷电、大风等气象信息。</w:t>
      </w:r>
    </w:p>
    <w:p w14:paraId="3A65B135">
      <w:pPr>
        <w:pStyle w:val="17"/>
        <w:numPr>
          <w:ilvl w:val="0"/>
          <w:numId w:val="6"/>
        </w:numPr>
        <w:spacing w:line="360" w:lineRule="auto"/>
        <w:ind w:left="426" w:hanging="426" w:firstLineChars="0"/>
        <w:rPr>
          <w:rFonts w:ascii="宋体" w:hAnsi="宋体" w:cs="宋体"/>
          <w:sz w:val="28"/>
          <w:szCs w:val="28"/>
        </w:rPr>
      </w:pPr>
      <w:r>
        <w:rPr>
          <w:rFonts w:hint="eastAsia" w:ascii="宋体" w:hAnsi="宋体" w:cs="Arial"/>
          <w:kern w:val="0"/>
          <w:sz w:val="28"/>
          <w:szCs w:val="28"/>
        </w:rPr>
        <w:t>林业和草原局：负责分管行业领域危险化学品生产安全事故应急处置的组织、指挥、协调。</w:t>
      </w:r>
    </w:p>
    <w:p w14:paraId="7156CEB0">
      <w:pPr>
        <w:pStyle w:val="17"/>
        <w:numPr>
          <w:ilvl w:val="0"/>
          <w:numId w:val="6"/>
        </w:numPr>
        <w:spacing w:line="360" w:lineRule="auto"/>
        <w:ind w:left="426" w:hanging="426" w:firstLineChars="0"/>
        <w:rPr>
          <w:rFonts w:ascii="宋体" w:hAnsi="宋体" w:cs="Arial"/>
          <w:kern w:val="0"/>
          <w:sz w:val="28"/>
          <w:szCs w:val="28"/>
        </w:rPr>
      </w:pPr>
      <w:r>
        <w:rPr>
          <w:rFonts w:hint="eastAsia" w:ascii="宋体" w:hAnsi="宋体" w:cs="Arial"/>
          <w:kern w:val="0"/>
          <w:sz w:val="28"/>
          <w:szCs w:val="28"/>
        </w:rPr>
        <w:t>市场监督管理局：负责与市市场监督管理局协调做好危险化学品生产安全事故相关的特种设备检测和鉴定。负责纳入特种设备的危险化学品生产经营企业储存设施的安全监管。</w:t>
      </w:r>
    </w:p>
    <w:p w14:paraId="0387A7A7">
      <w:pPr>
        <w:pStyle w:val="17"/>
        <w:numPr>
          <w:ilvl w:val="0"/>
          <w:numId w:val="6"/>
        </w:numPr>
        <w:spacing w:line="360" w:lineRule="auto"/>
        <w:ind w:left="426" w:hanging="426" w:firstLineChars="0"/>
        <w:rPr>
          <w:rFonts w:ascii="宋体" w:hAnsi="宋体" w:cs="宋体"/>
          <w:sz w:val="28"/>
          <w:szCs w:val="28"/>
        </w:rPr>
      </w:pPr>
      <w:r>
        <w:rPr>
          <w:rFonts w:hint="eastAsia" w:ascii="宋体" w:hAnsi="宋体" w:cs="宋体"/>
          <w:sz w:val="28"/>
          <w:szCs w:val="28"/>
        </w:rPr>
        <w:t>生态环境局：负责危险化学品生产安全事故引发的突发环境事件、废弃危险化学品事故应急处置工作；负责危险化学品生产安全事故区域环境保护、环境监测；负责指导现场污染物的控制和处理，并提供相关技术支持。</w:t>
      </w:r>
    </w:p>
    <w:p w14:paraId="092E1788">
      <w:pPr>
        <w:pStyle w:val="17"/>
        <w:numPr>
          <w:ilvl w:val="0"/>
          <w:numId w:val="6"/>
        </w:numPr>
        <w:spacing w:line="360" w:lineRule="auto"/>
        <w:ind w:left="426" w:hanging="426" w:firstLineChars="0"/>
        <w:rPr>
          <w:rFonts w:ascii="宋体" w:hAnsi="宋体" w:cs="宋体"/>
          <w:sz w:val="28"/>
          <w:szCs w:val="28"/>
        </w:rPr>
      </w:pPr>
      <w:r>
        <w:rPr>
          <w:rFonts w:hint="eastAsia" w:ascii="宋体" w:hAnsi="宋体" w:cs="Arial"/>
          <w:kern w:val="0"/>
          <w:sz w:val="28"/>
          <w:szCs w:val="28"/>
        </w:rPr>
        <w:t>县消防综合救援大队：负责危险化学品生产安全事故应急处置、火灾扑救、人员搜救和事故现场危险物品清理，控制危险源，防止事故扩大及次生灾害发生。</w:t>
      </w:r>
    </w:p>
    <w:p w14:paraId="3138C84A">
      <w:pPr>
        <w:pStyle w:val="17"/>
        <w:numPr>
          <w:ilvl w:val="0"/>
          <w:numId w:val="6"/>
        </w:numPr>
        <w:spacing w:line="360" w:lineRule="auto"/>
        <w:ind w:left="426" w:hanging="426" w:firstLineChars="0"/>
        <w:rPr>
          <w:rFonts w:ascii="宋体" w:hAnsi="宋体" w:cs="宋体"/>
          <w:sz w:val="28"/>
          <w:szCs w:val="28"/>
        </w:rPr>
      </w:pPr>
      <w:r>
        <w:rPr>
          <w:rFonts w:hint="eastAsia" w:ascii="宋体" w:hAnsi="宋体" w:cs="宋体"/>
          <w:sz w:val="28"/>
          <w:szCs w:val="28"/>
        </w:rPr>
        <w:t>其他部门：负责分管行业领域的危险化学品生产安全事故预防和应急处置；按照应急指挥部要求参加应急救援、应急处置工作。</w:t>
      </w:r>
    </w:p>
    <w:p w14:paraId="7AD248F3">
      <w:pPr>
        <w:pStyle w:val="17"/>
        <w:numPr>
          <w:ilvl w:val="0"/>
          <w:numId w:val="6"/>
        </w:numPr>
        <w:spacing w:line="360" w:lineRule="auto"/>
        <w:ind w:left="426" w:hanging="426" w:firstLineChars="0"/>
        <w:rPr>
          <w:rFonts w:ascii="宋体" w:hAnsi="宋体" w:cs="宋体"/>
          <w:sz w:val="28"/>
          <w:szCs w:val="28"/>
        </w:rPr>
      </w:pPr>
      <w:r>
        <w:rPr>
          <w:rFonts w:hint="eastAsia" w:ascii="宋体" w:hAnsi="宋体" w:cs="宋体"/>
          <w:sz w:val="28"/>
          <w:szCs w:val="28"/>
        </w:rPr>
        <w:t>各乡镇人民政府、社区办、社区管委会、经开区管委会：对辖区内生产经营单位危险化学品生产安全事故应急管理工作进行监督、检查；危险化学品生产安全事故发生后，立即指挥辖区内应急力量协助事故单位做好先期处置及应急救援。</w:t>
      </w:r>
    </w:p>
    <w:p w14:paraId="29E40861">
      <w:pPr>
        <w:pStyle w:val="17"/>
        <w:numPr>
          <w:ilvl w:val="0"/>
          <w:numId w:val="6"/>
        </w:numPr>
        <w:spacing w:line="360" w:lineRule="auto"/>
        <w:ind w:left="426" w:hanging="426" w:firstLineChars="0"/>
        <w:rPr>
          <w:rFonts w:ascii="宋体" w:hAnsi="宋体" w:cs="宋体"/>
          <w:sz w:val="28"/>
          <w:szCs w:val="28"/>
        </w:rPr>
      </w:pPr>
      <w:r>
        <w:rPr>
          <w:rFonts w:hint="eastAsia" w:ascii="宋体" w:hAnsi="宋体" w:cs="宋体"/>
          <w:sz w:val="28"/>
          <w:szCs w:val="28"/>
        </w:rPr>
        <w:t>生产经营单位：做好危险化学品安全管理，预防危险化学品生产安全事故发生；危险化学品生产安全事故发生后，立即启动内部应急预案组织救援。</w:t>
      </w:r>
    </w:p>
    <w:p w14:paraId="4C8F047B">
      <w:pPr>
        <w:pStyle w:val="17"/>
        <w:numPr>
          <w:ilvl w:val="0"/>
          <w:numId w:val="6"/>
        </w:numPr>
        <w:spacing w:line="360" w:lineRule="auto"/>
        <w:ind w:left="426" w:hanging="426" w:firstLineChars="0"/>
        <w:rPr>
          <w:rFonts w:ascii="宋体" w:hAnsi="宋体" w:cs="宋体"/>
          <w:sz w:val="28"/>
          <w:szCs w:val="28"/>
        </w:rPr>
      </w:pPr>
      <w:r>
        <w:rPr>
          <w:rFonts w:hint="eastAsia" w:ascii="宋体" w:hAnsi="宋体" w:cs="宋体"/>
          <w:sz w:val="28"/>
          <w:szCs w:val="28"/>
        </w:rPr>
        <w:t>专家组：主要由危化、建筑、气象、国土资源、环保等领域专家组成。职责是对事故应急处置方案的制定和实施提供决策咨询建议和技术支持。</w:t>
      </w:r>
    </w:p>
    <w:p w14:paraId="41C48906">
      <w:pPr>
        <w:pStyle w:val="17"/>
        <w:numPr>
          <w:ilvl w:val="0"/>
          <w:numId w:val="2"/>
        </w:numPr>
        <w:spacing w:line="360" w:lineRule="auto"/>
        <w:ind w:left="284" w:hanging="284" w:firstLineChars="0"/>
        <w:rPr>
          <w:rFonts w:ascii="宋体" w:hAnsi="宋体" w:cs="宋体"/>
          <w:kern w:val="0"/>
          <w:sz w:val="28"/>
          <w:szCs w:val="28"/>
        </w:rPr>
      </w:pPr>
      <w:r>
        <w:rPr>
          <w:rFonts w:hint="eastAsia" w:ascii="宋体" w:hAnsi="宋体" w:cs="宋体"/>
          <w:kern w:val="0"/>
          <w:sz w:val="28"/>
          <w:szCs w:val="28"/>
        </w:rPr>
        <w:t>应急工作机构及职责</w:t>
      </w:r>
    </w:p>
    <w:p w14:paraId="216382AB">
      <w:pPr>
        <w:pStyle w:val="17"/>
        <w:numPr>
          <w:ilvl w:val="0"/>
          <w:numId w:val="7"/>
        </w:numPr>
        <w:spacing w:line="360" w:lineRule="auto"/>
        <w:ind w:firstLineChars="0"/>
        <w:rPr>
          <w:rFonts w:ascii="宋体" w:hAnsi="宋体" w:cs="宋体"/>
          <w:kern w:val="0"/>
          <w:sz w:val="28"/>
          <w:szCs w:val="28"/>
        </w:rPr>
      </w:pPr>
      <w:r>
        <w:rPr>
          <w:rFonts w:hint="eastAsia" w:ascii="宋体" w:hAnsi="宋体" w:cs="宋体"/>
          <w:kern w:val="0"/>
          <w:sz w:val="28"/>
          <w:szCs w:val="28"/>
        </w:rPr>
        <w:t>抢险救援组</w:t>
      </w:r>
    </w:p>
    <w:p w14:paraId="15B7B578">
      <w:pPr>
        <w:spacing w:line="360" w:lineRule="auto"/>
        <w:ind w:firstLine="560"/>
        <w:rPr>
          <w:rFonts w:ascii="宋体" w:hAnsi="宋体" w:cs="宋体"/>
          <w:kern w:val="0"/>
          <w:sz w:val="28"/>
          <w:szCs w:val="28"/>
        </w:rPr>
      </w:pPr>
      <w:r>
        <w:rPr>
          <w:rFonts w:hint="eastAsia" w:ascii="宋体" w:hAnsi="宋体" w:cs="宋体"/>
          <w:kern w:val="0"/>
          <w:sz w:val="28"/>
          <w:szCs w:val="28"/>
        </w:rPr>
        <w:t>组成：由应急管理局牵头，消防救援大队实施现场抢险任务，救援任务由</w:t>
      </w:r>
      <w:r>
        <w:rPr>
          <w:rFonts w:hint="eastAsia" w:ascii="宋体" w:hAnsi="宋体" w:cs="宋体"/>
          <w:sz w:val="28"/>
          <w:szCs w:val="28"/>
        </w:rPr>
        <w:t>住房和城乡建设局、城市管理综合行政执法大队综合执法局、供电、供水、通讯、燃气等单位实施。</w:t>
      </w:r>
    </w:p>
    <w:p w14:paraId="0B690281">
      <w:pPr>
        <w:spacing w:line="360" w:lineRule="auto"/>
        <w:ind w:firstLine="560"/>
        <w:rPr>
          <w:rFonts w:ascii="宋体" w:hAnsi="宋体" w:cs="宋体"/>
          <w:kern w:val="0"/>
          <w:sz w:val="28"/>
          <w:szCs w:val="28"/>
        </w:rPr>
      </w:pPr>
      <w:r>
        <w:rPr>
          <w:rFonts w:hint="eastAsia" w:ascii="宋体" w:hAnsi="宋体" w:cs="宋体"/>
          <w:kern w:val="0"/>
          <w:sz w:val="28"/>
          <w:szCs w:val="28"/>
        </w:rPr>
        <w:t>职责：泄漏处理、危险源控制；火灾扑救、现场清理；受伤、被困人员救护。</w:t>
      </w:r>
    </w:p>
    <w:p w14:paraId="181D0C20">
      <w:pPr>
        <w:pStyle w:val="17"/>
        <w:numPr>
          <w:ilvl w:val="0"/>
          <w:numId w:val="7"/>
        </w:numPr>
        <w:spacing w:line="360" w:lineRule="auto"/>
        <w:ind w:firstLineChars="0"/>
        <w:rPr>
          <w:rFonts w:ascii="宋体" w:hAnsi="宋体" w:cs="宋体"/>
          <w:kern w:val="0"/>
          <w:sz w:val="28"/>
          <w:szCs w:val="28"/>
        </w:rPr>
      </w:pPr>
      <w:r>
        <w:rPr>
          <w:rFonts w:hint="eastAsia" w:ascii="宋体" w:hAnsi="宋体" w:cs="宋体"/>
          <w:kern w:val="0"/>
          <w:sz w:val="28"/>
          <w:szCs w:val="28"/>
        </w:rPr>
        <w:t>医疗救护组</w:t>
      </w:r>
    </w:p>
    <w:p w14:paraId="34342B05">
      <w:pPr>
        <w:spacing w:line="360" w:lineRule="auto"/>
        <w:ind w:firstLine="560" w:firstLineChars="200"/>
        <w:rPr>
          <w:rFonts w:ascii="宋体" w:hAnsi="宋体" w:cs="宋体"/>
          <w:kern w:val="0"/>
          <w:sz w:val="28"/>
          <w:szCs w:val="28"/>
        </w:rPr>
      </w:pPr>
      <w:r>
        <w:rPr>
          <w:rFonts w:hint="eastAsia" w:ascii="宋体" w:hAnsi="宋体" w:cs="宋体"/>
          <w:kern w:val="0"/>
          <w:sz w:val="28"/>
          <w:szCs w:val="28"/>
        </w:rPr>
        <w:t>组成：卫生健康局</w:t>
      </w:r>
    </w:p>
    <w:p w14:paraId="1CF3B1CA">
      <w:pPr>
        <w:spacing w:line="360" w:lineRule="auto"/>
        <w:ind w:firstLine="560" w:firstLineChars="200"/>
        <w:rPr>
          <w:rFonts w:ascii="宋体" w:hAnsi="宋体" w:cs="宋体"/>
          <w:kern w:val="0"/>
          <w:sz w:val="28"/>
          <w:szCs w:val="28"/>
        </w:rPr>
      </w:pPr>
      <w:r>
        <w:rPr>
          <w:rFonts w:hint="eastAsia" w:ascii="宋体" w:hAnsi="宋体" w:cs="宋体"/>
          <w:kern w:val="0"/>
          <w:sz w:val="28"/>
          <w:szCs w:val="28"/>
        </w:rPr>
        <w:t>职责：组织专业救护机构、人员开展现场救护、卫生防疫等工作。</w:t>
      </w:r>
    </w:p>
    <w:p w14:paraId="095E404D">
      <w:pPr>
        <w:pStyle w:val="17"/>
        <w:numPr>
          <w:ilvl w:val="0"/>
          <w:numId w:val="7"/>
        </w:numPr>
        <w:spacing w:line="360" w:lineRule="auto"/>
        <w:ind w:firstLineChars="0"/>
        <w:rPr>
          <w:rFonts w:ascii="宋体" w:hAnsi="宋体" w:cs="宋体"/>
          <w:kern w:val="0"/>
          <w:sz w:val="28"/>
          <w:szCs w:val="28"/>
        </w:rPr>
      </w:pPr>
      <w:r>
        <w:rPr>
          <w:rFonts w:hint="eastAsia" w:ascii="宋体" w:hAnsi="宋体" w:cs="宋体"/>
          <w:kern w:val="0"/>
          <w:sz w:val="28"/>
          <w:szCs w:val="28"/>
        </w:rPr>
        <w:t>治安警戒组</w:t>
      </w:r>
    </w:p>
    <w:p w14:paraId="2E754680">
      <w:pPr>
        <w:spacing w:line="360" w:lineRule="auto"/>
        <w:ind w:firstLine="560" w:firstLineChars="200"/>
        <w:rPr>
          <w:rFonts w:ascii="宋体" w:hAnsi="宋体" w:cs="宋体"/>
          <w:kern w:val="0"/>
          <w:sz w:val="28"/>
          <w:szCs w:val="28"/>
        </w:rPr>
      </w:pPr>
      <w:r>
        <w:rPr>
          <w:rFonts w:hint="eastAsia" w:ascii="宋体" w:hAnsi="宋体" w:cs="宋体"/>
          <w:kern w:val="0"/>
          <w:sz w:val="28"/>
          <w:szCs w:val="28"/>
        </w:rPr>
        <w:t>组成：县公安局、县公安局交警大队</w:t>
      </w:r>
    </w:p>
    <w:p w14:paraId="6F565401">
      <w:pPr>
        <w:spacing w:line="360" w:lineRule="auto"/>
        <w:ind w:firstLine="560" w:firstLineChars="200"/>
        <w:rPr>
          <w:rFonts w:ascii="宋体" w:hAnsi="宋体" w:cs="宋体"/>
          <w:kern w:val="0"/>
          <w:sz w:val="28"/>
          <w:szCs w:val="28"/>
        </w:rPr>
      </w:pPr>
      <w:r>
        <w:rPr>
          <w:rFonts w:hint="eastAsia" w:ascii="宋体" w:hAnsi="宋体" w:cs="宋体"/>
          <w:kern w:val="0"/>
          <w:sz w:val="28"/>
          <w:szCs w:val="28"/>
        </w:rPr>
        <w:t>职责：县公安局负责保护事故现场、维护现场秩序、安全保卫和群众疏散；县公安局交警大队负责事故现场的道路交通管理、管制。</w:t>
      </w:r>
    </w:p>
    <w:p w14:paraId="13B93962">
      <w:pPr>
        <w:pStyle w:val="17"/>
        <w:numPr>
          <w:ilvl w:val="0"/>
          <w:numId w:val="7"/>
        </w:numPr>
        <w:spacing w:line="360" w:lineRule="auto"/>
        <w:ind w:firstLineChars="0"/>
        <w:rPr>
          <w:rFonts w:ascii="宋体" w:hAnsi="宋体" w:cs="宋体"/>
          <w:kern w:val="0"/>
          <w:sz w:val="28"/>
          <w:szCs w:val="28"/>
        </w:rPr>
      </w:pPr>
      <w:r>
        <w:rPr>
          <w:rFonts w:hint="eastAsia" w:ascii="宋体" w:hAnsi="宋体" w:cs="宋体"/>
          <w:kern w:val="0"/>
          <w:sz w:val="28"/>
          <w:szCs w:val="28"/>
        </w:rPr>
        <w:t>工程抢险组</w:t>
      </w:r>
    </w:p>
    <w:p w14:paraId="1D2C15C2">
      <w:pPr>
        <w:spacing w:line="360" w:lineRule="auto"/>
        <w:ind w:firstLine="560" w:firstLineChars="200"/>
        <w:rPr>
          <w:rFonts w:ascii="宋体" w:hAnsi="宋体" w:cs="宋体"/>
          <w:color w:val="FF0000"/>
          <w:kern w:val="0"/>
          <w:sz w:val="28"/>
          <w:szCs w:val="28"/>
        </w:rPr>
      </w:pPr>
      <w:r>
        <w:rPr>
          <w:rFonts w:hint="eastAsia" w:ascii="宋体" w:hAnsi="宋体" w:cs="宋体"/>
          <w:kern w:val="0"/>
          <w:sz w:val="28"/>
          <w:szCs w:val="28"/>
        </w:rPr>
        <w:t>组成：住房和城乡建设局牵头，工业信息科技局</w:t>
      </w:r>
    </w:p>
    <w:p w14:paraId="5F9B139D">
      <w:pPr>
        <w:spacing w:line="360" w:lineRule="auto"/>
        <w:ind w:firstLine="560" w:firstLineChars="200"/>
        <w:rPr>
          <w:rFonts w:ascii="宋体" w:hAnsi="宋体" w:cs="宋体"/>
          <w:kern w:val="0"/>
          <w:sz w:val="28"/>
          <w:szCs w:val="28"/>
        </w:rPr>
      </w:pPr>
      <w:r>
        <w:rPr>
          <w:rFonts w:hint="eastAsia" w:ascii="宋体" w:hAnsi="宋体" w:cs="宋体"/>
          <w:kern w:val="0"/>
          <w:sz w:val="28"/>
          <w:szCs w:val="28"/>
        </w:rPr>
        <w:t>职责：对事故现场的公用工程和周边被损毁的公共设施进行抢修；抢修电力设施，恢复电力供应；抢修通讯设施，尽快恢复通讯。</w:t>
      </w:r>
    </w:p>
    <w:p w14:paraId="55065C90">
      <w:pPr>
        <w:pStyle w:val="17"/>
        <w:numPr>
          <w:ilvl w:val="0"/>
          <w:numId w:val="7"/>
        </w:numPr>
        <w:spacing w:line="360" w:lineRule="auto"/>
        <w:ind w:firstLineChars="0"/>
        <w:rPr>
          <w:rFonts w:ascii="宋体" w:hAnsi="宋体" w:cs="宋体"/>
          <w:kern w:val="0"/>
          <w:sz w:val="28"/>
          <w:szCs w:val="28"/>
        </w:rPr>
      </w:pPr>
      <w:r>
        <w:rPr>
          <w:rFonts w:hint="eastAsia" w:ascii="宋体" w:hAnsi="宋体" w:cs="宋体"/>
          <w:kern w:val="0"/>
          <w:sz w:val="28"/>
          <w:szCs w:val="28"/>
        </w:rPr>
        <w:t>后勤保障组</w:t>
      </w:r>
    </w:p>
    <w:p w14:paraId="49EC8DD7">
      <w:pPr>
        <w:spacing w:line="360" w:lineRule="auto"/>
        <w:ind w:firstLine="560" w:firstLineChars="200"/>
        <w:rPr>
          <w:rFonts w:ascii="宋体" w:hAnsi="宋体" w:cs="宋体"/>
          <w:kern w:val="0"/>
          <w:sz w:val="28"/>
          <w:szCs w:val="28"/>
        </w:rPr>
      </w:pPr>
      <w:r>
        <w:rPr>
          <w:rFonts w:hint="eastAsia" w:ascii="宋体" w:hAnsi="宋体" w:cs="宋体"/>
          <w:kern w:val="0"/>
          <w:sz w:val="28"/>
          <w:szCs w:val="28"/>
        </w:rPr>
        <w:t>组成：事故所在地乡镇人民政府、社区办、社区管委会、经开区管委会牵头，财政局、发展改革局、民政局、卫生健康局等部门及事故单位配合。</w:t>
      </w:r>
    </w:p>
    <w:p w14:paraId="439EAFA2">
      <w:pPr>
        <w:spacing w:line="360" w:lineRule="auto"/>
        <w:ind w:firstLine="560" w:firstLineChars="200"/>
        <w:rPr>
          <w:rFonts w:ascii="宋体" w:hAnsi="宋体" w:cs="宋体"/>
          <w:kern w:val="0"/>
          <w:sz w:val="28"/>
          <w:szCs w:val="28"/>
        </w:rPr>
      </w:pPr>
      <w:r>
        <w:rPr>
          <w:rFonts w:hint="eastAsia" w:ascii="宋体" w:hAnsi="宋体" w:cs="宋体"/>
          <w:kern w:val="0"/>
          <w:sz w:val="28"/>
          <w:szCs w:val="28"/>
        </w:rPr>
        <w:t>职责：根据事故处置需要，及时提供资金、物资、装备、食品、等后勤服务和应急资源保障。</w:t>
      </w:r>
    </w:p>
    <w:p w14:paraId="55884281">
      <w:pPr>
        <w:pStyle w:val="17"/>
        <w:numPr>
          <w:ilvl w:val="0"/>
          <w:numId w:val="7"/>
        </w:numPr>
        <w:spacing w:line="360" w:lineRule="auto"/>
        <w:ind w:firstLineChars="0"/>
        <w:rPr>
          <w:rFonts w:ascii="宋体" w:hAnsi="宋体" w:cs="宋体"/>
          <w:kern w:val="0"/>
          <w:sz w:val="28"/>
          <w:szCs w:val="28"/>
        </w:rPr>
      </w:pPr>
      <w:r>
        <w:rPr>
          <w:rFonts w:hint="eastAsia" w:ascii="宋体" w:hAnsi="宋体" w:cs="宋体"/>
          <w:kern w:val="0"/>
          <w:sz w:val="28"/>
          <w:szCs w:val="28"/>
        </w:rPr>
        <w:t>通讯联络组</w:t>
      </w:r>
    </w:p>
    <w:p w14:paraId="43C5C381">
      <w:pPr>
        <w:spacing w:line="360" w:lineRule="auto"/>
        <w:ind w:firstLine="560" w:firstLineChars="200"/>
        <w:rPr>
          <w:rFonts w:ascii="宋体" w:hAnsi="宋体" w:cs="宋体"/>
          <w:kern w:val="0"/>
          <w:sz w:val="28"/>
          <w:szCs w:val="28"/>
        </w:rPr>
      </w:pPr>
      <w:r>
        <w:rPr>
          <w:rFonts w:hint="eastAsia" w:ascii="宋体" w:hAnsi="宋体" w:cs="宋体"/>
          <w:kern w:val="0"/>
          <w:sz w:val="28"/>
          <w:szCs w:val="28"/>
        </w:rPr>
        <w:t>组成：县委宣传部牵头，</w:t>
      </w:r>
      <w:r>
        <w:rPr>
          <w:rFonts w:ascii="宋体" w:hAnsi="宋体" w:cs="宋体"/>
          <w:kern w:val="0"/>
          <w:sz w:val="28"/>
          <w:szCs w:val="28"/>
        </w:rPr>
        <w:t>文</w:t>
      </w:r>
      <w:r>
        <w:rPr>
          <w:rFonts w:hint="eastAsia" w:ascii="宋体" w:hAnsi="宋体" w:cs="宋体"/>
          <w:kern w:val="0"/>
          <w:sz w:val="28"/>
          <w:szCs w:val="28"/>
        </w:rPr>
        <w:t>体</w:t>
      </w:r>
      <w:r>
        <w:rPr>
          <w:rFonts w:ascii="宋体" w:hAnsi="宋体" w:cs="宋体"/>
          <w:kern w:val="0"/>
          <w:sz w:val="28"/>
          <w:szCs w:val="28"/>
        </w:rPr>
        <w:t>广电和旅游局</w:t>
      </w:r>
    </w:p>
    <w:p w14:paraId="168F33CF">
      <w:pPr>
        <w:spacing w:line="360" w:lineRule="auto"/>
        <w:ind w:firstLine="560" w:firstLineChars="200"/>
        <w:rPr>
          <w:rFonts w:ascii="宋体" w:hAnsi="宋体" w:cs="宋体"/>
          <w:kern w:val="0"/>
          <w:sz w:val="28"/>
          <w:szCs w:val="28"/>
        </w:rPr>
      </w:pPr>
      <w:r>
        <w:rPr>
          <w:rFonts w:hint="eastAsia" w:ascii="宋体" w:hAnsi="宋体" w:cs="宋体"/>
          <w:kern w:val="0"/>
          <w:sz w:val="28"/>
          <w:szCs w:val="28"/>
        </w:rPr>
        <w:t>职责：统一发布事故信息，客观、公布事故进展、政府举措、公共防范措施；后续信息发布；负责事故现场与应急指挥部的通讯联络。</w:t>
      </w:r>
    </w:p>
    <w:p w14:paraId="2242B6D6">
      <w:pPr>
        <w:pStyle w:val="17"/>
        <w:numPr>
          <w:ilvl w:val="0"/>
          <w:numId w:val="7"/>
        </w:numPr>
        <w:spacing w:line="360" w:lineRule="auto"/>
        <w:ind w:firstLineChars="0"/>
        <w:rPr>
          <w:rFonts w:ascii="宋体" w:hAnsi="宋体" w:cs="宋体"/>
          <w:kern w:val="0"/>
          <w:sz w:val="28"/>
          <w:szCs w:val="28"/>
        </w:rPr>
      </w:pPr>
      <w:r>
        <w:rPr>
          <w:rFonts w:hint="eastAsia" w:ascii="宋体" w:hAnsi="宋体" w:cs="宋体"/>
          <w:kern w:val="0"/>
          <w:sz w:val="28"/>
          <w:szCs w:val="28"/>
        </w:rPr>
        <w:t>交通运输组</w:t>
      </w:r>
    </w:p>
    <w:p w14:paraId="7C4914F7">
      <w:pPr>
        <w:spacing w:line="360" w:lineRule="auto"/>
        <w:ind w:firstLine="560" w:firstLineChars="200"/>
        <w:rPr>
          <w:rFonts w:ascii="宋体" w:hAnsi="宋体" w:cs="宋体"/>
          <w:kern w:val="0"/>
          <w:sz w:val="28"/>
          <w:szCs w:val="28"/>
        </w:rPr>
      </w:pPr>
      <w:r>
        <w:rPr>
          <w:rFonts w:hint="eastAsia" w:ascii="宋体" w:hAnsi="宋体" w:cs="宋体"/>
          <w:kern w:val="0"/>
          <w:sz w:val="28"/>
          <w:szCs w:val="28"/>
        </w:rPr>
        <w:t>组成：交通运输局牵头，县公安局交警大队、有关运输企业</w:t>
      </w:r>
    </w:p>
    <w:p w14:paraId="2C2CC228">
      <w:pPr>
        <w:spacing w:line="360" w:lineRule="auto"/>
        <w:ind w:firstLine="560" w:firstLineChars="200"/>
        <w:rPr>
          <w:rFonts w:ascii="宋体" w:hAnsi="宋体" w:cs="宋体"/>
          <w:kern w:val="0"/>
          <w:sz w:val="28"/>
          <w:szCs w:val="28"/>
        </w:rPr>
      </w:pPr>
      <w:r>
        <w:rPr>
          <w:rFonts w:hint="eastAsia" w:ascii="宋体" w:hAnsi="宋体" w:cs="宋体"/>
          <w:kern w:val="0"/>
          <w:sz w:val="28"/>
          <w:szCs w:val="28"/>
        </w:rPr>
        <w:t>职责：组织运送救援人员、受灾人员、救援设备和物资、运送受伤人员的车辆优先通行。</w:t>
      </w:r>
    </w:p>
    <w:p w14:paraId="458C2846">
      <w:pPr>
        <w:pStyle w:val="17"/>
        <w:numPr>
          <w:ilvl w:val="0"/>
          <w:numId w:val="7"/>
        </w:numPr>
        <w:spacing w:line="360" w:lineRule="auto"/>
        <w:ind w:firstLineChars="0"/>
        <w:rPr>
          <w:rFonts w:ascii="宋体" w:hAnsi="宋体" w:cs="宋体"/>
          <w:kern w:val="0"/>
          <w:sz w:val="28"/>
          <w:szCs w:val="28"/>
        </w:rPr>
      </w:pPr>
      <w:r>
        <w:rPr>
          <w:rFonts w:hint="eastAsia" w:ascii="宋体" w:hAnsi="宋体" w:cs="宋体"/>
          <w:kern w:val="0"/>
          <w:sz w:val="28"/>
          <w:szCs w:val="28"/>
        </w:rPr>
        <w:t>技术支持组</w:t>
      </w:r>
    </w:p>
    <w:p w14:paraId="6F72F2E7">
      <w:pPr>
        <w:spacing w:line="360" w:lineRule="auto"/>
        <w:ind w:firstLine="560" w:firstLineChars="200"/>
        <w:rPr>
          <w:rFonts w:ascii="宋体" w:hAnsi="宋体" w:cs="宋体"/>
          <w:kern w:val="0"/>
          <w:sz w:val="28"/>
          <w:szCs w:val="28"/>
        </w:rPr>
      </w:pPr>
      <w:r>
        <w:rPr>
          <w:rFonts w:hint="eastAsia" w:ascii="宋体" w:hAnsi="宋体" w:cs="宋体"/>
          <w:kern w:val="0"/>
          <w:sz w:val="28"/>
          <w:szCs w:val="28"/>
        </w:rPr>
        <w:t>组成：由应急管理局牵头，事故单位分管行业主管部门</w:t>
      </w:r>
    </w:p>
    <w:p w14:paraId="444CF72E">
      <w:pPr>
        <w:spacing w:line="360" w:lineRule="auto"/>
        <w:ind w:firstLine="560" w:firstLineChars="200"/>
        <w:jc w:val="left"/>
        <w:rPr>
          <w:rFonts w:ascii="宋体" w:hAnsi="宋体" w:cs="宋体"/>
          <w:kern w:val="0"/>
          <w:sz w:val="28"/>
          <w:szCs w:val="28"/>
        </w:rPr>
      </w:pPr>
      <w:r>
        <w:rPr>
          <w:rFonts w:hint="eastAsia" w:ascii="宋体" w:hAnsi="宋体" w:cs="宋体"/>
          <w:kern w:val="0"/>
          <w:sz w:val="28"/>
          <w:szCs w:val="28"/>
        </w:rPr>
        <w:t>职责：负责组织专家制定事故救援方案；分析事故信息和灾害情况；提出救援技术措施，为应急指挥部决策提出科学的意见和建议；提出控制和防止事故扩大的措施；为恢复生产提供技术支持。</w:t>
      </w:r>
    </w:p>
    <w:p w14:paraId="3B48D636">
      <w:pPr>
        <w:pStyle w:val="17"/>
        <w:numPr>
          <w:ilvl w:val="0"/>
          <w:numId w:val="7"/>
        </w:numPr>
        <w:spacing w:line="360" w:lineRule="auto"/>
        <w:ind w:firstLineChars="0"/>
        <w:rPr>
          <w:rFonts w:ascii="宋体" w:hAnsi="宋体" w:cs="宋体"/>
          <w:kern w:val="0"/>
          <w:sz w:val="28"/>
          <w:szCs w:val="28"/>
        </w:rPr>
      </w:pPr>
      <w:r>
        <w:rPr>
          <w:rFonts w:hint="eastAsia" w:ascii="宋体" w:hAnsi="宋体" w:cs="宋体"/>
          <w:kern w:val="0"/>
          <w:sz w:val="28"/>
          <w:szCs w:val="28"/>
        </w:rPr>
        <w:t>调查评估组</w:t>
      </w:r>
    </w:p>
    <w:p w14:paraId="4DA7FD00">
      <w:pPr>
        <w:spacing w:line="360" w:lineRule="auto"/>
        <w:ind w:firstLine="560" w:firstLineChars="200"/>
        <w:rPr>
          <w:rFonts w:ascii="宋体" w:hAnsi="宋体" w:cs="宋体"/>
          <w:kern w:val="0"/>
          <w:sz w:val="28"/>
          <w:szCs w:val="28"/>
        </w:rPr>
      </w:pPr>
      <w:r>
        <w:rPr>
          <w:rFonts w:hint="eastAsia" w:ascii="宋体" w:hAnsi="宋体" w:cs="宋体"/>
          <w:kern w:val="0"/>
          <w:sz w:val="28"/>
          <w:szCs w:val="28"/>
        </w:rPr>
        <w:t>组成：县应急管理局牵头，分管行业主管部门配合。</w:t>
      </w:r>
    </w:p>
    <w:p w14:paraId="142DEC28">
      <w:pPr>
        <w:spacing w:line="360" w:lineRule="auto"/>
        <w:ind w:firstLine="560" w:firstLineChars="200"/>
        <w:rPr>
          <w:rFonts w:ascii="宋体" w:hAnsi="宋体" w:cs="宋体"/>
          <w:kern w:val="0"/>
          <w:sz w:val="28"/>
          <w:szCs w:val="28"/>
        </w:rPr>
      </w:pPr>
      <w:r>
        <w:rPr>
          <w:rFonts w:hint="eastAsia" w:ascii="宋体" w:hAnsi="宋体" w:cs="宋体"/>
          <w:kern w:val="0"/>
          <w:sz w:val="28"/>
          <w:szCs w:val="28"/>
        </w:rPr>
        <w:t>职责：及时查明事故经过及原因，总结处置工作的经验教训，制定整改措施，评估事故损失。</w:t>
      </w:r>
    </w:p>
    <w:p w14:paraId="3B0CAE83">
      <w:pPr>
        <w:pStyle w:val="17"/>
        <w:numPr>
          <w:ilvl w:val="0"/>
          <w:numId w:val="7"/>
        </w:numPr>
        <w:spacing w:line="360" w:lineRule="auto"/>
        <w:ind w:firstLineChars="0"/>
        <w:rPr>
          <w:rFonts w:ascii="宋体" w:hAnsi="宋体" w:cs="宋体"/>
          <w:kern w:val="0"/>
          <w:sz w:val="28"/>
          <w:szCs w:val="28"/>
        </w:rPr>
      </w:pPr>
      <w:r>
        <w:rPr>
          <w:rFonts w:hint="eastAsia" w:ascii="宋体" w:hAnsi="宋体" w:cs="宋体"/>
          <w:kern w:val="0"/>
          <w:sz w:val="28"/>
          <w:szCs w:val="28"/>
        </w:rPr>
        <w:t>善后处理组</w:t>
      </w:r>
    </w:p>
    <w:p w14:paraId="090A64E4">
      <w:pPr>
        <w:spacing w:line="360" w:lineRule="auto"/>
        <w:ind w:firstLine="560" w:firstLineChars="200"/>
        <w:rPr>
          <w:rFonts w:ascii="宋体" w:hAnsi="宋体" w:cs="宋体"/>
          <w:kern w:val="0"/>
          <w:sz w:val="28"/>
          <w:szCs w:val="28"/>
        </w:rPr>
      </w:pPr>
      <w:r>
        <w:rPr>
          <w:rFonts w:hint="eastAsia" w:ascii="宋体" w:hAnsi="宋体" w:cs="宋体"/>
          <w:kern w:val="0"/>
          <w:sz w:val="28"/>
          <w:szCs w:val="28"/>
        </w:rPr>
        <w:t>组成：事故单位所在乡镇人民政府（社区办、社区管委会、经开区管委会等）牵头，应急管理局、民政局、事故单位、事故单位行业主管部门。</w:t>
      </w:r>
    </w:p>
    <w:p w14:paraId="56CEE5FE">
      <w:pPr>
        <w:spacing w:line="360" w:lineRule="auto"/>
        <w:ind w:firstLine="560" w:firstLineChars="200"/>
        <w:jc w:val="left"/>
        <w:rPr>
          <w:rFonts w:ascii="宋体" w:hAnsi="宋体" w:cs="Arial"/>
          <w:kern w:val="0"/>
          <w:sz w:val="28"/>
          <w:szCs w:val="28"/>
        </w:rPr>
      </w:pPr>
      <w:r>
        <w:rPr>
          <w:rFonts w:hint="eastAsia" w:ascii="宋体" w:hAnsi="宋体" w:cs="宋体"/>
          <w:kern w:val="0"/>
          <w:sz w:val="28"/>
          <w:szCs w:val="28"/>
        </w:rPr>
        <w:t>职责：实施救助、补偿、抚慰、抚恤等工作，安置、处理在事故中死亡、受伤、受灾人员；接受和管理社会各界捐赠；提供心理咨询辅导和司法援助；预防、解决事故引发的各种矛盾和纠纷。</w:t>
      </w:r>
    </w:p>
    <w:p w14:paraId="1F2BC2E4">
      <w:pPr>
        <w:pStyle w:val="2"/>
        <w:keepNext w:val="0"/>
        <w:keepLines w:val="0"/>
        <w:spacing w:before="0" w:after="0" w:line="360" w:lineRule="auto"/>
        <w:rPr>
          <w:rFonts w:ascii="宋体" w:hAnsi="宋体"/>
          <w:kern w:val="0"/>
          <w:sz w:val="28"/>
          <w:szCs w:val="28"/>
        </w:rPr>
      </w:pPr>
      <w:bookmarkStart w:id="8" w:name="_Toc184287572"/>
      <w:r>
        <w:rPr>
          <w:rFonts w:hint="eastAsia" w:ascii="宋体" w:hAnsi="宋体"/>
          <w:kern w:val="0"/>
          <w:sz w:val="28"/>
          <w:szCs w:val="28"/>
        </w:rPr>
        <w:t>三、危险化学品生产安全事故风险分析及控制</w:t>
      </w:r>
      <w:bookmarkEnd w:id="8"/>
    </w:p>
    <w:p w14:paraId="7D1F66D6">
      <w:pPr>
        <w:pStyle w:val="3"/>
        <w:keepNext w:val="0"/>
        <w:keepLines w:val="0"/>
        <w:spacing w:before="0" w:after="0" w:line="360" w:lineRule="auto"/>
        <w:rPr>
          <w:rFonts w:ascii="宋体" w:hAnsi="宋体"/>
          <w:kern w:val="0"/>
          <w:sz w:val="28"/>
          <w:szCs w:val="28"/>
        </w:rPr>
      </w:pPr>
      <w:bookmarkStart w:id="9" w:name="_Toc184287573"/>
      <w:r>
        <w:rPr>
          <w:rFonts w:hint="eastAsia" w:ascii="宋体" w:hAnsi="宋体"/>
          <w:kern w:val="0"/>
          <w:sz w:val="28"/>
          <w:szCs w:val="28"/>
        </w:rPr>
        <w:t>（一）现状及风险分析</w:t>
      </w:r>
      <w:bookmarkEnd w:id="9"/>
    </w:p>
    <w:p w14:paraId="507CCB0D">
      <w:pPr>
        <w:pStyle w:val="17"/>
        <w:spacing w:line="360" w:lineRule="auto"/>
        <w:ind w:firstLine="560"/>
        <w:rPr>
          <w:rFonts w:ascii="宋体" w:hAnsi="宋体"/>
          <w:color w:val="000000"/>
          <w:kern w:val="0"/>
          <w:sz w:val="28"/>
          <w:szCs w:val="28"/>
        </w:rPr>
      </w:pPr>
      <w:r>
        <w:rPr>
          <w:rFonts w:hint="eastAsia" w:ascii="宋体" w:hAnsi="宋体"/>
          <w:color w:val="000000"/>
          <w:kern w:val="0"/>
          <w:sz w:val="28"/>
          <w:szCs w:val="28"/>
        </w:rPr>
        <w:t>危险化学品事故管理重点是生产、经营、储存单位。危险化学品使用单使用范围大、规模不一，受危险化学品固有的理化性质影响，若管理不当可引发事故，而且危险化学品使用单位安全管理的现状良莠不齐，也是当前危险化学品安全管理的重点。</w:t>
      </w:r>
    </w:p>
    <w:p w14:paraId="5087A3D3">
      <w:pPr>
        <w:spacing w:line="360" w:lineRule="auto"/>
        <w:ind w:firstLine="560" w:firstLineChars="200"/>
        <w:rPr>
          <w:rFonts w:ascii="宋体" w:hAnsi="宋体"/>
          <w:color w:val="000000"/>
          <w:kern w:val="0"/>
          <w:sz w:val="28"/>
          <w:szCs w:val="28"/>
        </w:rPr>
      </w:pPr>
      <w:r>
        <w:rPr>
          <w:rFonts w:hint="eastAsia" w:ascii="宋体" w:hAnsi="宋体"/>
          <w:color w:val="000000"/>
          <w:kern w:val="0"/>
          <w:sz w:val="28"/>
          <w:szCs w:val="28"/>
        </w:rPr>
        <w:t>桦南县行政区域内目前分布着众多危险化学品生产、经营、使用单位。目前，桦南县境内共有危险化学品重点监管企业 51家，其中包括生产企业2家、仓储企业1家、加油站44家、天然气加气站2家、危险化学品经营企业2家。构成重大危险源的企业1家，无涉氨制冷企业。详情见附件2。</w:t>
      </w:r>
    </w:p>
    <w:p w14:paraId="3ADAEA96">
      <w:pPr>
        <w:pStyle w:val="3"/>
        <w:keepNext w:val="0"/>
        <w:keepLines w:val="0"/>
        <w:spacing w:before="0" w:after="0" w:line="360" w:lineRule="auto"/>
        <w:rPr>
          <w:rFonts w:ascii="宋体" w:hAnsi="宋体"/>
          <w:kern w:val="0"/>
          <w:sz w:val="28"/>
          <w:szCs w:val="28"/>
        </w:rPr>
      </w:pPr>
      <w:bookmarkStart w:id="10" w:name="_Toc184287574"/>
      <w:r>
        <w:rPr>
          <w:rFonts w:hint="eastAsia" w:ascii="宋体" w:hAnsi="宋体"/>
          <w:kern w:val="0"/>
          <w:sz w:val="28"/>
          <w:szCs w:val="28"/>
        </w:rPr>
        <w:t>（二）</w:t>
      </w:r>
      <w:r>
        <w:rPr>
          <w:rFonts w:ascii="宋体" w:hAnsi="宋体"/>
          <w:kern w:val="0"/>
          <w:sz w:val="28"/>
          <w:szCs w:val="28"/>
        </w:rPr>
        <w:t>危险化学品生产安全事故分类</w:t>
      </w:r>
      <w:bookmarkEnd w:id="10"/>
    </w:p>
    <w:p w14:paraId="29457198">
      <w:pPr>
        <w:spacing w:line="360" w:lineRule="auto"/>
        <w:ind w:firstLine="560" w:firstLineChars="200"/>
        <w:jc w:val="left"/>
        <w:rPr>
          <w:rFonts w:ascii="宋体" w:hAnsi="宋体" w:cs="宋体"/>
          <w:kern w:val="0"/>
          <w:sz w:val="28"/>
          <w:szCs w:val="28"/>
        </w:rPr>
      </w:pPr>
      <w:r>
        <w:rPr>
          <w:rFonts w:ascii="宋体" w:hAnsi="宋体" w:cs="宋体"/>
          <w:kern w:val="0"/>
          <w:sz w:val="28"/>
          <w:szCs w:val="28"/>
        </w:rPr>
        <w:t>危险化学品生产安全事故指危险化学品生产、经营</w:t>
      </w:r>
      <w:r>
        <w:rPr>
          <w:rFonts w:hint="eastAsia" w:ascii="宋体" w:hAnsi="宋体" w:cs="宋体"/>
          <w:kern w:val="0"/>
          <w:sz w:val="28"/>
          <w:szCs w:val="28"/>
        </w:rPr>
        <w:t>、</w:t>
      </w:r>
      <w:r>
        <w:rPr>
          <w:rFonts w:ascii="宋体" w:hAnsi="宋体" w:cs="宋体"/>
          <w:kern w:val="0"/>
          <w:sz w:val="28"/>
          <w:szCs w:val="28"/>
        </w:rPr>
        <w:t>储存</w:t>
      </w:r>
      <w:r>
        <w:rPr>
          <w:rFonts w:hint="eastAsia" w:ascii="宋体" w:hAnsi="宋体" w:cs="宋体"/>
          <w:kern w:val="0"/>
          <w:sz w:val="28"/>
          <w:szCs w:val="28"/>
        </w:rPr>
        <w:t>、</w:t>
      </w:r>
      <w:r>
        <w:rPr>
          <w:rFonts w:ascii="宋体" w:hAnsi="宋体" w:cs="宋体"/>
          <w:kern w:val="0"/>
          <w:sz w:val="28"/>
          <w:szCs w:val="28"/>
        </w:rPr>
        <w:t>运输</w:t>
      </w:r>
      <w:r>
        <w:rPr>
          <w:rFonts w:hint="eastAsia" w:ascii="宋体" w:hAnsi="宋体" w:cs="宋体"/>
          <w:kern w:val="0"/>
          <w:sz w:val="28"/>
          <w:szCs w:val="28"/>
        </w:rPr>
        <w:t>、</w:t>
      </w:r>
      <w:r>
        <w:rPr>
          <w:rFonts w:ascii="宋体" w:hAnsi="宋体" w:cs="宋体"/>
          <w:kern w:val="0"/>
          <w:sz w:val="28"/>
          <w:szCs w:val="28"/>
        </w:rPr>
        <w:t>使用和废弃危险化学品处置过程中</w:t>
      </w:r>
      <w:r>
        <w:rPr>
          <w:rFonts w:hint="eastAsia" w:ascii="宋体" w:hAnsi="宋体" w:cs="宋体"/>
          <w:kern w:val="0"/>
          <w:sz w:val="28"/>
          <w:szCs w:val="28"/>
        </w:rPr>
        <w:t>，</w:t>
      </w:r>
      <w:r>
        <w:rPr>
          <w:rFonts w:ascii="宋体" w:hAnsi="宋体" w:cs="宋体"/>
          <w:kern w:val="0"/>
          <w:sz w:val="28"/>
          <w:szCs w:val="28"/>
        </w:rPr>
        <w:t>造成人员伤亡</w:t>
      </w:r>
      <w:r>
        <w:rPr>
          <w:rFonts w:hint="eastAsia" w:ascii="宋体" w:hAnsi="宋体" w:cs="宋体"/>
          <w:kern w:val="0"/>
          <w:sz w:val="28"/>
          <w:szCs w:val="28"/>
        </w:rPr>
        <w:t>、</w:t>
      </w:r>
      <w:r>
        <w:rPr>
          <w:rFonts w:ascii="宋体" w:hAnsi="宋体" w:cs="宋体"/>
          <w:kern w:val="0"/>
          <w:sz w:val="28"/>
          <w:szCs w:val="28"/>
        </w:rPr>
        <w:t>财产损失或环境污染的事故</w:t>
      </w:r>
      <w:r>
        <w:rPr>
          <w:rFonts w:hint="eastAsia" w:ascii="宋体" w:hAnsi="宋体" w:cs="宋体"/>
          <w:kern w:val="0"/>
          <w:sz w:val="28"/>
          <w:szCs w:val="28"/>
        </w:rPr>
        <w:t>。事故类型包括：泄漏、火灾、爆炸、中毒。事故具有蔓延迅速、危害严重、影响广泛的特点。</w:t>
      </w:r>
    </w:p>
    <w:p w14:paraId="75858289">
      <w:pPr>
        <w:spacing w:line="360" w:lineRule="auto"/>
        <w:ind w:firstLine="560" w:firstLineChars="200"/>
        <w:jc w:val="left"/>
        <w:rPr>
          <w:rFonts w:ascii="宋体" w:hAnsi="宋体" w:cs="宋体"/>
          <w:kern w:val="0"/>
          <w:sz w:val="28"/>
          <w:szCs w:val="28"/>
        </w:rPr>
      </w:pPr>
      <w:r>
        <w:rPr>
          <w:rFonts w:ascii="宋体" w:hAnsi="宋体" w:cs="宋体"/>
          <w:kern w:val="0"/>
          <w:sz w:val="28"/>
          <w:szCs w:val="28"/>
        </w:rPr>
        <w:t>常见危险化学品生产安全事故类别如下：</w:t>
      </w:r>
    </w:p>
    <w:p w14:paraId="185C2122">
      <w:pPr>
        <w:pStyle w:val="17"/>
        <w:numPr>
          <w:ilvl w:val="0"/>
          <w:numId w:val="8"/>
        </w:numPr>
        <w:spacing w:line="360" w:lineRule="auto"/>
        <w:ind w:firstLineChars="0"/>
        <w:jc w:val="left"/>
        <w:rPr>
          <w:rFonts w:ascii="宋体" w:hAnsi="宋体" w:cs="宋体"/>
          <w:kern w:val="0"/>
          <w:sz w:val="28"/>
          <w:szCs w:val="28"/>
        </w:rPr>
      </w:pPr>
      <w:r>
        <w:rPr>
          <w:rFonts w:ascii="宋体" w:hAnsi="宋体" w:cs="宋体"/>
          <w:kern w:val="0"/>
          <w:sz w:val="28"/>
          <w:szCs w:val="28"/>
        </w:rPr>
        <w:t>危险化学品火灾事故：指燃烧物质主要为危险化学品的火灾事故。</w:t>
      </w:r>
    </w:p>
    <w:p w14:paraId="5CD8A478">
      <w:pPr>
        <w:pStyle w:val="17"/>
        <w:numPr>
          <w:ilvl w:val="0"/>
          <w:numId w:val="8"/>
        </w:numPr>
        <w:spacing w:line="360" w:lineRule="auto"/>
        <w:ind w:firstLineChars="0"/>
        <w:jc w:val="left"/>
        <w:rPr>
          <w:rFonts w:ascii="宋体" w:hAnsi="宋体" w:cs="宋体"/>
          <w:kern w:val="0"/>
          <w:sz w:val="28"/>
          <w:szCs w:val="28"/>
        </w:rPr>
      </w:pPr>
      <w:r>
        <w:rPr>
          <w:rFonts w:ascii="宋体" w:hAnsi="宋体" w:cs="宋体"/>
          <w:kern w:val="0"/>
          <w:sz w:val="28"/>
          <w:szCs w:val="28"/>
        </w:rPr>
        <w:t>危险化学品爆炸事故：指危险化学品发生化学反应的爆炸事故</w:t>
      </w:r>
      <w:r>
        <w:rPr>
          <w:rFonts w:hint="eastAsia" w:ascii="宋体" w:hAnsi="宋体" w:cs="宋体"/>
          <w:kern w:val="0"/>
          <w:sz w:val="28"/>
          <w:szCs w:val="28"/>
        </w:rPr>
        <w:t>，</w:t>
      </w:r>
      <w:r>
        <w:rPr>
          <w:rFonts w:ascii="宋体" w:hAnsi="宋体" w:cs="宋体"/>
          <w:kern w:val="0"/>
          <w:sz w:val="28"/>
          <w:szCs w:val="28"/>
        </w:rPr>
        <w:t>以及危险化学品液化气体和压缩气体的物理爆炸事故。</w:t>
      </w:r>
    </w:p>
    <w:p w14:paraId="3F02E3AD">
      <w:pPr>
        <w:pStyle w:val="17"/>
        <w:numPr>
          <w:ilvl w:val="0"/>
          <w:numId w:val="8"/>
        </w:numPr>
        <w:spacing w:line="360" w:lineRule="auto"/>
        <w:ind w:firstLineChars="0"/>
        <w:jc w:val="left"/>
        <w:rPr>
          <w:rFonts w:ascii="宋体" w:hAnsi="宋体" w:cs="宋体"/>
          <w:kern w:val="0"/>
          <w:sz w:val="28"/>
          <w:szCs w:val="28"/>
        </w:rPr>
      </w:pPr>
      <w:r>
        <w:rPr>
          <w:rFonts w:ascii="宋体" w:hAnsi="宋体" w:cs="宋体"/>
          <w:kern w:val="0"/>
          <w:sz w:val="28"/>
          <w:szCs w:val="28"/>
        </w:rPr>
        <w:t>危险化学品中毒和窒息事故：主要指人体吸入、食入或接触有毒有害化学品或者化学品反应的产物而导致的吸入中毒事故</w:t>
      </w:r>
      <w:r>
        <w:rPr>
          <w:rFonts w:hint="eastAsia" w:ascii="宋体" w:hAnsi="宋体" w:cs="宋体"/>
          <w:kern w:val="0"/>
          <w:sz w:val="28"/>
          <w:szCs w:val="28"/>
        </w:rPr>
        <w:t>、</w:t>
      </w:r>
      <w:r>
        <w:rPr>
          <w:rFonts w:ascii="宋体" w:hAnsi="宋体" w:cs="宋体"/>
          <w:kern w:val="0"/>
          <w:sz w:val="28"/>
          <w:szCs w:val="28"/>
        </w:rPr>
        <w:t>接触中毒事故</w:t>
      </w:r>
      <w:r>
        <w:rPr>
          <w:rFonts w:hint="eastAsia" w:ascii="宋体" w:hAnsi="宋体" w:cs="宋体"/>
          <w:kern w:val="0"/>
          <w:sz w:val="28"/>
          <w:szCs w:val="28"/>
        </w:rPr>
        <w:t>、</w:t>
      </w:r>
      <w:r>
        <w:rPr>
          <w:rFonts w:ascii="宋体" w:hAnsi="宋体" w:cs="宋体"/>
          <w:kern w:val="0"/>
          <w:sz w:val="28"/>
          <w:szCs w:val="28"/>
        </w:rPr>
        <w:t>误食中毒事故和窒息事故。</w:t>
      </w:r>
    </w:p>
    <w:p w14:paraId="32EAC05B">
      <w:pPr>
        <w:pStyle w:val="17"/>
        <w:numPr>
          <w:ilvl w:val="0"/>
          <w:numId w:val="8"/>
        </w:numPr>
        <w:spacing w:line="360" w:lineRule="auto"/>
        <w:ind w:firstLineChars="0"/>
        <w:jc w:val="left"/>
        <w:rPr>
          <w:rFonts w:ascii="宋体" w:hAnsi="宋体" w:cs="宋体"/>
          <w:kern w:val="0"/>
          <w:sz w:val="28"/>
          <w:szCs w:val="28"/>
        </w:rPr>
      </w:pPr>
      <w:r>
        <w:rPr>
          <w:rFonts w:ascii="宋体" w:hAnsi="宋体" w:cs="宋体"/>
          <w:kern w:val="0"/>
          <w:sz w:val="28"/>
          <w:szCs w:val="28"/>
        </w:rPr>
        <w:t>危险化学品灼伤事故：主要指</w:t>
      </w:r>
      <w:r>
        <w:rPr>
          <w:rFonts w:hint="eastAsia" w:ascii="宋体" w:hAnsi="宋体" w:cs="宋体"/>
          <w:kern w:val="0"/>
          <w:sz w:val="28"/>
          <w:szCs w:val="28"/>
        </w:rPr>
        <w:t>酸、碱等</w:t>
      </w:r>
      <w:r>
        <w:rPr>
          <w:rFonts w:ascii="宋体" w:hAnsi="宋体" w:cs="宋体"/>
          <w:kern w:val="0"/>
          <w:sz w:val="28"/>
          <w:szCs w:val="28"/>
        </w:rPr>
        <w:t>腐蚀性危险化学品意外的与人体接触，在短时间内即在人体接触表面造成明显破坏的事故。</w:t>
      </w:r>
    </w:p>
    <w:p w14:paraId="77E12060">
      <w:pPr>
        <w:pStyle w:val="17"/>
        <w:numPr>
          <w:ilvl w:val="0"/>
          <w:numId w:val="8"/>
        </w:numPr>
        <w:spacing w:line="360" w:lineRule="auto"/>
        <w:ind w:firstLineChars="0"/>
        <w:jc w:val="left"/>
        <w:rPr>
          <w:rFonts w:ascii="宋体" w:hAnsi="宋体" w:cs="宋体"/>
          <w:kern w:val="0"/>
          <w:sz w:val="28"/>
          <w:szCs w:val="28"/>
        </w:rPr>
      </w:pPr>
      <w:r>
        <w:rPr>
          <w:rFonts w:ascii="宋体" w:hAnsi="宋体" w:cs="宋体"/>
          <w:kern w:val="0"/>
          <w:sz w:val="28"/>
          <w:szCs w:val="28"/>
        </w:rPr>
        <w:t>危险化学品泄漏事故：主要指气体或液体危险化学品发生了一定规模的泄漏，造成了严重的财产损失或环境污染等后果的危险化学品生产安全事故。泄漏</w:t>
      </w:r>
      <w:r>
        <w:rPr>
          <w:rFonts w:hint="eastAsia" w:ascii="宋体" w:hAnsi="宋体" w:cs="宋体"/>
          <w:kern w:val="0"/>
          <w:sz w:val="28"/>
          <w:szCs w:val="28"/>
        </w:rPr>
        <w:t>后</w:t>
      </w:r>
      <w:r>
        <w:rPr>
          <w:rFonts w:ascii="宋体" w:hAnsi="宋体" w:cs="宋体"/>
          <w:kern w:val="0"/>
          <w:sz w:val="28"/>
          <w:szCs w:val="28"/>
        </w:rPr>
        <w:t>容易</w:t>
      </w:r>
      <w:r>
        <w:rPr>
          <w:rFonts w:hint="eastAsia" w:ascii="宋体" w:hAnsi="宋体" w:cs="宋体"/>
          <w:kern w:val="0"/>
          <w:sz w:val="28"/>
          <w:szCs w:val="28"/>
        </w:rPr>
        <w:t>引发</w:t>
      </w:r>
      <w:r>
        <w:rPr>
          <w:rFonts w:ascii="宋体" w:hAnsi="宋体" w:cs="宋体"/>
          <w:kern w:val="0"/>
          <w:sz w:val="28"/>
          <w:szCs w:val="28"/>
        </w:rPr>
        <w:t>重大火灾、爆炸或中毒事故。</w:t>
      </w:r>
    </w:p>
    <w:p w14:paraId="01FDCB91">
      <w:pPr>
        <w:pStyle w:val="17"/>
        <w:numPr>
          <w:ilvl w:val="0"/>
          <w:numId w:val="8"/>
        </w:numPr>
        <w:spacing w:line="360" w:lineRule="auto"/>
        <w:ind w:firstLineChars="0"/>
        <w:jc w:val="left"/>
        <w:rPr>
          <w:rFonts w:ascii="宋体" w:hAnsi="宋体" w:cs="Arial"/>
          <w:kern w:val="0"/>
          <w:sz w:val="28"/>
          <w:szCs w:val="28"/>
        </w:rPr>
      </w:pPr>
      <w:r>
        <w:rPr>
          <w:rFonts w:ascii="宋体" w:hAnsi="宋体" w:cs="宋体"/>
          <w:kern w:val="0"/>
          <w:sz w:val="28"/>
          <w:szCs w:val="28"/>
        </w:rPr>
        <w:t>其他危险化学品生产安全事故：</w:t>
      </w:r>
      <w:r>
        <w:rPr>
          <w:rFonts w:hint="eastAsia" w:ascii="宋体" w:hAnsi="宋体" w:cs="宋体"/>
          <w:kern w:val="0"/>
          <w:sz w:val="28"/>
          <w:szCs w:val="28"/>
        </w:rPr>
        <w:t>除</w:t>
      </w:r>
      <w:r>
        <w:rPr>
          <w:rFonts w:ascii="宋体" w:hAnsi="宋体" w:cs="宋体"/>
          <w:kern w:val="0"/>
          <w:sz w:val="28"/>
          <w:szCs w:val="28"/>
        </w:rPr>
        <w:t>上述5类的危险化学品生产安全事故，</w:t>
      </w:r>
      <w:r>
        <w:rPr>
          <w:rFonts w:hint="eastAsia" w:ascii="宋体" w:hAnsi="宋体" w:cs="宋体"/>
          <w:kern w:val="0"/>
          <w:sz w:val="28"/>
          <w:szCs w:val="28"/>
        </w:rPr>
        <w:t>还有</w:t>
      </w:r>
      <w:r>
        <w:rPr>
          <w:rFonts w:ascii="宋体" w:hAnsi="宋体" w:cs="宋体"/>
          <w:kern w:val="0"/>
          <w:sz w:val="28"/>
          <w:szCs w:val="28"/>
        </w:rPr>
        <w:t>险肇事故，即</w:t>
      </w:r>
      <w:r>
        <w:rPr>
          <w:rFonts w:hint="eastAsia" w:ascii="宋体" w:hAnsi="宋体" w:cs="宋体"/>
          <w:kern w:val="0"/>
          <w:sz w:val="28"/>
          <w:szCs w:val="28"/>
        </w:rPr>
        <w:t>发生</w:t>
      </w:r>
      <w:r>
        <w:rPr>
          <w:rFonts w:ascii="宋体" w:hAnsi="宋体" w:cs="宋体"/>
          <w:kern w:val="0"/>
          <w:sz w:val="28"/>
          <w:szCs w:val="28"/>
        </w:rPr>
        <w:t>盛装危险化学品的罐体、车辆倾倒或倾覆，可能但未发生火灾、爆炸、中毒和窒息、灼伤、泄漏等事故。</w:t>
      </w:r>
    </w:p>
    <w:p w14:paraId="76597EB2">
      <w:pPr>
        <w:pStyle w:val="3"/>
        <w:keepNext w:val="0"/>
        <w:keepLines w:val="0"/>
        <w:spacing w:before="0" w:after="0" w:line="360" w:lineRule="auto"/>
        <w:rPr>
          <w:rFonts w:ascii="宋体" w:hAnsi="宋体"/>
          <w:kern w:val="0"/>
          <w:sz w:val="28"/>
          <w:szCs w:val="28"/>
        </w:rPr>
      </w:pPr>
      <w:bookmarkStart w:id="11" w:name="_Toc184287575"/>
      <w:r>
        <w:rPr>
          <w:rFonts w:hint="eastAsia" w:ascii="宋体" w:hAnsi="宋体"/>
          <w:kern w:val="0"/>
          <w:sz w:val="28"/>
          <w:szCs w:val="28"/>
        </w:rPr>
        <w:t>（三）事故分级</w:t>
      </w:r>
      <w:bookmarkEnd w:id="11"/>
    </w:p>
    <w:p w14:paraId="335E4B3D">
      <w:pPr>
        <w:spacing w:line="360" w:lineRule="auto"/>
        <w:ind w:firstLine="560" w:firstLineChars="200"/>
        <w:jc w:val="left"/>
        <w:rPr>
          <w:rFonts w:ascii="宋体" w:hAnsi="宋体" w:cs="宋体"/>
          <w:kern w:val="0"/>
          <w:sz w:val="28"/>
          <w:szCs w:val="28"/>
        </w:rPr>
      </w:pPr>
      <w:r>
        <w:rPr>
          <w:rFonts w:hint="eastAsia" w:ascii="宋体" w:hAnsi="宋体" w:cs="宋体"/>
          <w:kern w:val="0"/>
          <w:sz w:val="28"/>
          <w:szCs w:val="28"/>
        </w:rPr>
        <w:t>根据事故的性质、危害程度、涉及范围，危险化学品生产安全事故划分为四级：Ⅰ级（特别重大）、Ⅱ级（重大）、Ⅲ级（较大）和Ⅳ级（一般）。具体分级标准见附件1。</w:t>
      </w:r>
    </w:p>
    <w:p w14:paraId="470BDA63">
      <w:pPr>
        <w:pStyle w:val="3"/>
        <w:keepNext w:val="0"/>
        <w:keepLines w:val="0"/>
        <w:spacing w:before="0" w:after="0" w:line="360" w:lineRule="auto"/>
        <w:rPr>
          <w:rFonts w:ascii="宋体" w:hAnsi="宋体"/>
          <w:kern w:val="0"/>
          <w:sz w:val="28"/>
          <w:szCs w:val="28"/>
        </w:rPr>
      </w:pPr>
      <w:bookmarkStart w:id="12" w:name="_Toc184287576"/>
      <w:r>
        <w:rPr>
          <w:rFonts w:hint="eastAsia" w:ascii="宋体" w:hAnsi="宋体"/>
          <w:kern w:val="0"/>
          <w:sz w:val="28"/>
          <w:szCs w:val="28"/>
        </w:rPr>
        <w:t>（四）风险控制措施</w:t>
      </w:r>
      <w:bookmarkEnd w:id="12"/>
    </w:p>
    <w:p w14:paraId="49A9B8B5">
      <w:pPr>
        <w:spacing w:line="360" w:lineRule="auto"/>
        <w:ind w:firstLine="560" w:firstLineChars="200"/>
        <w:jc w:val="left"/>
        <w:rPr>
          <w:rFonts w:ascii="宋体" w:hAnsi="宋体" w:cs="宋体"/>
          <w:kern w:val="0"/>
          <w:sz w:val="28"/>
          <w:szCs w:val="28"/>
        </w:rPr>
      </w:pPr>
      <w:r>
        <w:rPr>
          <w:rFonts w:hint="eastAsia" w:ascii="宋体" w:hAnsi="宋体" w:cs="宋体"/>
          <w:kern w:val="0"/>
          <w:sz w:val="28"/>
          <w:szCs w:val="28"/>
        </w:rPr>
        <w:t>县应急管理局设立负责危险化学品安全管理的科室，建立危险化学品生产、经营、使用单位的台账，实行动态管理。对桦南县行政区域内的危险化学品经营经营企业实行安全管理。监督、指导危险化学品企业落实主体责任，建立风险识别及隐患排查治理双重预防机制，制定生产安全事故应急预案并定期组织演练和培训，督促企业不断提升安全管理水平，采取以下措施：</w:t>
      </w:r>
    </w:p>
    <w:p w14:paraId="3A56BFA3">
      <w:pPr>
        <w:pStyle w:val="17"/>
        <w:numPr>
          <w:ilvl w:val="0"/>
          <w:numId w:val="9"/>
        </w:numPr>
        <w:spacing w:line="360" w:lineRule="auto"/>
        <w:ind w:firstLineChars="0"/>
        <w:jc w:val="left"/>
        <w:rPr>
          <w:rFonts w:ascii="宋体" w:hAnsi="宋体" w:cs="Arial"/>
          <w:kern w:val="0"/>
          <w:sz w:val="28"/>
          <w:szCs w:val="28"/>
        </w:rPr>
      </w:pPr>
      <w:r>
        <w:rPr>
          <w:rFonts w:ascii="宋体" w:hAnsi="宋体" w:cs="Arial"/>
          <w:kern w:val="0"/>
          <w:sz w:val="28"/>
          <w:szCs w:val="28"/>
        </w:rPr>
        <w:t>实施危险化学品企业</w:t>
      </w:r>
      <w:r>
        <w:rPr>
          <w:rFonts w:hint="eastAsia" w:ascii="宋体" w:hAnsi="宋体" w:cs="Arial"/>
          <w:kern w:val="0"/>
          <w:sz w:val="28"/>
          <w:szCs w:val="28"/>
        </w:rPr>
        <w:t>许可准入</w:t>
      </w:r>
      <w:r>
        <w:rPr>
          <w:rFonts w:ascii="宋体" w:hAnsi="宋体" w:cs="Arial"/>
          <w:kern w:val="0"/>
          <w:sz w:val="28"/>
          <w:szCs w:val="28"/>
        </w:rPr>
        <w:t>制度。按照《</w:t>
      </w:r>
      <w:r>
        <w:rPr>
          <w:rFonts w:hint="eastAsia" w:ascii="宋体" w:hAnsi="宋体" w:cs="Arial"/>
          <w:kern w:val="0"/>
          <w:sz w:val="28"/>
          <w:szCs w:val="28"/>
        </w:rPr>
        <w:t>危险化学品</w:t>
      </w:r>
      <w:r>
        <w:rPr>
          <w:rFonts w:ascii="宋体" w:hAnsi="宋体" w:cs="Arial"/>
          <w:kern w:val="0"/>
          <w:sz w:val="28"/>
          <w:szCs w:val="28"/>
        </w:rPr>
        <w:t>安全管理条例》的规定，</w:t>
      </w:r>
      <w:r>
        <w:rPr>
          <w:rFonts w:hint="eastAsia" w:ascii="宋体" w:hAnsi="宋体" w:cs="Arial"/>
          <w:kern w:val="0"/>
          <w:sz w:val="28"/>
          <w:szCs w:val="28"/>
        </w:rPr>
        <w:t>对符合法定条件的企业实施生产和经营许可制度，</w:t>
      </w:r>
      <w:r>
        <w:rPr>
          <w:rFonts w:ascii="宋体" w:hAnsi="宋体" w:cs="Arial"/>
          <w:kern w:val="0"/>
          <w:sz w:val="28"/>
          <w:szCs w:val="28"/>
        </w:rPr>
        <w:t>严把危险化学品企业准入关口，防止和减少事故。</w:t>
      </w:r>
    </w:p>
    <w:p w14:paraId="7E8AA70D">
      <w:pPr>
        <w:pStyle w:val="17"/>
        <w:numPr>
          <w:ilvl w:val="0"/>
          <w:numId w:val="9"/>
        </w:numPr>
        <w:spacing w:line="360" w:lineRule="auto"/>
        <w:ind w:firstLineChars="0"/>
        <w:jc w:val="left"/>
        <w:rPr>
          <w:rFonts w:ascii="宋体" w:hAnsi="宋体" w:cs="Arial"/>
          <w:kern w:val="0"/>
          <w:sz w:val="28"/>
          <w:szCs w:val="28"/>
        </w:rPr>
      </w:pPr>
      <w:r>
        <w:rPr>
          <w:rFonts w:hint="eastAsia" w:ascii="宋体" w:hAnsi="宋体" w:cs="Arial"/>
          <w:kern w:val="0"/>
          <w:sz w:val="28"/>
          <w:szCs w:val="28"/>
        </w:rPr>
        <w:t>部门齐抓共管，强化安全教育。根据</w:t>
      </w:r>
      <w:r>
        <w:rPr>
          <w:rFonts w:ascii="宋体" w:hAnsi="宋体" w:cs="Arial"/>
          <w:kern w:val="0"/>
          <w:sz w:val="28"/>
          <w:szCs w:val="28"/>
        </w:rPr>
        <w:t>《中华人民共和国安全生产法》、《</w:t>
      </w:r>
      <w:r>
        <w:rPr>
          <w:rFonts w:hint="eastAsia" w:ascii="宋体" w:hAnsi="宋体" w:cs="Arial"/>
          <w:kern w:val="0"/>
          <w:sz w:val="28"/>
          <w:szCs w:val="28"/>
        </w:rPr>
        <w:t>危险化学品</w:t>
      </w:r>
      <w:r>
        <w:rPr>
          <w:rFonts w:ascii="宋体" w:hAnsi="宋体" w:cs="Arial"/>
          <w:kern w:val="0"/>
          <w:sz w:val="28"/>
          <w:szCs w:val="28"/>
        </w:rPr>
        <w:t>安全管理条例》、《</w:t>
      </w:r>
      <w:r>
        <w:rPr>
          <w:rFonts w:hint="eastAsia" w:ascii="宋体" w:hAnsi="宋体" w:cs="Arial"/>
          <w:kern w:val="0"/>
          <w:sz w:val="28"/>
          <w:szCs w:val="28"/>
        </w:rPr>
        <w:t>黑龙江</w:t>
      </w:r>
      <w:r>
        <w:rPr>
          <w:rFonts w:ascii="宋体" w:hAnsi="宋体" w:cs="Arial"/>
          <w:kern w:val="0"/>
          <w:sz w:val="28"/>
          <w:szCs w:val="28"/>
        </w:rPr>
        <w:t>省安全生产条例》等相关法律法规，县应急管理局</w:t>
      </w:r>
      <w:r>
        <w:rPr>
          <w:rFonts w:hint="eastAsia" w:ascii="宋体" w:hAnsi="宋体" w:cs="Arial"/>
          <w:kern w:val="0"/>
          <w:sz w:val="28"/>
          <w:szCs w:val="28"/>
        </w:rPr>
        <w:t>、</w:t>
      </w:r>
      <w:r>
        <w:rPr>
          <w:rFonts w:ascii="宋体" w:hAnsi="宋体" w:cs="Arial"/>
          <w:kern w:val="0"/>
          <w:sz w:val="28"/>
          <w:szCs w:val="28"/>
        </w:rPr>
        <w:t>乡镇人民政府、</w:t>
      </w:r>
      <w:r>
        <w:rPr>
          <w:rFonts w:hint="eastAsia" w:ascii="宋体" w:hAnsi="宋体" w:cs="Arial"/>
          <w:kern w:val="0"/>
          <w:sz w:val="28"/>
          <w:szCs w:val="28"/>
        </w:rPr>
        <w:t>社区办</w:t>
      </w:r>
      <w:r>
        <w:rPr>
          <w:rFonts w:ascii="宋体" w:hAnsi="宋体" w:cs="Arial"/>
          <w:kern w:val="0"/>
          <w:sz w:val="28"/>
          <w:szCs w:val="28"/>
        </w:rPr>
        <w:t>、社区管委会、经开区管委会、有关部门对危险化学品企业</w:t>
      </w:r>
      <w:r>
        <w:rPr>
          <w:rFonts w:hint="eastAsia" w:ascii="宋体" w:hAnsi="宋体" w:cs="Arial"/>
          <w:kern w:val="0"/>
          <w:sz w:val="28"/>
          <w:szCs w:val="28"/>
        </w:rPr>
        <w:t>依法监督、</w:t>
      </w:r>
      <w:r>
        <w:rPr>
          <w:rFonts w:ascii="宋体" w:hAnsi="宋体" w:cs="Arial"/>
          <w:kern w:val="0"/>
          <w:sz w:val="28"/>
          <w:szCs w:val="28"/>
        </w:rPr>
        <w:t>检查力</w:t>
      </w:r>
      <w:r>
        <w:rPr>
          <w:rFonts w:hint="eastAsia" w:ascii="宋体" w:hAnsi="宋体" w:cs="Arial"/>
          <w:kern w:val="0"/>
          <w:sz w:val="28"/>
          <w:szCs w:val="28"/>
        </w:rPr>
        <w:t>度。</w:t>
      </w:r>
      <w:r>
        <w:rPr>
          <w:rFonts w:ascii="宋体" w:hAnsi="宋体" w:cs="Arial"/>
          <w:kern w:val="0"/>
          <w:sz w:val="28"/>
          <w:szCs w:val="28"/>
        </w:rPr>
        <w:t>强化企业从业人员的安全教育，增强防范意</w:t>
      </w:r>
      <w:r>
        <w:rPr>
          <w:rFonts w:hint="eastAsia" w:ascii="宋体" w:hAnsi="宋体" w:cs="Arial"/>
          <w:kern w:val="0"/>
          <w:sz w:val="28"/>
          <w:szCs w:val="28"/>
        </w:rPr>
        <w:t>识。</w:t>
      </w:r>
    </w:p>
    <w:p w14:paraId="60F1A345">
      <w:pPr>
        <w:pStyle w:val="17"/>
        <w:numPr>
          <w:ilvl w:val="0"/>
          <w:numId w:val="9"/>
        </w:numPr>
        <w:spacing w:line="360" w:lineRule="auto"/>
        <w:ind w:firstLineChars="0"/>
        <w:jc w:val="left"/>
        <w:rPr>
          <w:rFonts w:ascii="宋体" w:hAnsi="宋体" w:cs="Arial"/>
          <w:kern w:val="0"/>
          <w:sz w:val="28"/>
          <w:szCs w:val="28"/>
        </w:rPr>
      </w:pPr>
      <w:r>
        <w:rPr>
          <w:rFonts w:hint="eastAsia" w:ascii="宋体" w:hAnsi="宋体" w:cs="Arial"/>
          <w:kern w:val="0"/>
          <w:sz w:val="28"/>
          <w:szCs w:val="28"/>
        </w:rPr>
        <w:t>实施</w:t>
      </w:r>
      <w:r>
        <w:rPr>
          <w:rFonts w:ascii="宋体" w:hAnsi="宋体" w:cs="Arial"/>
          <w:kern w:val="0"/>
          <w:sz w:val="28"/>
          <w:szCs w:val="28"/>
        </w:rPr>
        <w:t>隐患</w:t>
      </w:r>
      <w:r>
        <w:rPr>
          <w:rFonts w:hint="eastAsia" w:ascii="宋体" w:hAnsi="宋体" w:cs="Arial"/>
          <w:kern w:val="0"/>
          <w:sz w:val="28"/>
          <w:szCs w:val="28"/>
        </w:rPr>
        <w:t>报告</w:t>
      </w:r>
      <w:r>
        <w:rPr>
          <w:rFonts w:ascii="宋体" w:hAnsi="宋体" w:cs="Arial"/>
          <w:kern w:val="0"/>
          <w:sz w:val="28"/>
          <w:szCs w:val="28"/>
        </w:rPr>
        <w:t>奖励机制。任何单位和个人有权向政府和县应急管理局报告和举报危及人民群众</w:t>
      </w:r>
      <w:r>
        <w:rPr>
          <w:rFonts w:hint="eastAsia" w:ascii="宋体" w:hAnsi="宋体" w:cs="Arial"/>
          <w:kern w:val="0"/>
          <w:sz w:val="28"/>
          <w:szCs w:val="28"/>
        </w:rPr>
        <w:t>生命</w:t>
      </w:r>
      <w:r>
        <w:rPr>
          <w:rFonts w:ascii="宋体" w:hAnsi="宋体" w:cs="Arial"/>
          <w:kern w:val="0"/>
          <w:sz w:val="28"/>
          <w:szCs w:val="28"/>
        </w:rPr>
        <w:t>财产安全的危险化学品事故隐患。有关部门接到报告、举报后，应立即协调相关部门、单位进行隐患的调查与处理，及时消除事故隐患。</w:t>
      </w:r>
    </w:p>
    <w:p w14:paraId="671476FB">
      <w:pPr>
        <w:pStyle w:val="17"/>
        <w:numPr>
          <w:ilvl w:val="0"/>
          <w:numId w:val="9"/>
        </w:numPr>
        <w:spacing w:line="360" w:lineRule="auto"/>
        <w:ind w:firstLineChars="0"/>
        <w:jc w:val="left"/>
        <w:rPr>
          <w:rFonts w:ascii="宋体" w:hAnsi="宋体" w:cs="Arial"/>
          <w:kern w:val="0"/>
          <w:sz w:val="28"/>
          <w:szCs w:val="28"/>
        </w:rPr>
      </w:pPr>
      <w:r>
        <w:rPr>
          <w:rFonts w:hint="eastAsia" w:ascii="宋体" w:hAnsi="宋体" w:cs="Arial"/>
          <w:kern w:val="0"/>
          <w:sz w:val="28"/>
          <w:szCs w:val="28"/>
        </w:rPr>
        <w:t>建立和完善应急体系。乡镇人民政府、</w:t>
      </w:r>
      <w:r>
        <w:rPr>
          <w:rFonts w:ascii="宋体" w:hAnsi="宋体" w:cs="Arial"/>
          <w:kern w:val="0"/>
          <w:sz w:val="28"/>
          <w:szCs w:val="28"/>
        </w:rPr>
        <w:t>社区办、社区管委会、经开区管委会、有关部门</w:t>
      </w:r>
      <w:r>
        <w:rPr>
          <w:rFonts w:hint="eastAsia" w:ascii="宋体" w:hAnsi="宋体" w:cs="Arial"/>
          <w:kern w:val="0"/>
          <w:sz w:val="28"/>
          <w:szCs w:val="28"/>
        </w:rPr>
        <w:t>制定本级政府</w:t>
      </w:r>
      <w:r>
        <w:rPr>
          <w:rFonts w:ascii="宋体" w:hAnsi="宋体" w:cs="Arial"/>
          <w:kern w:val="0"/>
          <w:sz w:val="28"/>
          <w:szCs w:val="28"/>
        </w:rPr>
        <w:t>和</w:t>
      </w:r>
      <w:r>
        <w:rPr>
          <w:rFonts w:hint="eastAsia" w:ascii="宋体" w:hAnsi="宋体" w:cs="Arial"/>
          <w:kern w:val="0"/>
          <w:sz w:val="28"/>
          <w:szCs w:val="28"/>
        </w:rPr>
        <w:t>部门的应急预案并演练；</w:t>
      </w:r>
      <w:r>
        <w:rPr>
          <w:rFonts w:ascii="宋体" w:hAnsi="宋体" w:cs="Arial"/>
          <w:kern w:val="0"/>
          <w:sz w:val="28"/>
          <w:szCs w:val="28"/>
        </w:rPr>
        <w:t>危险化学品企业</w:t>
      </w:r>
      <w:r>
        <w:rPr>
          <w:rFonts w:hint="eastAsia" w:ascii="宋体" w:hAnsi="宋体" w:cs="Arial"/>
          <w:kern w:val="0"/>
          <w:sz w:val="28"/>
          <w:szCs w:val="28"/>
        </w:rPr>
        <w:t>完善内部事故</w:t>
      </w:r>
      <w:r>
        <w:rPr>
          <w:rFonts w:ascii="宋体" w:hAnsi="宋体" w:cs="Arial"/>
          <w:kern w:val="0"/>
          <w:sz w:val="28"/>
          <w:szCs w:val="28"/>
        </w:rPr>
        <w:t>应急预案，建立应急救援队伍，配备应急救援物资，定期组织应急演练</w:t>
      </w:r>
      <w:r>
        <w:rPr>
          <w:rFonts w:hint="eastAsia" w:ascii="宋体" w:hAnsi="宋体" w:cs="Arial"/>
          <w:kern w:val="0"/>
          <w:sz w:val="28"/>
          <w:szCs w:val="28"/>
        </w:rPr>
        <w:t>，</w:t>
      </w:r>
      <w:r>
        <w:rPr>
          <w:rFonts w:ascii="宋体" w:hAnsi="宋体" w:cs="Arial"/>
          <w:kern w:val="0"/>
          <w:sz w:val="28"/>
          <w:szCs w:val="28"/>
        </w:rPr>
        <w:t>确保在事故发生时能够及时实施有效</w:t>
      </w:r>
      <w:r>
        <w:rPr>
          <w:rFonts w:hint="eastAsia" w:ascii="宋体" w:hAnsi="宋体" w:cs="Arial"/>
          <w:kern w:val="0"/>
          <w:sz w:val="28"/>
          <w:szCs w:val="28"/>
        </w:rPr>
        <w:t>控制</w:t>
      </w:r>
      <w:r>
        <w:rPr>
          <w:rFonts w:ascii="宋体" w:hAnsi="宋体" w:cs="Arial"/>
          <w:kern w:val="0"/>
          <w:sz w:val="28"/>
          <w:szCs w:val="28"/>
        </w:rPr>
        <w:t>，减少事故损失。</w:t>
      </w:r>
    </w:p>
    <w:p w14:paraId="2A8F994D">
      <w:pPr>
        <w:pStyle w:val="17"/>
        <w:numPr>
          <w:ilvl w:val="0"/>
          <w:numId w:val="9"/>
        </w:numPr>
        <w:spacing w:line="360" w:lineRule="auto"/>
        <w:ind w:firstLineChars="0"/>
        <w:jc w:val="left"/>
        <w:rPr>
          <w:rFonts w:ascii="宋体" w:hAnsi="宋体" w:cs="Arial"/>
          <w:kern w:val="0"/>
          <w:sz w:val="28"/>
          <w:szCs w:val="28"/>
        </w:rPr>
      </w:pPr>
      <w:r>
        <w:rPr>
          <w:rFonts w:hint="eastAsia" w:ascii="宋体" w:hAnsi="宋体" w:cs="Arial"/>
          <w:kern w:val="0"/>
          <w:sz w:val="28"/>
          <w:szCs w:val="28"/>
        </w:rPr>
        <w:t>落实企业主体责任。危险化学品企业严格执行国家的法律法规，按照</w:t>
      </w:r>
      <w:r>
        <w:rPr>
          <w:rFonts w:ascii="宋体" w:hAnsi="宋体" w:cs="Arial"/>
          <w:kern w:val="0"/>
          <w:sz w:val="28"/>
          <w:szCs w:val="28"/>
        </w:rPr>
        <w:t>《</w:t>
      </w:r>
      <w:r>
        <w:rPr>
          <w:rFonts w:hint="eastAsia" w:ascii="宋体" w:hAnsi="宋体" w:cs="Arial"/>
          <w:kern w:val="0"/>
          <w:sz w:val="28"/>
          <w:szCs w:val="28"/>
        </w:rPr>
        <w:t>黑龙江省</w:t>
      </w:r>
      <w:r>
        <w:rPr>
          <w:rFonts w:ascii="宋体" w:hAnsi="宋体" w:cs="Arial"/>
          <w:kern w:val="0"/>
          <w:sz w:val="28"/>
          <w:szCs w:val="28"/>
        </w:rPr>
        <w:t>生产经营单位安全生产主体责任规定》</w:t>
      </w:r>
      <w:r>
        <w:rPr>
          <w:rFonts w:hint="eastAsia" w:ascii="宋体" w:hAnsi="宋体" w:cs="Arial"/>
          <w:kern w:val="0"/>
          <w:sz w:val="28"/>
          <w:szCs w:val="28"/>
        </w:rPr>
        <w:t>落实</w:t>
      </w:r>
      <w:r>
        <w:rPr>
          <w:rFonts w:ascii="宋体" w:hAnsi="宋体" w:cs="Arial"/>
          <w:kern w:val="0"/>
          <w:sz w:val="28"/>
          <w:szCs w:val="28"/>
        </w:rPr>
        <w:t>企业安全生产主体责任</w:t>
      </w:r>
      <w:r>
        <w:rPr>
          <w:rFonts w:hint="eastAsia" w:ascii="宋体" w:hAnsi="宋体" w:cs="Arial"/>
          <w:kern w:val="0"/>
          <w:sz w:val="28"/>
          <w:szCs w:val="28"/>
        </w:rPr>
        <w:t>，严格执行安全管理规章制度、操作规程，安全培训，提高从业人员安全意识和应急处置技能，做好风险管控和隐患排查治理工作，降低事故发生的可能性。</w:t>
      </w:r>
    </w:p>
    <w:p w14:paraId="501E6BAE">
      <w:pPr>
        <w:pStyle w:val="2"/>
        <w:keepNext w:val="0"/>
        <w:keepLines w:val="0"/>
        <w:spacing w:before="0" w:after="0" w:line="360" w:lineRule="auto"/>
        <w:rPr>
          <w:rFonts w:ascii="宋体" w:hAnsi="宋体"/>
          <w:sz w:val="28"/>
          <w:szCs w:val="28"/>
        </w:rPr>
      </w:pPr>
      <w:bookmarkStart w:id="13" w:name="_Toc184287577"/>
      <w:r>
        <w:rPr>
          <w:rFonts w:hint="eastAsia" w:ascii="宋体" w:hAnsi="宋体"/>
          <w:sz w:val="28"/>
          <w:szCs w:val="28"/>
        </w:rPr>
        <w:t>四、事故风险监测与</w:t>
      </w:r>
      <w:r>
        <w:rPr>
          <w:rFonts w:ascii="宋体" w:hAnsi="宋体"/>
          <w:sz w:val="28"/>
          <w:szCs w:val="28"/>
        </w:rPr>
        <w:t>预警</w:t>
      </w:r>
      <w:bookmarkEnd w:id="13"/>
    </w:p>
    <w:p w14:paraId="1DD29210">
      <w:pPr>
        <w:pStyle w:val="3"/>
        <w:keepNext w:val="0"/>
        <w:keepLines w:val="0"/>
        <w:spacing w:before="0" w:after="0" w:line="360" w:lineRule="auto"/>
        <w:rPr>
          <w:rFonts w:ascii="宋体" w:hAnsi="宋体"/>
          <w:kern w:val="0"/>
          <w:sz w:val="28"/>
          <w:szCs w:val="28"/>
        </w:rPr>
      </w:pPr>
      <w:bookmarkStart w:id="14" w:name="_Toc184287578"/>
      <w:r>
        <w:rPr>
          <w:rFonts w:hint="eastAsia" w:ascii="宋体" w:hAnsi="宋体"/>
          <w:kern w:val="0"/>
          <w:sz w:val="28"/>
          <w:szCs w:val="28"/>
        </w:rPr>
        <w:t>（一）事故风险监测</w:t>
      </w:r>
      <w:bookmarkEnd w:id="14"/>
    </w:p>
    <w:p w14:paraId="0FBB7598">
      <w:pPr>
        <w:spacing w:line="360" w:lineRule="auto"/>
        <w:ind w:firstLine="560" w:firstLineChars="200"/>
        <w:jc w:val="left"/>
        <w:rPr>
          <w:rFonts w:ascii="宋体" w:hAnsi="宋体" w:cs="Arial"/>
          <w:kern w:val="0"/>
          <w:sz w:val="28"/>
          <w:szCs w:val="28"/>
        </w:rPr>
      </w:pPr>
      <w:r>
        <w:rPr>
          <w:rFonts w:hint="eastAsia" w:ascii="宋体" w:hAnsi="宋体" w:cs="Arial"/>
          <w:kern w:val="0"/>
          <w:sz w:val="28"/>
          <w:szCs w:val="28"/>
        </w:rPr>
        <w:t>县应急管理局、危险化学品企业行业主管部门、乡镇人民政府、社区办、社区管委会、经开区管委会应做好危险化学品生产安全事故风险的监测。</w:t>
      </w:r>
    </w:p>
    <w:p w14:paraId="3B0F2AD1">
      <w:pPr>
        <w:pStyle w:val="17"/>
        <w:numPr>
          <w:ilvl w:val="0"/>
          <w:numId w:val="10"/>
        </w:numPr>
        <w:spacing w:line="360" w:lineRule="auto"/>
        <w:ind w:firstLineChars="0"/>
        <w:jc w:val="left"/>
        <w:rPr>
          <w:rFonts w:ascii="宋体" w:hAnsi="宋体" w:cs="Arial"/>
          <w:kern w:val="0"/>
          <w:sz w:val="28"/>
          <w:szCs w:val="28"/>
        </w:rPr>
      </w:pPr>
      <w:r>
        <w:rPr>
          <w:rFonts w:hint="eastAsia" w:ascii="宋体" w:hAnsi="宋体" w:cs="Arial"/>
          <w:kern w:val="0"/>
          <w:sz w:val="28"/>
          <w:szCs w:val="28"/>
        </w:rPr>
        <w:t>建立危险化学品企业档案，实施分类监管，对重大危险源企业、重点监管企业加大检查力度。</w:t>
      </w:r>
    </w:p>
    <w:p w14:paraId="075C6791">
      <w:pPr>
        <w:pStyle w:val="17"/>
        <w:numPr>
          <w:ilvl w:val="0"/>
          <w:numId w:val="10"/>
        </w:numPr>
        <w:spacing w:line="360" w:lineRule="auto"/>
        <w:ind w:firstLineChars="0"/>
        <w:jc w:val="left"/>
        <w:rPr>
          <w:rFonts w:ascii="宋体" w:hAnsi="宋体" w:cs="Arial"/>
          <w:kern w:val="0"/>
          <w:sz w:val="28"/>
          <w:szCs w:val="28"/>
        </w:rPr>
      </w:pPr>
      <w:r>
        <w:rPr>
          <w:rFonts w:hint="eastAsia" w:ascii="宋体" w:hAnsi="宋体" w:cs="Arial"/>
          <w:kern w:val="0"/>
          <w:sz w:val="28"/>
          <w:szCs w:val="28"/>
        </w:rPr>
        <w:t>应急管理部门和其他负有安全生产监督管理职责的部门在危险化学品安全检查中发现的事故隐患，责令企业立即排除。重大隐患排除前或者排除过程中无法保证安全的，责令从危险区域撤出作业人员，责令暂时停产停业或者停止使用相关设施设备；重大隐患排除后，经专家审查合格后方可恢复生产经营和使用。</w:t>
      </w:r>
    </w:p>
    <w:p w14:paraId="238D7EF8">
      <w:pPr>
        <w:pStyle w:val="17"/>
        <w:numPr>
          <w:ilvl w:val="0"/>
          <w:numId w:val="10"/>
        </w:numPr>
        <w:spacing w:line="360" w:lineRule="auto"/>
        <w:ind w:firstLineChars="0"/>
        <w:jc w:val="left"/>
        <w:rPr>
          <w:rFonts w:ascii="宋体" w:hAnsi="宋体" w:cs="Arial"/>
          <w:kern w:val="0"/>
          <w:sz w:val="28"/>
          <w:szCs w:val="28"/>
        </w:rPr>
      </w:pPr>
      <w:r>
        <w:rPr>
          <w:rFonts w:ascii="宋体" w:hAnsi="宋体" w:cs="Arial"/>
          <w:kern w:val="0"/>
          <w:sz w:val="28"/>
          <w:szCs w:val="28"/>
        </w:rPr>
        <w:t>对危险化学品企业重大隐患进行调查</w:t>
      </w:r>
      <w:r>
        <w:rPr>
          <w:rFonts w:hint="eastAsia" w:ascii="宋体" w:hAnsi="宋体" w:cs="Arial"/>
          <w:kern w:val="0"/>
          <w:sz w:val="28"/>
          <w:szCs w:val="28"/>
        </w:rPr>
        <w:t>、登记</w:t>
      </w:r>
      <w:r>
        <w:rPr>
          <w:rFonts w:ascii="宋体" w:hAnsi="宋体" w:cs="Arial"/>
          <w:kern w:val="0"/>
          <w:sz w:val="28"/>
          <w:szCs w:val="28"/>
        </w:rPr>
        <w:t>，分级分类管理</w:t>
      </w:r>
      <w:r>
        <w:rPr>
          <w:rFonts w:hint="eastAsia" w:ascii="宋体" w:hAnsi="宋体" w:cs="Arial"/>
          <w:kern w:val="0"/>
          <w:sz w:val="28"/>
          <w:szCs w:val="28"/>
        </w:rPr>
        <w:t>，</w:t>
      </w:r>
      <w:r>
        <w:rPr>
          <w:rFonts w:ascii="宋体" w:hAnsi="宋体" w:cs="Arial"/>
          <w:kern w:val="0"/>
          <w:sz w:val="28"/>
          <w:szCs w:val="28"/>
        </w:rPr>
        <w:t>督促企业进行整改</w:t>
      </w:r>
      <w:r>
        <w:rPr>
          <w:rFonts w:hint="eastAsia" w:ascii="宋体" w:hAnsi="宋体" w:cs="Arial"/>
          <w:kern w:val="0"/>
          <w:sz w:val="28"/>
          <w:szCs w:val="28"/>
        </w:rPr>
        <w:t>。</w:t>
      </w:r>
    </w:p>
    <w:p w14:paraId="5191AB8D">
      <w:pPr>
        <w:pStyle w:val="17"/>
        <w:numPr>
          <w:ilvl w:val="0"/>
          <w:numId w:val="10"/>
        </w:numPr>
        <w:spacing w:line="360" w:lineRule="auto"/>
        <w:ind w:firstLineChars="0"/>
        <w:jc w:val="left"/>
        <w:rPr>
          <w:rFonts w:ascii="宋体" w:hAnsi="宋体" w:cs="Arial"/>
          <w:kern w:val="0"/>
          <w:sz w:val="28"/>
          <w:szCs w:val="28"/>
        </w:rPr>
      </w:pPr>
      <w:r>
        <w:rPr>
          <w:rFonts w:ascii="宋体" w:hAnsi="宋体" w:cs="Arial"/>
          <w:kern w:val="0"/>
          <w:sz w:val="28"/>
          <w:szCs w:val="28"/>
        </w:rPr>
        <w:t>对可能引发危险化学品生产安全事故的其他事故灾害信息进行跟踪，掌握事故风险</w:t>
      </w:r>
      <w:r>
        <w:rPr>
          <w:rFonts w:hint="eastAsia" w:ascii="宋体" w:hAnsi="宋体" w:cs="Arial"/>
          <w:kern w:val="0"/>
          <w:sz w:val="28"/>
          <w:szCs w:val="28"/>
        </w:rPr>
        <w:t>。</w:t>
      </w:r>
    </w:p>
    <w:p w14:paraId="3D7A98A8">
      <w:pPr>
        <w:pStyle w:val="17"/>
        <w:numPr>
          <w:ilvl w:val="0"/>
          <w:numId w:val="10"/>
        </w:numPr>
        <w:spacing w:line="360" w:lineRule="auto"/>
        <w:ind w:firstLineChars="0"/>
        <w:jc w:val="left"/>
        <w:rPr>
          <w:rFonts w:ascii="宋体" w:hAnsi="宋体" w:cs="Arial"/>
          <w:kern w:val="0"/>
          <w:sz w:val="28"/>
          <w:szCs w:val="28"/>
        </w:rPr>
      </w:pPr>
      <w:r>
        <w:rPr>
          <w:rFonts w:hint="eastAsia" w:ascii="宋体" w:hAnsi="宋体" w:cs="Arial"/>
          <w:kern w:val="0"/>
          <w:sz w:val="28"/>
          <w:szCs w:val="28"/>
        </w:rPr>
        <w:t>对已经发生的危险化学品生产安全事故的发展趋势进行监控。</w:t>
      </w:r>
    </w:p>
    <w:p w14:paraId="7A6AB9F5">
      <w:pPr>
        <w:pStyle w:val="17"/>
        <w:numPr>
          <w:ilvl w:val="0"/>
          <w:numId w:val="10"/>
        </w:numPr>
        <w:spacing w:line="360" w:lineRule="auto"/>
        <w:ind w:firstLineChars="0"/>
        <w:jc w:val="left"/>
        <w:rPr>
          <w:rFonts w:ascii="宋体" w:hAnsi="宋体" w:cs="Arial"/>
          <w:kern w:val="0"/>
          <w:sz w:val="28"/>
          <w:szCs w:val="28"/>
        </w:rPr>
      </w:pPr>
      <w:r>
        <w:rPr>
          <w:rFonts w:hint="eastAsia" w:ascii="宋体" w:hAnsi="宋体" w:cs="Arial"/>
          <w:kern w:val="0"/>
          <w:sz w:val="28"/>
          <w:szCs w:val="28"/>
        </w:rPr>
        <w:t>督促危险化学品企业落实事故隐患排查治理的主体责任，定期组织人员开展隐患排查，对发现的事故隐患进行登记，建立事故隐患档案，实施监控、治理。</w:t>
      </w:r>
    </w:p>
    <w:p w14:paraId="51FD70C6">
      <w:pPr>
        <w:pStyle w:val="17"/>
        <w:numPr>
          <w:ilvl w:val="0"/>
          <w:numId w:val="10"/>
        </w:numPr>
        <w:spacing w:line="360" w:lineRule="auto"/>
        <w:ind w:firstLineChars="0"/>
        <w:jc w:val="left"/>
        <w:rPr>
          <w:rFonts w:ascii="宋体" w:hAnsi="宋体" w:cs="Arial"/>
          <w:kern w:val="0"/>
          <w:sz w:val="28"/>
          <w:szCs w:val="28"/>
        </w:rPr>
      </w:pPr>
      <w:r>
        <w:rPr>
          <w:rFonts w:hint="eastAsia" w:ascii="宋体" w:hAnsi="宋体" w:cs="Arial"/>
          <w:kern w:val="0"/>
          <w:sz w:val="28"/>
          <w:szCs w:val="28"/>
        </w:rPr>
        <w:t>危险化学品生产企业建立数据监测和远传功能，确保及时了解温度、压力、数量等数据变化，超出工作范围时及时采取措施。</w:t>
      </w:r>
    </w:p>
    <w:p w14:paraId="39603B6C">
      <w:pPr>
        <w:pStyle w:val="3"/>
        <w:keepNext w:val="0"/>
        <w:keepLines w:val="0"/>
        <w:spacing w:before="0" w:after="0" w:line="360" w:lineRule="auto"/>
        <w:rPr>
          <w:rFonts w:ascii="宋体" w:hAnsi="宋体"/>
          <w:kern w:val="0"/>
          <w:sz w:val="28"/>
          <w:szCs w:val="28"/>
        </w:rPr>
      </w:pPr>
      <w:bookmarkStart w:id="15" w:name="_Toc184287579"/>
      <w:r>
        <w:rPr>
          <w:rFonts w:hint="eastAsia" w:ascii="宋体" w:hAnsi="宋体"/>
          <w:kern w:val="0"/>
          <w:sz w:val="28"/>
          <w:szCs w:val="28"/>
        </w:rPr>
        <w:t>（二）</w:t>
      </w:r>
      <w:r>
        <w:rPr>
          <w:rFonts w:ascii="宋体" w:hAnsi="宋体"/>
          <w:kern w:val="0"/>
          <w:sz w:val="28"/>
          <w:szCs w:val="28"/>
        </w:rPr>
        <w:t>事故预警</w:t>
      </w:r>
      <w:bookmarkEnd w:id="15"/>
    </w:p>
    <w:p w14:paraId="404E1F87">
      <w:pPr>
        <w:pStyle w:val="17"/>
        <w:numPr>
          <w:ilvl w:val="0"/>
          <w:numId w:val="11"/>
        </w:numPr>
        <w:spacing w:line="360" w:lineRule="auto"/>
        <w:ind w:firstLineChars="0"/>
        <w:jc w:val="left"/>
        <w:rPr>
          <w:rFonts w:ascii="宋体" w:hAnsi="宋体" w:cs="Arial"/>
          <w:kern w:val="0"/>
          <w:sz w:val="28"/>
          <w:szCs w:val="28"/>
        </w:rPr>
      </w:pPr>
      <w:r>
        <w:rPr>
          <w:rFonts w:hint="eastAsia" w:ascii="宋体" w:hAnsi="宋体" w:cs="Arial"/>
          <w:kern w:val="0"/>
          <w:sz w:val="28"/>
          <w:szCs w:val="28"/>
        </w:rPr>
        <w:t>预警分级</w:t>
      </w:r>
    </w:p>
    <w:p w14:paraId="6D2AEC97">
      <w:pPr>
        <w:spacing w:line="360" w:lineRule="auto"/>
        <w:ind w:firstLine="560" w:firstLineChars="200"/>
        <w:jc w:val="left"/>
        <w:rPr>
          <w:rFonts w:ascii="宋体" w:hAnsi="宋体" w:cs="宋体"/>
          <w:kern w:val="0"/>
          <w:sz w:val="28"/>
          <w:szCs w:val="28"/>
        </w:rPr>
      </w:pPr>
      <w:r>
        <w:rPr>
          <w:rFonts w:ascii="宋体" w:hAnsi="宋体" w:cs="Arial"/>
          <w:kern w:val="0"/>
          <w:sz w:val="28"/>
          <w:szCs w:val="28"/>
        </w:rPr>
        <w:t>危险化学品生产安全事故预警按照事故的紧急程度、发展态势和可能造成的危害，事故预警级别分为</w:t>
      </w:r>
      <w:r>
        <w:rPr>
          <w:rFonts w:hint="eastAsia" w:ascii="宋体" w:hAnsi="宋体" w:cs="宋体"/>
          <w:kern w:val="0"/>
          <w:sz w:val="28"/>
          <w:szCs w:val="28"/>
        </w:rPr>
        <w:t>四级：红色（Ⅰ级）、橙色（Ⅱ级）、黄色（Ⅲ级）和蓝色（Ⅳ级）</w:t>
      </w:r>
      <w:r>
        <w:rPr>
          <w:rFonts w:ascii="宋体" w:hAnsi="宋体" w:cs="宋体"/>
          <w:kern w:val="0"/>
          <w:sz w:val="28"/>
          <w:szCs w:val="28"/>
        </w:rPr>
        <w:t>：</w:t>
      </w:r>
    </w:p>
    <w:p w14:paraId="6AC33223">
      <w:pPr>
        <w:spacing w:line="360" w:lineRule="auto"/>
        <w:jc w:val="left"/>
        <w:rPr>
          <w:rFonts w:ascii="宋体" w:hAnsi="宋体" w:cs="宋体"/>
          <w:kern w:val="0"/>
          <w:sz w:val="28"/>
          <w:szCs w:val="28"/>
        </w:rPr>
      </w:pPr>
      <w:r>
        <w:rPr>
          <w:rFonts w:ascii="宋体" w:hAnsi="宋体" w:cs="宋体"/>
          <w:kern w:val="0"/>
          <w:sz w:val="28"/>
          <w:szCs w:val="28"/>
        </w:rPr>
        <w:t>　　（1）红色（Ⅰ级）：预计可能发生特别重大危险化学品生产安全事故</w:t>
      </w:r>
      <w:r>
        <w:rPr>
          <w:rFonts w:hint="eastAsia" w:ascii="宋体" w:hAnsi="宋体" w:cs="宋体"/>
          <w:kern w:val="0"/>
          <w:sz w:val="28"/>
          <w:szCs w:val="28"/>
        </w:rPr>
        <w:t>；已经发生重大</w:t>
      </w:r>
      <w:r>
        <w:rPr>
          <w:rFonts w:ascii="宋体" w:hAnsi="宋体" w:cs="宋体"/>
          <w:kern w:val="0"/>
          <w:sz w:val="28"/>
          <w:szCs w:val="28"/>
        </w:rPr>
        <w:t>危险化学品生产安全事故，有扩大风险。</w:t>
      </w:r>
    </w:p>
    <w:p w14:paraId="24AD32C4">
      <w:pPr>
        <w:spacing w:line="360" w:lineRule="auto"/>
        <w:jc w:val="left"/>
        <w:rPr>
          <w:rFonts w:ascii="宋体" w:hAnsi="宋体" w:cs="宋体"/>
          <w:kern w:val="0"/>
          <w:sz w:val="28"/>
          <w:szCs w:val="28"/>
        </w:rPr>
      </w:pPr>
      <w:r>
        <w:rPr>
          <w:rFonts w:ascii="宋体" w:hAnsi="宋体" w:cs="宋体"/>
          <w:kern w:val="0"/>
          <w:sz w:val="28"/>
          <w:szCs w:val="28"/>
        </w:rPr>
        <w:t>　　（2）橙色（Ⅱ级）：预计可能发生重大危险化学品生产安全事故</w:t>
      </w:r>
      <w:r>
        <w:rPr>
          <w:rFonts w:hint="eastAsia" w:ascii="宋体" w:hAnsi="宋体" w:cs="宋体"/>
          <w:kern w:val="0"/>
          <w:sz w:val="28"/>
          <w:szCs w:val="28"/>
        </w:rPr>
        <w:t>；已经发生</w:t>
      </w:r>
      <w:r>
        <w:rPr>
          <w:rFonts w:ascii="宋体" w:hAnsi="宋体" w:cs="宋体"/>
          <w:kern w:val="0"/>
          <w:sz w:val="28"/>
          <w:szCs w:val="28"/>
        </w:rPr>
        <w:t>较大危险化学品生产安全事故，有扩大风险。</w:t>
      </w:r>
    </w:p>
    <w:p w14:paraId="090EFE7F">
      <w:pPr>
        <w:spacing w:line="360" w:lineRule="auto"/>
        <w:jc w:val="left"/>
        <w:rPr>
          <w:rFonts w:ascii="宋体" w:hAnsi="宋体" w:cs="宋体"/>
          <w:kern w:val="0"/>
          <w:sz w:val="28"/>
          <w:szCs w:val="28"/>
        </w:rPr>
      </w:pPr>
      <w:r>
        <w:rPr>
          <w:rFonts w:ascii="宋体" w:hAnsi="宋体" w:cs="宋体"/>
          <w:kern w:val="0"/>
          <w:sz w:val="28"/>
          <w:szCs w:val="28"/>
        </w:rPr>
        <w:t>　　（3）黄色（Ⅲ级）：预计可能发生较大危险化学品生产安全事故；已经发生一般危险化学品生产安全事故，</w:t>
      </w:r>
      <w:r>
        <w:rPr>
          <w:rFonts w:hint="eastAsia" w:ascii="宋体" w:hAnsi="宋体" w:cs="宋体"/>
          <w:kern w:val="0"/>
          <w:sz w:val="28"/>
          <w:szCs w:val="28"/>
        </w:rPr>
        <w:t>有扩大风险</w:t>
      </w:r>
      <w:r>
        <w:rPr>
          <w:rFonts w:ascii="宋体" w:hAnsi="宋体" w:cs="宋体"/>
          <w:kern w:val="0"/>
          <w:sz w:val="28"/>
          <w:szCs w:val="28"/>
        </w:rPr>
        <w:t>。</w:t>
      </w:r>
    </w:p>
    <w:p w14:paraId="7BB69FF6">
      <w:pPr>
        <w:spacing w:line="360" w:lineRule="auto"/>
        <w:jc w:val="left"/>
        <w:rPr>
          <w:rFonts w:ascii="宋体" w:hAnsi="宋体" w:cs="宋体"/>
          <w:kern w:val="0"/>
          <w:sz w:val="28"/>
          <w:szCs w:val="28"/>
        </w:rPr>
      </w:pPr>
      <w:r>
        <w:rPr>
          <w:rFonts w:ascii="宋体" w:hAnsi="宋体" w:cs="宋体"/>
          <w:kern w:val="0"/>
          <w:sz w:val="28"/>
          <w:szCs w:val="28"/>
        </w:rPr>
        <w:t>　　（4）蓝色（Ⅳ级）：预计可能发生一般危险化学品生产安全事故</w:t>
      </w:r>
      <w:r>
        <w:rPr>
          <w:rFonts w:hint="eastAsia" w:ascii="宋体" w:hAnsi="宋体" w:cs="宋体"/>
          <w:kern w:val="0"/>
          <w:sz w:val="28"/>
          <w:szCs w:val="28"/>
        </w:rPr>
        <w:t>；已</w:t>
      </w:r>
      <w:r>
        <w:rPr>
          <w:rFonts w:ascii="宋体" w:hAnsi="宋体" w:cs="宋体"/>
          <w:kern w:val="0"/>
          <w:sz w:val="28"/>
          <w:szCs w:val="28"/>
        </w:rPr>
        <w:t>发生</w:t>
      </w:r>
      <w:r>
        <w:rPr>
          <w:rFonts w:hint="eastAsia" w:ascii="宋体" w:hAnsi="宋体" w:cs="宋体"/>
          <w:kern w:val="0"/>
          <w:sz w:val="28"/>
          <w:szCs w:val="28"/>
        </w:rPr>
        <w:t>危险化学品</w:t>
      </w:r>
      <w:r>
        <w:rPr>
          <w:rFonts w:ascii="宋体" w:hAnsi="宋体" w:cs="宋体"/>
          <w:kern w:val="0"/>
          <w:sz w:val="28"/>
          <w:szCs w:val="28"/>
        </w:rPr>
        <w:t>泄漏事故，</w:t>
      </w:r>
      <w:r>
        <w:rPr>
          <w:rFonts w:hint="eastAsia" w:ascii="宋体" w:hAnsi="宋体" w:cs="宋体"/>
          <w:kern w:val="0"/>
          <w:sz w:val="28"/>
          <w:szCs w:val="28"/>
        </w:rPr>
        <w:t>泄漏区</w:t>
      </w:r>
      <w:r>
        <w:rPr>
          <w:rFonts w:ascii="宋体" w:hAnsi="宋体" w:cs="宋体"/>
          <w:kern w:val="0"/>
          <w:sz w:val="28"/>
          <w:szCs w:val="28"/>
        </w:rPr>
        <w:t>有明火引发爆炸、火灾事故风险，或者现场救援人员有中毒、窒息风险。</w:t>
      </w:r>
    </w:p>
    <w:p w14:paraId="24BDAD29">
      <w:pPr>
        <w:pStyle w:val="17"/>
        <w:numPr>
          <w:ilvl w:val="0"/>
          <w:numId w:val="11"/>
        </w:numPr>
        <w:spacing w:line="360" w:lineRule="auto"/>
        <w:ind w:firstLineChars="0"/>
        <w:jc w:val="left"/>
        <w:rPr>
          <w:rFonts w:ascii="宋体" w:hAnsi="宋体" w:cs="Arial"/>
          <w:kern w:val="0"/>
          <w:sz w:val="28"/>
          <w:szCs w:val="28"/>
        </w:rPr>
      </w:pPr>
      <w:r>
        <w:rPr>
          <w:rFonts w:hint="eastAsia" w:ascii="宋体" w:hAnsi="宋体" w:cs="Arial"/>
          <w:kern w:val="0"/>
          <w:sz w:val="28"/>
          <w:szCs w:val="28"/>
        </w:rPr>
        <w:t>预警信息发布</w:t>
      </w:r>
    </w:p>
    <w:p w14:paraId="2C802D03">
      <w:pPr>
        <w:pStyle w:val="17"/>
        <w:numPr>
          <w:ilvl w:val="0"/>
          <w:numId w:val="12"/>
        </w:numPr>
        <w:spacing w:line="360" w:lineRule="auto"/>
        <w:ind w:firstLineChars="0"/>
        <w:jc w:val="left"/>
        <w:rPr>
          <w:rFonts w:ascii="宋体" w:hAnsi="宋体" w:cs="宋体"/>
          <w:kern w:val="0"/>
          <w:sz w:val="28"/>
          <w:szCs w:val="28"/>
        </w:rPr>
      </w:pPr>
      <w:r>
        <w:rPr>
          <w:rFonts w:ascii="宋体" w:hAnsi="宋体" w:cs="宋体"/>
          <w:kern w:val="0"/>
          <w:sz w:val="28"/>
          <w:szCs w:val="28"/>
        </w:rPr>
        <w:t>危险化学品生产安全事故发生的可能性</w:t>
      </w:r>
      <w:r>
        <w:rPr>
          <w:rFonts w:hint="eastAsia" w:ascii="宋体" w:hAnsi="宋体" w:cs="宋体"/>
          <w:kern w:val="0"/>
          <w:sz w:val="28"/>
          <w:szCs w:val="28"/>
        </w:rPr>
        <w:t>较大或者已经</w:t>
      </w:r>
      <w:r>
        <w:rPr>
          <w:rFonts w:ascii="宋体" w:hAnsi="宋体" w:cs="宋体"/>
          <w:kern w:val="0"/>
          <w:sz w:val="28"/>
          <w:szCs w:val="28"/>
        </w:rPr>
        <w:t>发生</w:t>
      </w:r>
      <w:r>
        <w:rPr>
          <w:rFonts w:hint="eastAsia" w:ascii="宋体" w:hAnsi="宋体" w:cs="宋体"/>
          <w:kern w:val="0"/>
          <w:sz w:val="28"/>
          <w:szCs w:val="28"/>
        </w:rPr>
        <w:t>并</w:t>
      </w:r>
      <w:r>
        <w:rPr>
          <w:rFonts w:ascii="宋体" w:hAnsi="宋体" w:cs="宋体"/>
          <w:kern w:val="0"/>
          <w:sz w:val="28"/>
          <w:szCs w:val="28"/>
        </w:rPr>
        <w:t>有扩大的趋势时，县应急管理局组织相关人员对危险化学品生产安全事故信息进行评估，预测危险化学品生产安全事故发生</w:t>
      </w:r>
      <w:r>
        <w:rPr>
          <w:rFonts w:hint="eastAsia" w:ascii="宋体" w:hAnsi="宋体" w:cs="宋体"/>
          <w:kern w:val="0"/>
          <w:sz w:val="28"/>
          <w:szCs w:val="28"/>
        </w:rPr>
        <w:t>、</w:t>
      </w:r>
      <w:r>
        <w:rPr>
          <w:rFonts w:ascii="宋体" w:hAnsi="宋体" w:cs="宋体"/>
          <w:kern w:val="0"/>
          <w:sz w:val="28"/>
          <w:szCs w:val="28"/>
        </w:rPr>
        <w:t>扩大的可能性</w:t>
      </w:r>
      <w:r>
        <w:rPr>
          <w:rFonts w:hint="eastAsia" w:ascii="宋体" w:hAnsi="宋体" w:cs="宋体"/>
          <w:kern w:val="0"/>
          <w:sz w:val="28"/>
          <w:szCs w:val="28"/>
        </w:rPr>
        <w:t>，预测</w:t>
      </w:r>
      <w:r>
        <w:rPr>
          <w:rFonts w:ascii="宋体" w:hAnsi="宋体" w:cs="宋体"/>
          <w:kern w:val="0"/>
          <w:sz w:val="28"/>
          <w:szCs w:val="28"/>
        </w:rPr>
        <w:t>影响范围和强度等</w:t>
      </w:r>
      <w:r>
        <w:rPr>
          <w:rFonts w:hint="eastAsia" w:ascii="宋体" w:hAnsi="宋体" w:cs="宋体"/>
          <w:kern w:val="0"/>
          <w:sz w:val="28"/>
          <w:szCs w:val="28"/>
        </w:rPr>
        <w:t>，</w:t>
      </w:r>
      <w:r>
        <w:rPr>
          <w:rFonts w:ascii="宋体" w:hAnsi="宋体" w:cs="宋体"/>
          <w:kern w:val="0"/>
          <w:sz w:val="28"/>
          <w:szCs w:val="28"/>
        </w:rPr>
        <w:t>确定危险化学品生产安全事故预警级别。</w:t>
      </w:r>
    </w:p>
    <w:p w14:paraId="14A5617C">
      <w:pPr>
        <w:pStyle w:val="17"/>
        <w:numPr>
          <w:ilvl w:val="0"/>
          <w:numId w:val="12"/>
        </w:numPr>
        <w:spacing w:line="360" w:lineRule="auto"/>
        <w:ind w:firstLineChars="0"/>
        <w:jc w:val="left"/>
        <w:rPr>
          <w:rFonts w:ascii="宋体" w:hAnsi="宋体" w:cs="宋体"/>
          <w:kern w:val="0"/>
          <w:sz w:val="28"/>
          <w:szCs w:val="28"/>
        </w:rPr>
      </w:pPr>
      <w:r>
        <w:rPr>
          <w:rFonts w:hint="eastAsia" w:ascii="宋体" w:hAnsi="宋体" w:cs="宋体"/>
          <w:kern w:val="0"/>
          <w:sz w:val="28"/>
          <w:szCs w:val="28"/>
        </w:rPr>
        <w:t>预警级别由县应急管理局提出，经县应急指挥部负责人批准后公布。</w:t>
      </w:r>
    </w:p>
    <w:p w14:paraId="11370DD0">
      <w:pPr>
        <w:pStyle w:val="17"/>
        <w:numPr>
          <w:ilvl w:val="0"/>
          <w:numId w:val="12"/>
        </w:numPr>
        <w:spacing w:line="360" w:lineRule="auto"/>
        <w:ind w:firstLineChars="0"/>
        <w:jc w:val="left"/>
        <w:rPr>
          <w:rFonts w:ascii="宋体" w:hAnsi="宋体" w:cs="宋体"/>
          <w:kern w:val="0"/>
          <w:sz w:val="28"/>
          <w:szCs w:val="28"/>
        </w:rPr>
      </w:pPr>
      <w:r>
        <w:rPr>
          <w:rFonts w:hint="eastAsia" w:ascii="宋体" w:hAnsi="宋体" w:cs="宋体"/>
          <w:kern w:val="0"/>
          <w:sz w:val="28"/>
          <w:szCs w:val="28"/>
        </w:rPr>
        <w:t>预警信息的发布、调整和解除，可通过广播、电视、微信公众号、通讯网络、电子显示屏、警报器、宣传车等方式进行。</w:t>
      </w:r>
    </w:p>
    <w:p w14:paraId="29874B37">
      <w:pPr>
        <w:pStyle w:val="17"/>
        <w:numPr>
          <w:ilvl w:val="0"/>
          <w:numId w:val="12"/>
        </w:numPr>
        <w:spacing w:line="360" w:lineRule="auto"/>
        <w:ind w:firstLineChars="0"/>
        <w:jc w:val="left"/>
        <w:rPr>
          <w:rFonts w:ascii="宋体" w:hAnsi="宋体" w:cs="宋体"/>
          <w:kern w:val="0"/>
          <w:sz w:val="28"/>
          <w:szCs w:val="28"/>
        </w:rPr>
      </w:pPr>
      <w:r>
        <w:rPr>
          <w:rFonts w:hint="eastAsia" w:ascii="宋体" w:hAnsi="宋体" w:cs="宋体"/>
          <w:kern w:val="0"/>
          <w:sz w:val="28"/>
          <w:szCs w:val="28"/>
        </w:rPr>
        <w:t>对特殊人员、特殊场所及警报盲区，应采取指定专人传递预警信息的方式，确保信息接收。</w:t>
      </w:r>
    </w:p>
    <w:p w14:paraId="6DA2CA9D">
      <w:pPr>
        <w:pStyle w:val="17"/>
        <w:numPr>
          <w:ilvl w:val="0"/>
          <w:numId w:val="12"/>
        </w:numPr>
        <w:spacing w:line="360" w:lineRule="auto"/>
        <w:ind w:firstLineChars="0"/>
        <w:jc w:val="left"/>
        <w:rPr>
          <w:rFonts w:ascii="宋体" w:hAnsi="宋体" w:cs="宋体"/>
          <w:kern w:val="0"/>
          <w:sz w:val="28"/>
          <w:szCs w:val="28"/>
        </w:rPr>
      </w:pPr>
      <w:r>
        <w:rPr>
          <w:rFonts w:hint="eastAsia" w:ascii="宋体" w:hAnsi="宋体" w:cs="宋体"/>
          <w:kern w:val="0"/>
          <w:sz w:val="28"/>
          <w:szCs w:val="28"/>
        </w:rPr>
        <w:t>预警信息内容包括但不限于：发布机关、时间、事件类别、预警级别、起始时间、可能影响的范围、警示事项、相关措施和咨询电话等。</w:t>
      </w:r>
    </w:p>
    <w:p w14:paraId="04264280">
      <w:pPr>
        <w:pStyle w:val="17"/>
        <w:numPr>
          <w:ilvl w:val="0"/>
          <w:numId w:val="11"/>
        </w:numPr>
        <w:spacing w:line="360" w:lineRule="auto"/>
        <w:ind w:firstLineChars="0"/>
        <w:jc w:val="left"/>
        <w:rPr>
          <w:rFonts w:ascii="宋体" w:hAnsi="宋体" w:cs="Arial"/>
          <w:kern w:val="0"/>
          <w:sz w:val="28"/>
          <w:szCs w:val="28"/>
        </w:rPr>
      </w:pPr>
      <w:r>
        <w:rPr>
          <w:rFonts w:hint="eastAsia" w:ascii="宋体" w:hAnsi="宋体" w:cs="Arial"/>
          <w:kern w:val="0"/>
          <w:sz w:val="28"/>
          <w:szCs w:val="28"/>
        </w:rPr>
        <w:t>预警行动</w:t>
      </w:r>
    </w:p>
    <w:p w14:paraId="30D078D8">
      <w:pPr>
        <w:pStyle w:val="17"/>
        <w:numPr>
          <w:ilvl w:val="0"/>
          <w:numId w:val="13"/>
        </w:numPr>
        <w:spacing w:line="360" w:lineRule="auto"/>
        <w:ind w:firstLineChars="0"/>
        <w:jc w:val="left"/>
        <w:rPr>
          <w:rFonts w:ascii="宋体" w:hAnsi="宋体" w:cs="Arial"/>
          <w:kern w:val="0"/>
          <w:sz w:val="28"/>
          <w:szCs w:val="28"/>
        </w:rPr>
      </w:pPr>
      <w:r>
        <w:rPr>
          <w:rFonts w:hint="eastAsia" w:ascii="宋体" w:hAnsi="宋体" w:cs="Arial"/>
          <w:kern w:val="0"/>
          <w:sz w:val="28"/>
          <w:szCs w:val="28"/>
        </w:rPr>
        <w:t>蓝色</w:t>
      </w:r>
      <w:r>
        <w:rPr>
          <w:rFonts w:ascii="宋体" w:hAnsi="宋体" w:cs="Arial"/>
          <w:kern w:val="0"/>
          <w:sz w:val="28"/>
          <w:szCs w:val="28"/>
        </w:rPr>
        <w:t>（Ⅳ级）</w:t>
      </w:r>
      <w:r>
        <w:rPr>
          <w:rFonts w:hint="eastAsia" w:ascii="宋体" w:hAnsi="宋体" w:cs="Arial"/>
          <w:kern w:val="0"/>
          <w:sz w:val="28"/>
          <w:szCs w:val="28"/>
        </w:rPr>
        <w:t>预警信息发布后，相关乡镇、社区办、社区管委会、经开区管委会、</w:t>
      </w:r>
      <w:r>
        <w:rPr>
          <w:rFonts w:ascii="宋体" w:hAnsi="宋体" w:cs="Arial"/>
          <w:kern w:val="0"/>
          <w:sz w:val="28"/>
          <w:szCs w:val="28"/>
        </w:rPr>
        <w:t>事故主管</w:t>
      </w:r>
      <w:r>
        <w:rPr>
          <w:rFonts w:hint="eastAsia" w:ascii="宋体" w:hAnsi="宋体" w:cs="Arial"/>
          <w:kern w:val="0"/>
          <w:sz w:val="28"/>
          <w:szCs w:val="28"/>
        </w:rPr>
        <w:t>部门</w:t>
      </w:r>
      <w:r>
        <w:rPr>
          <w:rFonts w:ascii="宋体" w:hAnsi="宋体" w:cs="Arial"/>
          <w:kern w:val="0"/>
          <w:sz w:val="28"/>
          <w:szCs w:val="28"/>
        </w:rPr>
        <w:t>、</w:t>
      </w:r>
      <w:r>
        <w:rPr>
          <w:rFonts w:hint="eastAsia" w:ascii="宋体" w:hAnsi="宋体" w:cs="Arial"/>
          <w:kern w:val="0"/>
          <w:sz w:val="28"/>
          <w:szCs w:val="28"/>
        </w:rPr>
        <w:t>主管</w:t>
      </w:r>
      <w:r>
        <w:rPr>
          <w:rFonts w:ascii="宋体" w:hAnsi="宋体" w:cs="Arial"/>
          <w:kern w:val="0"/>
          <w:sz w:val="28"/>
          <w:szCs w:val="28"/>
        </w:rPr>
        <w:t>部门</w:t>
      </w:r>
      <w:r>
        <w:rPr>
          <w:rFonts w:hint="eastAsia" w:ascii="宋体" w:hAnsi="宋体" w:cs="Arial"/>
          <w:kern w:val="0"/>
          <w:sz w:val="28"/>
          <w:szCs w:val="28"/>
        </w:rPr>
        <w:t>执行24小时值班制度，</w:t>
      </w:r>
      <w:r>
        <w:rPr>
          <w:rFonts w:ascii="宋体" w:hAnsi="宋体" w:cs="Arial"/>
          <w:kern w:val="0"/>
          <w:sz w:val="28"/>
          <w:szCs w:val="28"/>
        </w:rPr>
        <w:t>及时收集、报告有关信息，</w:t>
      </w:r>
      <w:r>
        <w:rPr>
          <w:rFonts w:hint="eastAsia" w:ascii="宋体" w:hAnsi="宋体" w:cs="Arial"/>
          <w:kern w:val="0"/>
          <w:sz w:val="28"/>
          <w:szCs w:val="28"/>
        </w:rPr>
        <w:t>应时刻关注预警信息更新，</w:t>
      </w:r>
      <w:r>
        <w:rPr>
          <w:rFonts w:ascii="宋体" w:hAnsi="宋体" w:cs="Arial"/>
          <w:kern w:val="0"/>
          <w:sz w:val="28"/>
          <w:szCs w:val="28"/>
        </w:rPr>
        <w:t>加强事态发展情况的监测、预报工作</w:t>
      </w:r>
      <w:r>
        <w:rPr>
          <w:rFonts w:hint="eastAsia" w:ascii="宋体" w:hAnsi="宋体" w:cs="Arial"/>
          <w:kern w:val="0"/>
          <w:sz w:val="28"/>
          <w:szCs w:val="28"/>
        </w:rPr>
        <w:t>；危险化学品企业应组织急救援队伍在现场待命，准备好应急物资，随时准备处置突发事故或者参加应急救援；应急救援队伍进入备战状态；</w:t>
      </w:r>
      <w:r>
        <w:rPr>
          <w:rFonts w:ascii="宋体" w:hAnsi="宋体" w:cs="Arial"/>
          <w:kern w:val="0"/>
          <w:sz w:val="28"/>
          <w:szCs w:val="28"/>
        </w:rPr>
        <w:t>应急指挥部办公室对收集到的监测</w:t>
      </w:r>
      <w:r>
        <w:rPr>
          <w:rFonts w:hint="eastAsia" w:ascii="宋体" w:hAnsi="宋体" w:cs="Arial"/>
          <w:kern w:val="0"/>
          <w:sz w:val="28"/>
          <w:szCs w:val="28"/>
        </w:rPr>
        <w:t>、</w:t>
      </w:r>
      <w:r>
        <w:rPr>
          <w:rFonts w:ascii="宋体" w:hAnsi="宋体" w:cs="Arial"/>
          <w:kern w:val="0"/>
          <w:sz w:val="28"/>
          <w:szCs w:val="28"/>
        </w:rPr>
        <w:t>预报信息及时进行研判，做好启动本预案Ⅳ级响应程序的准备，必要时</w:t>
      </w:r>
      <w:r>
        <w:rPr>
          <w:rFonts w:hint="eastAsia" w:ascii="宋体" w:hAnsi="宋体" w:cs="Arial"/>
          <w:kern w:val="0"/>
          <w:sz w:val="28"/>
          <w:szCs w:val="28"/>
        </w:rPr>
        <w:t>召集</w:t>
      </w:r>
      <w:r>
        <w:rPr>
          <w:rFonts w:ascii="宋体" w:hAnsi="宋体" w:cs="Arial"/>
          <w:kern w:val="0"/>
          <w:sz w:val="28"/>
          <w:szCs w:val="28"/>
        </w:rPr>
        <w:t>专业应急指挥人员</w:t>
      </w:r>
      <w:r>
        <w:rPr>
          <w:rFonts w:hint="eastAsia" w:ascii="宋体" w:hAnsi="宋体" w:cs="Arial"/>
          <w:kern w:val="0"/>
          <w:sz w:val="28"/>
          <w:szCs w:val="28"/>
        </w:rPr>
        <w:t>、</w:t>
      </w:r>
      <w:r>
        <w:rPr>
          <w:rFonts w:ascii="宋体" w:hAnsi="宋体" w:cs="Arial"/>
          <w:kern w:val="0"/>
          <w:sz w:val="28"/>
          <w:szCs w:val="28"/>
        </w:rPr>
        <w:t>相关专家待命</w:t>
      </w:r>
      <w:r>
        <w:rPr>
          <w:rFonts w:hint="eastAsia" w:ascii="宋体" w:hAnsi="宋体" w:cs="Arial"/>
          <w:kern w:val="0"/>
          <w:sz w:val="28"/>
          <w:szCs w:val="28"/>
        </w:rPr>
        <w:t>，时刻准备</w:t>
      </w:r>
      <w:r>
        <w:rPr>
          <w:rFonts w:ascii="宋体" w:hAnsi="宋体" w:cs="Arial"/>
          <w:kern w:val="0"/>
          <w:sz w:val="28"/>
          <w:szCs w:val="28"/>
        </w:rPr>
        <w:t>到现场指挥或协助应急</w:t>
      </w:r>
      <w:r>
        <w:rPr>
          <w:rFonts w:hint="eastAsia" w:ascii="宋体" w:hAnsi="宋体" w:cs="Arial"/>
          <w:kern w:val="0"/>
          <w:sz w:val="28"/>
          <w:szCs w:val="28"/>
        </w:rPr>
        <w:t>救援</w:t>
      </w:r>
      <w:r>
        <w:rPr>
          <w:rFonts w:ascii="宋体" w:hAnsi="宋体" w:cs="Arial"/>
          <w:kern w:val="0"/>
          <w:sz w:val="28"/>
          <w:szCs w:val="28"/>
        </w:rPr>
        <w:t>行动</w:t>
      </w:r>
      <w:r>
        <w:rPr>
          <w:rFonts w:hint="eastAsia" w:ascii="宋体" w:hAnsi="宋体" w:cs="Arial"/>
          <w:kern w:val="0"/>
          <w:sz w:val="28"/>
          <w:szCs w:val="28"/>
        </w:rPr>
        <w:t>。</w:t>
      </w:r>
    </w:p>
    <w:p w14:paraId="4E6BD390">
      <w:pPr>
        <w:pStyle w:val="17"/>
        <w:numPr>
          <w:ilvl w:val="0"/>
          <w:numId w:val="13"/>
        </w:numPr>
        <w:spacing w:line="360" w:lineRule="auto"/>
        <w:ind w:firstLineChars="0"/>
        <w:jc w:val="left"/>
        <w:rPr>
          <w:rFonts w:ascii="宋体" w:hAnsi="宋体" w:cs="Arial"/>
          <w:kern w:val="0"/>
          <w:sz w:val="28"/>
          <w:szCs w:val="28"/>
        </w:rPr>
      </w:pPr>
      <w:r>
        <w:rPr>
          <w:rFonts w:ascii="宋体" w:hAnsi="宋体" w:cs="宋体"/>
          <w:kern w:val="0"/>
          <w:sz w:val="28"/>
          <w:szCs w:val="28"/>
        </w:rPr>
        <w:t>黄色等级（Ⅲ级）预警信息发布后</w:t>
      </w:r>
      <w:r>
        <w:rPr>
          <w:rFonts w:hint="eastAsia" w:ascii="宋体" w:hAnsi="宋体" w:cs="宋体"/>
          <w:kern w:val="0"/>
          <w:sz w:val="28"/>
          <w:szCs w:val="28"/>
        </w:rPr>
        <w:t>，应急指挥部主要成员24小时值班，专业救援队伍、其他企业的兼职救援队伍应随时待命；应急指挥部办公室把接收到的救援信息通报应急指挥部成员，适时组织会商，启动</w:t>
      </w:r>
      <w:r>
        <w:rPr>
          <w:rFonts w:ascii="宋体" w:hAnsi="宋体" w:cs="宋体"/>
          <w:kern w:val="0"/>
          <w:sz w:val="28"/>
          <w:szCs w:val="28"/>
        </w:rPr>
        <w:t>Ⅲ级响应</w:t>
      </w:r>
      <w:r>
        <w:rPr>
          <w:rFonts w:hint="eastAsia" w:ascii="宋体" w:hAnsi="宋体" w:cs="宋体"/>
          <w:kern w:val="0"/>
          <w:sz w:val="28"/>
          <w:szCs w:val="28"/>
        </w:rPr>
        <w:t>。</w:t>
      </w:r>
    </w:p>
    <w:p w14:paraId="1EF709CB">
      <w:pPr>
        <w:pStyle w:val="17"/>
        <w:numPr>
          <w:ilvl w:val="0"/>
          <w:numId w:val="13"/>
        </w:numPr>
        <w:spacing w:line="360" w:lineRule="auto"/>
        <w:ind w:firstLineChars="0"/>
        <w:jc w:val="left"/>
        <w:rPr>
          <w:rFonts w:ascii="宋体" w:hAnsi="宋体" w:cs="Arial"/>
          <w:kern w:val="0"/>
          <w:sz w:val="28"/>
          <w:szCs w:val="28"/>
        </w:rPr>
      </w:pPr>
      <w:r>
        <w:rPr>
          <w:rFonts w:hint="eastAsia" w:ascii="宋体" w:hAnsi="宋体" w:cs="宋体"/>
          <w:kern w:val="0"/>
          <w:sz w:val="28"/>
          <w:szCs w:val="28"/>
        </w:rPr>
        <w:t>橙色（Ⅱ级）预警发布后，应急指挥部派出现场指挥部，前往现场指挥救援；专业救援队伍、兼职救援队伍、专家组成员到现场待命，按照指挥参加救援；应急指挥部办公室及时向市危险化学品生产安全事故应急指挥部申请人员、物资支援。</w:t>
      </w:r>
      <w:r>
        <w:rPr>
          <w:rFonts w:ascii="宋体" w:hAnsi="宋体" w:cs="宋体"/>
          <w:kern w:val="0"/>
          <w:sz w:val="28"/>
          <w:szCs w:val="28"/>
        </w:rPr>
        <w:t>危险化学品生产安全事故应急指挥部负责人带领救援队伍、救援物资听从</w:t>
      </w:r>
      <w:r>
        <w:rPr>
          <w:rFonts w:hint="eastAsia" w:ascii="宋体" w:hAnsi="宋体" w:cs="宋体"/>
          <w:kern w:val="0"/>
          <w:sz w:val="28"/>
          <w:szCs w:val="28"/>
        </w:rPr>
        <w:t>市级</w:t>
      </w:r>
      <w:r>
        <w:rPr>
          <w:rFonts w:ascii="宋体" w:hAnsi="宋体" w:cs="宋体"/>
          <w:kern w:val="0"/>
          <w:sz w:val="28"/>
          <w:szCs w:val="28"/>
        </w:rPr>
        <w:t>指挥机构的指挥</w:t>
      </w:r>
      <w:r>
        <w:rPr>
          <w:rFonts w:hint="eastAsia" w:ascii="宋体" w:hAnsi="宋体" w:cs="宋体"/>
          <w:kern w:val="0"/>
          <w:sz w:val="28"/>
          <w:szCs w:val="28"/>
        </w:rPr>
        <w:t>。</w:t>
      </w:r>
    </w:p>
    <w:p w14:paraId="55DD1894">
      <w:pPr>
        <w:pStyle w:val="17"/>
        <w:numPr>
          <w:ilvl w:val="0"/>
          <w:numId w:val="13"/>
        </w:numPr>
        <w:spacing w:line="360" w:lineRule="auto"/>
        <w:ind w:firstLineChars="0"/>
        <w:jc w:val="left"/>
        <w:rPr>
          <w:rFonts w:ascii="宋体" w:hAnsi="宋体" w:cs="Arial"/>
          <w:kern w:val="0"/>
          <w:sz w:val="28"/>
          <w:szCs w:val="28"/>
        </w:rPr>
      </w:pPr>
      <w:r>
        <w:rPr>
          <w:rFonts w:ascii="宋体" w:hAnsi="宋体" w:cs="Arial"/>
          <w:kern w:val="0"/>
          <w:sz w:val="28"/>
          <w:szCs w:val="28"/>
        </w:rPr>
        <w:t>红色</w:t>
      </w:r>
      <w:r>
        <w:rPr>
          <w:rFonts w:hint="eastAsia" w:ascii="宋体" w:hAnsi="宋体" w:cs="Arial"/>
          <w:kern w:val="0"/>
          <w:sz w:val="28"/>
          <w:szCs w:val="28"/>
        </w:rPr>
        <w:t>（</w:t>
      </w:r>
      <w:r>
        <w:rPr>
          <w:rFonts w:ascii="宋体" w:hAnsi="宋体" w:cs="宋体"/>
          <w:kern w:val="0"/>
          <w:sz w:val="28"/>
          <w:szCs w:val="28"/>
        </w:rPr>
        <w:t>Ⅰ级</w:t>
      </w:r>
      <w:r>
        <w:rPr>
          <w:rFonts w:hint="eastAsia" w:ascii="宋体" w:hAnsi="宋体" w:cs="Arial"/>
          <w:kern w:val="0"/>
          <w:sz w:val="28"/>
          <w:szCs w:val="28"/>
        </w:rPr>
        <w:t>）预警信息发布后，危险化学品生产安全事故应急指挥部向市级指挥机构申请升级响应，请黑龙江省危险化学品生产安全事故应急指挥部给予人员、物资支援。</w:t>
      </w:r>
      <w:r>
        <w:rPr>
          <w:rFonts w:ascii="宋体" w:hAnsi="宋体" w:cs="宋体"/>
          <w:kern w:val="0"/>
          <w:sz w:val="28"/>
          <w:szCs w:val="28"/>
        </w:rPr>
        <w:t>危险化学品生产安全事故应急指挥部负责人带领救援队伍、救援物资听从省级指挥机构的指挥</w:t>
      </w:r>
      <w:r>
        <w:rPr>
          <w:rFonts w:hint="eastAsia" w:ascii="宋体" w:hAnsi="宋体" w:cs="宋体"/>
          <w:kern w:val="0"/>
          <w:sz w:val="28"/>
          <w:szCs w:val="28"/>
        </w:rPr>
        <w:t>。</w:t>
      </w:r>
    </w:p>
    <w:p w14:paraId="2455C835">
      <w:pPr>
        <w:pStyle w:val="17"/>
        <w:numPr>
          <w:ilvl w:val="0"/>
          <w:numId w:val="11"/>
        </w:numPr>
        <w:spacing w:line="360" w:lineRule="auto"/>
        <w:ind w:firstLineChars="0"/>
        <w:jc w:val="left"/>
        <w:rPr>
          <w:rFonts w:ascii="宋体" w:hAnsi="宋体" w:cs="Arial"/>
          <w:kern w:val="0"/>
          <w:sz w:val="28"/>
          <w:szCs w:val="28"/>
        </w:rPr>
      </w:pPr>
      <w:r>
        <w:rPr>
          <w:rFonts w:hint="eastAsia" w:ascii="宋体" w:hAnsi="宋体" w:cs="Arial"/>
          <w:kern w:val="0"/>
          <w:sz w:val="28"/>
          <w:szCs w:val="28"/>
        </w:rPr>
        <w:t>预警级别调整</w:t>
      </w:r>
    </w:p>
    <w:p w14:paraId="2941C832">
      <w:pPr>
        <w:pStyle w:val="17"/>
        <w:numPr>
          <w:ilvl w:val="0"/>
          <w:numId w:val="14"/>
        </w:numPr>
        <w:spacing w:line="360" w:lineRule="auto"/>
        <w:ind w:left="426" w:hanging="426" w:firstLineChars="0"/>
        <w:jc w:val="left"/>
        <w:rPr>
          <w:rFonts w:ascii="宋体" w:hAnsi="宋体"/>
          <w:sz w:val="28"/>
          <w:szCs w:val="28"/>
        </w:rPr>
      </w:pPr>
      <w:r>
        <w:rPr>
          <w:rFonts w:hint="eastAsia" w:ascii="宋体" w:hAnsi="宋体" w:cs="宋体"/>
          <w:kern w:val="0"/>
          <w:sz w:val="28"/>
          <w:szCs w:val="28"/>
        </w:rPr>
        <w:t>根据危险化学品生产安全事故的发展态势和应急处置情况，县应急指挥部可视情况对预警级别作出调整。</w:t>
      </w:r>
    </w:p>
    <w:p w14:paraId="226E6B50">
      <w:pPr>
        <w:pStyle w:val="17"/>
        <w:numPr>
          <w:ilvl w:val="0"/>
          <w:numId w:val="14"/>
        </w:numPr>
        <w:spacing w:line="360" w:lineRule="auto"/>
        <w:ind w:left="426" w:hanging="426" w:firstLineChars="0"/>
        <w:jc w:val="left"/>
        <w:rPr>
          <w:rFonts w:ascii="宋体" w:hAnsi="宋体"/>
          <w:sz w:val="28"/>
          <w:szCs w:val="28"/>
        </w:rPr>
      </w:pPr>
      <w:r>
        <w:rPr>
          <w:rFonts w:hint="eastAsia" w:ascii="宋体" w:hAnsi="宋体" w:cs="宋体"/>
          <w:kern w:val="0"/>
          <w:sz w:val="28"/>
          <w:szCs w:val="28"/>
        </w:rPr>
        <w:t>涉及跨区域、跨行业、跨部门预警信息的发布、调整和解除，须报县政府批准。</w:t>
      </w:r>
    </w:p>
    <w:p w14:paraId="7A499B6B">
      <w:pPr>
        <w:pStyle w:val="17"/>
        <w:numPr>
          <w:ilvl w:val="0"/>
          <w:numId w:val="14"/>
        </w:numPr>
        <w:spacing w:line="360" w:lineRule="auto"/>
        <w:ind w:left="426" w:hanging="426" w:firstLineChars="0"/>
        <w:jc w:val="left"/>
        <w:rPr>
          <w:rFonts w:ascii="宋体" w:hAnsi="宋体" w:cs="宋体"/>
          <w:kern w:val="0"/>
          <w:sz w:val="28"/>
          <w:szCs w:val="28"/>
        </w:rPr>
      </w:pPr>
      <w:r>
        <w:rPr>
          <w:rFonts w:hint="eastAsia" w:ascii="宋体" w:hAnsi="宋体" w:cs="宋体"/>
          <w:kern w:val="0"/>
          <w:sz w:val="28"/>
          <w:szCs w:val="28"/>
        </w:rPr>
        <w:t>需要升级响应的，县政府、县应急管理局分别向市政府、市应急管理局报告。</w:t>
      </w:r>
    </w:p>
    <w:p w14:paraId="0BAFA36A">
      <w:pPr>
        <w:pStyle w:val="17"/>
        <w:numPr>
          <w:ilvl w:val="0"/>
          <w:numId w:val="14"/>
        </w:numPr>
        <w:spacing w:line="360" w:lineRule="auto"/>
        <w:ind w:left="426" w:hanging="426" w:firstLineChars="0"/>
        <w:jc w:val="left"/>
        <w:rPr>
          <w:rFonts w:ascii="宋体" w:hAnsi="宋体" w:cs="宋体"/>
          <w:kern w:val="0"/>
          <w:sz w:val="28"/>
          <w:szCs w:val="28"/>
        </w:rPr>
      </w:pPr>
      <w:r>
        <w:rPr>
          <w:rFonts w:hint="eastAsia" w:ascii="宋体" w:hAnsi="宋体" w:cs="宋体"/>
          <w:kern w:val="0"/>
          <w:sz w:val="28"/>
          <w:szCs w:val="28"/>
        </w:rPr>
        <w:t>报告内容包括但不限于：预警类别、级别、预警单位或位置、可能发生的风险类别、严重程度等。</w:t>
      </w:r>
    </w:p>
    <w:p w14:paraId="6F8BFC0E">
      <w:pPr>
        <w:pStyle w:val="2"/>
        <w:keepNext w:val="0"/>
        <w:keepLines w:val="0"/>
        <w:spacing w:before="0" w:after="0" w:line="360" w:lineRule="auto"/>
        <w:rPr>
          <w:rFonts w:ascii="宋体" w:hAnsi="宋体"/>
          <w:sz w:val="28"/>
          <w:szCs w:val="28"/>
        </w:rPr>
      </w:pPr>
      <w:bookmarkStart w:id="16" w:name="_Toc184287580"/>
      <w:r>
        <w:rPr>
          <w:rFonts w:hint="eastAsia" w:ascii="宋体" w:hAnsi="宋体"/>
          <w:sz w:val="28"/>
          <w:szCs w:val="28"/>
        </w:rPr>
        <w:t>五、</w:t>
      </w:r>
      <w:r>
        <w:rPr>
          <w:rFonts w:ascii="宋体" w:hAnsi="宋体"/>
          <w:sz w:val="28"/>
          <w:szCs w:val="28"/>
        </w:rPr>
        <w:t>事故信息报告</w:t>
      </w:r>
      <w:bookmarkEnd w:id="16"/>
    </w:p>
    <w:p w14:paraId="09CA793A">
      <w:pPr>
        <w:pStyle w:val="3"/>
        <w:keepNext w:val="0"/>
        <w:keepLines w:val="0"/>
        <w:spacing w:before="0" w:after="0" w:line="360" w:lineRule="auto"/>
        <w:rPr>
          <w:rFonts w:ascii="宋体" w:hAnsi="宋体"/>
          <w:kern w:val="0"/>
          <w:sz w:val="28"/>
          <w:szCs w:val="28"/>
        </w:rPr>
      </w:pPr>
      <w:bookmarkStart w:id="17" w:name="_Toc184287581"/>
      <w:r>
        <w:rPr>
          <w:rFonts w:hint="eastAsia" w:ascii="宋体" w:hAnsi="宋体"/>
          <w:kern w:val="0"/>
          <w:sz w:val="28"/>
          <w:szCs w:val="28"/>
        </w:rPr>
        <w:t>（一）事故单位报告及处置</w:t>
      </w:r>
      <w:bookmarkEnd w:id="17"/>
    </w:p>
    <w:p w14:paraId="0D04C0BF">
      <w:pPr>
        <w:pStyle w:val="18"/>
        <w:numPr>
          <w:ilvl w:val="0"/>
          <w:numId w:val="15"/>
        </w:numPr>
        <w:spacing w:line="360" w:lineRule="auto"/>
        <w:ind w:firstLineChars="0"/>
        <w:rPr>
          <w:rFonts w:ascii="宋体" w:hAnsi="宋体" w:eastAsia="宋体"/>
          <w:color w:val="000000"/>
          <w:kern w:val="0"/>
          <w:sz w:val="28"/>
          <w:szCs w:val="28"/>
        </w:rPr>
      </w:pPr>
      <w:r>
        <w:rPr>
          <w:rFonts w:hint="eastAsia" w:ascii="宋体" w:hAnsi="宋体" w:eastAsia="宋体"/>
          <w:color w:val="000000"/>
          <w:kern w:val="0"/>
          <w:sz w:val="28"/>
          <w:szCs w:val="28"/>
        </w:rPr>
        <w:t>危险化学品企业发生事故后，现场人员立即报告本单位负责人，同时要积极开展自救和互救。</w:t>
      </w:r>
    </w:p>
    <w:p w14:paraId="1CC177E7">
      <w:pPr>
        <w:pStyle w:val="18"/>
        <w:numPr>
          <w:ilvl w:val="0"/>
          <w:numId w:val="15"/>
        </w:numPr>
        <w:spacing w:line="360" w:lineRule="auto"/>
        <w:ind w:firstLineChars="0"/>
        <w:rPr>
          <w:rFonts w:ascii="宋体" w:hAnsi="宋体" w:eastAsia="宋体"/>
          <w:color w:val="000000"/>
          <w:kern w:val="0"/>
          <w:sz w:val="28"/>
          <w:szCs w:val="28"/>
        </w:rPr>
      </w:pPr>
      <w:r>
        <w:rPr>
          <w:rFonts w:hint="eastAsia" w:ascii="宋体" w:hAnsi="宋体" w:eastAsia="宋体"/>
          <w:color w:val="000000"/>
          <w:kern w:val="0"/>
          <w:sz w:val="28"/>
          <w:szCs w:val="28"/>
        </w:rPr>
        <w:t>事故单位负责人接到事故报告后，应立即启动企业内部的应急预案，组织内部救援力量开展抢险救援工作，并在1小时内向县应急管理局、乡镇人民政府、社区办、社区管委会、经开区管委会和其他负有安全生产监督管理职责的部门报告。发生较大以上事故还应同时报告市应急管理局和市级负有安全生产监督管理职责的行业主管部门。如发生火灾事故，应立即拨打119电话报警。</w:t>
      </w:r>
    </w:p>
    <w:p w14:paraId="35EB3441">
      <w:pPr>
        <w:pStyle w:val="3"/>
        <w:keepNext w:val="0"/>
        <w:keepLines w:val="0"/>
        <w:spacing w:before="0" w:after="0" w:line="360" w:lineRule="auto"/>
        <w:rPr>
          <w:rFonts w:ascii="宋体" w:hAnsi="宋体"/>
          <w:kern w:val="0"/>
          <w:sz w:val="28"/>
          <w:szCs w:val="28"/>
        </w:rPr>
      </w:pPr>
      <w:bookmarkStart w:id="18" w:name="_Toc184287582"/>
      <w:r>
        <w:rPr>
          <w:rFonts w:hint="eastAsia" w:ascii="宋体" w:hAnsi="宋体"/>
          <w:kern w:val="0"/>
          <w:sz w:val="28"/>
          <w:szCs w:val="28"/>
        </w:rPr>
        <w:t>（二）事故信息上报</w:t>
      </w:r>
      <w:bookmarkEnd w:id="18"/>
    </w:p>
    <w:p w14:paraId="7153B0E8">
      <w:pPr>
        <w:pStyle w:val="17"/>
        <w:numPr>
          <w:ilvl w:val="0"/>
          <w:numId w:val="16"/>
        </w:numPr>
        <w:spacing w:line="360" w:lineRule="auto"/>
        <w:ind w:left="434" w:hanging="434" w:firstLineChars="0"/>
        <w:jc w:val="left"/>
        <w:rPr>
          <w:rFonts w:ascii="宋体" w:hAnsi="宋体" w:cs="宋体"/>
          <w:color w:val="000000"/>
          <w:kern w:val="0"/>
          <w:sz w:val="28"/>
          <w:szCs w:val="28"/>
        </w:rPr>
      </w:pPr>
      <w:r>
        <w:rPr>
          <w:rFonts w:hint="eastAsia" w:ascii="宋体" w:hAnsi="宋体" w:cs="宋体"/>
          <w:color w:val="000000"/>
          <w:kern w:val="0"/>
          <w:sz w:val="28"/>
          <w:szCs w:val="28"/>
        </w:rPr>
        <w:t>应急管理局和其他负有安全生产监督管理职责的行业主管部门在接到事故报告后2小时内，报告市应急管理局和市级负有安全生产监督管理职责的行业主管部门，同时报告县政府。县政府应立即报告市政府。</w:t>
      </w:r>
    </w:p>
    <w:p w14:paraId="583BAE9B">
      <w:pPr>
        <w:pStyle w:val="17"/>
        <w:numPr>
          <w:ilvl w:val="0"/>
          <w:numId w:val="16"/>
        </w:numPr>
        <w:spacing w:line="360" w:lineRule="auto"/>
        <w:ind w:left="434" w:hanging="434" w:firstLineChars="0"/>
        <w:jc w:val="left"/>
        <w:rPr>
          <w:rFonts w:ascii="宋体" w:hAnsi="宋体" w:cs="宋体"/>
          <w:color w:val="000000"/>
          <w:kern w:val="0"/>
          <w:sz w:val="28"/>
          <w:szCs w:val="28"/>
        </w:rPr>
      </w:pPr>
      <w:r>
        <w:rPr>
          <w:rFonts w:hint="eastAsia" w:ascii="宋体" w:hAnsi="宋体" w:cs="宋体"/>
          <w:color w:val="000000"/>
          <w:kern w:val="0"/>
          <w:sz w:val="28"/>
          <w:szCs w:val="28"/>
        </w:rPr>
        <w:t>发生较大、重大、特别重大危险化学品生产安全事故，相关部门和单位要及时主动向应急指挥部办公室、有关部门提供与事故应急处置有关的资料。</w:t>
      </w:r>
    </w:p>
    <w:p w14:paraId="2FB6EDE4">
      <w:pPr>
        <w:pStyle w:val="17"/>
        <w:numPr>
          <w:ilvl w:val="0"/>
          <w:numId w:val="16"/>
        </w:numPr>
        <w:spacing w:line="360" w:lineRule="auto"/>
        <w:ind w:left="434" w:hanging="434" w:firstLineChars="0"/>
        <w:jc w:val="left"/>
        <w:rPr>
          <w:rFonts w:ascii="宋体" w:hAnsi="宋体" w:cs="Arial"/>
          <w:kern w:val="0"/>
          <w:sz w:val="28"/>
          <w:szCs w:val="28"/>
        </w:rPr>
      </w:pPr>
      <w:r>
        <w:rPr>
          <w:rFonts w:hint="eastAsia" w:ascii="宋体" w:hAnsi="宋体" w:cs="宋体"/>
          <w:color w:val="000000"/>
          <w:kern w:val="0"/>
          <w:sz w:val="28"/>
          <w:szCs w:val="28"/>
        </w:rPr>
        <w:t>如果事故可能危及毗邻的地区，要及时通报并加强联系和协调</w:t>
      </w:r>
      <w:r>
        <w:rPr>
          <w:rFonts w:ascii="宋体" w:hAnsi="宋体" w:cs="Arial"/>
          <w:kern w:val="0"/>
          <w:sz w:val="28"/>
          <w:szCs w:val="28"/>
        </w:rPr>
        <w:t>。</w:t>
      </w:r>
    </w:p>
    <w:p w14:paraId="24401936">
      <w:pPr>
        <w:pStyle w:val="3"/>
        <w:keepNext w:val="0"/>
        <w:keepLines w:val="0"/>
        <w:spacing w:before="0" w:after="0" w:line="360" w:lineRule="auto"/>
        <w:rPr>
          <w:rFonts w:ascii="宋体" w:hAnsi="宋体"/>
          <w:kern w:val="0"/>
          <w:sz w:val="28"/>
          <w:szCs w:val="28"/>
        </w:rPr>
      </w:pPr>
      <w:bookmarkStart w:id="19" w:name="_Toc184287583"/>
      <w:r>
        <w:rPr>
          <w:rFonts w:hint="eastAsia" w:ascii="宋体" w:hAnsi="宋体"/>
          <w:kern w:val="0"/>
          <w:sz w:val="28"/>
          <w:szCs w:val="28"/>
        </w:rPr>
        <w:t>（三）事故报告的主要内容</w:t>
      </w:r>
      <w:bookmarkEnd w:id="19"/>
    </w:p>
    <w:p w14:paraId="481751B3">
      <w:pPr>
        <w:spacing w:line="360" w:lineRule="auto"/>
        <w:ind w:firstLine="560" w:firstLineChars="200"/>
        <w:jc w:val="left"/>
        <w:rPr>
          <w:rFonts w:ascii="宋体" w:hAnsi="宋体" w:cs="宋体"/>
          <w:kern w:val="0"/>
          <w:sz w:val="28"/>
          <w:szCs w:val="28"/>
        </w:rPr>
      </w:pPr>
      <w:r>
        <w:rPr>
          <w:rFonts w:hint="eastAsia" w:ascii="宋体" w:hAnsi="宋体" w:cs="宋体"/>
          <w:kern w:val="0"/>
          <w:sz w:val="28"/>
          <w:szCs w:val="28"/>
        </w:rPr>
        <w:t>生产经营单位、应急管理局、负有安全生产监督管理职责的行业主管部门、县政府应按照下列内容报告事故情况：</w:t>
      </w:r>
    </w:p>
    <w:p w14:paraId="79591A9B">
      <w:pPr>
        <w:numPr>
          <w:ilvl w:val="0"/>
          <w:numId w:val="17"/>
        </w:numPr>
        <w:spacing w:line="360" w:lineRule="auto"/>
        <w:jc w:val="left"/>
        <w:rPr>
          <w:rFonts w:ascii="宋体" w:hAnsi="宋体" w:cs="宋体"/>
          <w:kern w:val="0"/>
          <w:sz w:val="28"/>
          <w:szCs w:val="28"/>
        </w:rPr>
      </w:pPr>
      <w:r>
        <w:rPr>
          <w:rFonts w:hint="eastAsia" w:ascii="宋体" w:hAnsi="宋体" w:cs="宋体"/>
          <w:kern w:val="0"/>
          <w:sz w:val="28"/>
          <w:szCs w:val="28"/>
        </w:rPr>
        <w:t>事故发生单位名称、地址、性质、产能等基本情况；</w:t>
      </w:r>
    </w:p>
    <w:p w14:paraId="20B98BCA">
      <w:pPr>
        <w:numPr>
          <w:ilvl w:val="0"/>
          <w:numId w:val="17"/>
        </w:numPr>
        <w:spacing w:line="360" w:lineRule="auto"/>
        <w:jc w:val="left"/>
        <w:rPr>
          <w:rFonts w:ascii="宋体" w:hAnsi="宋体" w:cs="宋体"/>
          <w:kern w:val="0"/>
          <w:sz w:val="28"/>
          <w:szCs w:val="28"/>
        </w:rPr>
      </w:pPr>
      <w:r>
        <w:rPr>
          <w:rFonts w:hint="eastAsia" w:ascii="宋体" w:hAnsi="宋体" w:cs="宋体"/>
          <w:kern w:val="0"/>
          <w:sz w:val="28"/>
          <w:szCs w:val="28"/>
        </w:rPr>
        <w:t>事故发生时间、地点以及事故现场情况；</w:t>
      </w:r>
    </w:p>
    <w:p w14:paraId="5930CC86">
      <w:pPr>
        <w:numPr>
          <w:ilvl w:val="0"/>
          <w:numId w:val="17"/>
        </w:numPr>
        <w:spacing w:line="360" w:lineRule="auto"/>
        <w:jc w:val="left"/>
        <w:rPr>
          <w:rFonts w:ascii="宋体" w:hAnsi="宋体" w:cs="宋体"/>
          <w:kern w:val="0"/>
          <w:sz w:val="28"/>
          <w:szCs w:val="28"/>
        </w:rPr>
      </w:pPr>
      <w:r>
        <w:rPr>
          <w:rFonts w:hint="eastAsia" w:ascii="宋体" w:hAnsi="宋体" w:cs="宋体"/>
          <w:kern w:val="0"/>
          <w:sz w:val="28"/>
          <w:szCs w:val="28"/>
        </w:rPr>
        <w:t>事故简要经过（包括抢险救援情况）；</w:t>
      </w:r>
    </w:p>
    <w:p w14:paraId="0EEF774F">
      <w:pPr>
        <w:numPr>
          <w:ilvl w:val="0"/>
          <w:numId w:val="17"/>
        </w:numPr>
        <w:spacing w:line="360" w:lineRule="auto"/>
        <w:jc w:val="left"/>
        <w:rPr>
          <w:rFonts w:ascii="宋体" w:hAnsi="宋体" w:cs="宋体"/>
          <w:kern w:val="0"/>
          <w:sz w:val="28"/>
          <w:szCs w:val="28"/>
        </w:rPr>
      </w:pPr>
      <w:r>
        <w:rPr>
          <w:rFonts w:hint="eastAsia" w:ascii="宋体" w:hAnsi="宋体" w:cs="宋体"/>
          <w:kern w:val="0"/>
          <w:sz w:val="28"/>
          <w:szCs w:val="28"/>
        </w:rPr>
        <w:t>事故已经造成或可能造成的伤亡人数（包括下落不明、涉险的人数），初步估计直接经济损失；</w:t>
      </w:r>
    </w:p>
    <w:p w14:paraId="156E2489">
      <w:pPr>
        <w:numPr>
          <w:ilvl w:val="0"/>
          <w:numId w:val="17"/>
        </w:numPr>
        <w:spacing w:line="360" w:lineRule="auto"/>
        <w:jc w:val="left"/>
        <w:rPr>
          <w:rFonts w:ascii="宋体" w:hAnsi="宋体" w:cs="宋体"/>
          <w:kern w:val="0"/>
          <w:sz w:val="28"/>
          <w:szCs w:val="28"/>
        </w:rPr>
      </w:pPr>
      <w:r>
        <w:rPr>
          <w:rFonts w:hint="eastAsia" w:ascii="宋体" w:hAnsi="宋体" w:cs="宋体"/>
          <w:kern w:val="0"/>
          <w:sz w:val="28"/>
          <w:szCs w:val="28"/>
        </w:rPr>
        <w:t>事故现场草图；</w:t>
      </w:r>
    </w:p>
    <w:p w14:paraId="2907197B">
      <w:pPr>
        <w:numPr>
          <w:ilvl w:val="0"/>
          <w:numId w:val="17"/>
        </w:numPr>
        <w:spacing w:line="360" w:lineRule="auto"/>
        <w:jc w:val="left"/>
        <w:rPr>
          <w:rFonts w:ascii="宋体" w:hAnsi="宋体" w:cs="宋体"/>
          <w:kern w:val="0"/>
          <w:sz w:val="28"/>
          <w:szCs w:val="28"/>
        </w:rPr>
      </w:pPr>
      <w:r>
        <w:rPr>
          <w:rFonts w:hint="eastAsia" w:ascii="宋体" w:hAnsi="宋体" w:cs="宋体"/>
          <w:kern w:val="0"/>
          <w:sz w:val="28"/>
          <w:szCs w:val="28"/>
        </w:rPr>
        <w:t>其他应当报告的情况。</w:t>
      </w:r>
    </w:p>
    <w:p w14:paraId="7E51458F">
      <w:pPr>
        <w:spacing w:line="360" w:lineRule="auto"/>
        <w:ind w:firstLine="560" w:firstLineChars="200"/>
        <w:jc w:val="left"/>
        <w:rPr>
          <w:rFonts w:ascii="宋体" w:hAnsi="宋体" w:cs="宋体"/>
          <w:kern w:val="0"/>
          <w:sz w:val="28"/>
          <w:szCs w:val="28"/>
        </w:rPr>
      </w:pPr>
      <w:r>
        <w:rPr>
          <w:rFonts w:hint="eastAsia" w:ascii="宋体" w:hAnsi="宋体" w:cs="宋体"/>
          <w:kern w:val="0"/>
          <w:sz w:val="28"/>
          <w:szCs w:val="28"/>
        </w:rPr>
        <w:t>事故具体情况暂时不清楚的，应先使用电话快报；30分钟内补报全面的文字报告（包括事故现场草图）。电话快报包括以下内容：</w:t>
      </w:r>
    </w:p>
    <w:p w14:paraId="2AF1D792">
      <w:pPr>
        <w:numPr>
          <w:ilvl w:val="0"/>
          <w:numId w:val="18"/>
        </w:numPr>
        <w:spacing w:line="360" w:lineRule="auto"/>
        <w:jc w:val="left"/>
        <w:rPr>
          <w:rFonts w:ascii="宋体" w:hAnsi="宋体" w:cs="宋体"/>
          <w:kern w:val="0"/>
          <w:sz w:val="28"/>
          <w:szCs w:val="28"/>
        </w:rPr>
      </w:pPr>
      <w:r>
        <w:rPr>
          <w:rFonts w:hint="eastAsia" w:ascii="宋体" w:hAnsi="宋体" w:cs="宋体"/>
          <w:kern w:val="0"/>
          <w:sz w:val="28"/>
          <w:szCs w:val="28"/>
        </w:rPr>
        <w:t>事故发生单位名称、地址、性质；</w:t>
      </w:r>
    </w:p>
    <w:p w14:paraId="59D5B015">
      <w:pPr>
        <w:numPr>
          <w:ilvl w:val="0"/>
          <w:numId w:val="18"/>
        </w:numPr>
        <w:spacing w:line="360" w:lineRule="auto"/>
        <w:jc w:val="left"/>
        <w:rPr>
          <w:rFonts w:ascii="宋体" w:hAnsi="宋体" w:cs="宋体"/>
          <w:kern w:val="0"/>
          <w:sz w:val="28"/>
          <w:szCs w:val="28"/>
        </w:rPr>
      </w:pPr>
      <w:r>
        <w:rPr>
          <w:rFonts w:hint="eastAsia" w:ascii="宋体" w:hAnsi="宋体" w:cs="宋体"/>
          <w:kern w:val="0"/>
          <w:sz w:val="28"/>
          <w:szCs w:val="28"/>
        </w:rPr>
        <w:t>事故发生时间、地点；</w:t>
      </w:r>
    </w:p>
    <w:p w14:paraId="4789DD85">
      <w:pPr>
        <w:numPr>
          <w:ilvl w:val="0"/>
          <w:numId w:val="18"/>
        </w:numPr>
        <w:spacing w:line="360" w:lineRule="auto"/>
        <w:jc w:val="left"/>
        <w:rPr>
          <w:rFonts w:ascii="宋体" w:hAnsi="宋体" w:cs="宋体"/>
          <w:kern w:val="0"/>
          <w:sz w:val="28"/>
          <w:szCs w:val="28"/>
        </w:rPr>
      </w:pPr>
      <w:r>
        <w:rPr>
          <w:rFonts w:hint="eastAsia" w:ascii="宋体" w:hAnsi="宋体" w:cs="宋体"/>
          <w:kern w:val="0"/>
          <w:sz w:val="28"/>
          <w:szCs w:val="28"/>
        </w:rPr>
        <w:t>事故已经造成或可能造成的伤亡人数（包括下落不明、涉险的人数）。</w:t>
      </w:r>
    </w:p>
    <w:p w14:paraId="4F234DCD">
      <w:pPr>
        <w:pStyle w:val="2"/>
        <w:keepNext w:val="0"/>
        <w:keepLines w:val="0"/>
        <w:spacing w:before="0" w:after="0" w:line="360" w:lineRule="auto"/>
        <w:rPr>
          <w:rFonts w:ascii="宋体" w:hAnsi="宋体"/>
          <w:sz w:val="28"/>
          <w:szCs w:val="28"/>
        </w:rPr>
      </w:pPr>
      <w:bookmarkStart w:id="20" w:name="_Toc184287584"/>
      <w:r>
        <w:rPr>
          <w:rFonts w:hint="eastAsia" w:ascii="宋体" w:hAnsi="宋体"/>
          <w:sz w:val="28"/>
          <w:szCs w:val="28"/>
        </w:rPr>
        <w:t>六、</w:t>
      </w:r>
      <w:r>
        <w:rPr>
          <w:rFonts w:ascii="宋体" w:hAnsi="宋体"/>
          <w:sz w:val="28"/>
          <w:szCs w:val="28"/>
        </w:rPr>
        <w:t>应急响应</w:t>
      </w:r>
      <w:bookmarkEnd w:id="20"/>
    </w:p>
    <w:p w14:paraId="62E03FF2">
      <w:pPr>
        <w:pStyle w:val="3"/>
        <w:keepNext w:val="0"/>
        <w:keepLines w:val="0"/>
        <w:spacing w:before="0" w:after="0" w:line="360" w:lineRule="auto"/>
        <w:rPr>
          <w:rFonts w:ascii="宋体" w:hAnsi="宋体"/>
          <w:kern w:val="0"/>
          <w:sz w:val="28"/>
          <w:szCs w:val="28"/>
        </w:rPr>
      </w:pPr>
      <w:bookmarkStart w:id="21" w:name="_Toc184287585"/>
      <w:r>
        <w:rPr>
          <w:rFonts w:hint="eastAsia" w:ascii="宋体" w:hAnsi="宋体"/>
          <w:kern w:val="0"/>
          <w:sz w:val="28"/>
          <w:szCs w:val="28"/>
        </w:rPr>
        <w:t>（一）</w:t>
      </w:r>
      <w:r>
        <w:rPr>
          <w:rFonts w:ascii="宋体" w:hAnsi="宋体"/>
          <w:kern w:val="0"/>
          <w:sz w:val="28"/>
          <w:szCs w:val="28"/>
        </w:rPr>
        <w:t>分级响应</w:t>
      </w:r>
      <w:bookmarkEnd w:id="21"/>
    </w:p>
    <w:p w14:paraId="5D4F0D0E">
      <w:pPr>
        <w:spacing w:line="360" w:lineRule="auto"/>
        <w:ind w:firstLine="560" w:firstLineChars="200"/>
        <w:jc w:val="left"/>
        <w:rPr>
          <w:rFonts w:ascii="宋体" w:hAnsi="宋体" w:cs="Arial"/>
          <w:kern w:val="0"/>
          <w:sz w:val="28"/>
          <w:szCs w:val="28"/>
        </w:rPr>
      </w:pPr>
      <w:r>
        <w:rPr>
          <w:rFonts w:hint="eastAsia" w:ascii="宋体" w:hAnsi="宋体" w:cs="Arial"/>
          <w:kern w:val="0"/>
          <w:sz w:val="28"/>
          <w:szCs w:val="28"/>
        </w:rPr>
        <w:t>按照生产安全事故分级标准，</w:t>
      </w:r>
      <w:r>
        <w:rPr>
          <w:rFonts w:ascii="宋体" w:hAnsi="宋体" w:cs="Arial"/>
          <w:kern w:val="0"/>
          <w:sz w:val="28"/>
          <w:szCs w:val="28"/>
        </w:rPr>
        <w:t>危险化学品生产</w:t>
      </w:r>
      <w:r>
        <w:rPr>
          <w:rFonts w:hint="eastAsia" w:ascii="宋体" w:hAnsi="宋体" w:cs="Arial"/>
          <w:kern w:val="0"/>
          <w:sz w:val="28"/>
          <w:szCs w:val="28"/>
        </w:rPr>
        <w:t>安全</w:t>
      </w:r>
      <w:r>
        <w:rPr>
          <w:rFonts w:ascii="宋体" w:hAnsi="宋体" w:cs="Arial"/>
          <w:kern w:val="0"/>
          <w:sz w:val="28"/>
          <w:szCs w:val="28"/>
        </w:rPr>
        <w:t>事故应急响应由高到低分为四个等级：</w:t>
      </w:r>
      <w:r>
        <w:rPr>
          <w:rFonts w:hint="eastAsia" w:ascii="宋体" w:hAnsi="宋体" w:cs="宋体"/>
          <w:kern w:val="0"/>
          <w:sz w:val="28"/>
          <w:szCs w:val="28"/>
        </w:rPr>
        <w:t>Ⅰ</w:t>
      </w:r>
      <w:r>
        <w:rPr>
          <w:rFonts w:ascii="宋体" w:hAnsi="宋体" w:cs="Arial"/>
          <w:kern w:val="0"/>
          <w:sz w:val="28"/>
          <w:szCs w:val="28"/>
        </w:rPr>
        <w:t>级响应、</w:t>
      </w:r>
      <w:r>
        <w:rPr>
          <w:rFonts w:hint="eastAsia" w:ascii="宋体" w:hAnsi="宋体" w:cs="宋体"/>
          <w:kern w:val="0"/>
          <w:sz w:val="28"/>
          <w:szCs w:val="28"/>
        </w:rPr>
        <w:t>Ⅱ</w:t>
      </w:r>
      <w:r>
        <w:rPr>
          <w:rFonts w:ascii="宋体" w:hAnsi="宋体" w:cs="Arial"/>
          <w:kern w:val="0"/>
          <w:sz w:val="28"/>
          <w:szCs w:val="28"/>
        </w:rPr>
        <w:t>级响应、</w:t>
      </w:r>
      <w:r>
        <w:rPr>
          <w:rFonts w:hint="eastAsia" w:ascii="宋体" w:hAnsi="宋体" w:cs="宋体"/>
          <w:kern w:val="0"/>
          <w:sz w:val="28"/>
          <w:szCs w:val="28"/>
        </w:rPr>
        <w:t>Ⅲ</w:t>
      </w:r>
      <w:r>
        <w:rPr>
          <w:rFonts w:ascii="宋体" w:hAnsi="宋体" w:cs="Arial"/>
          <w:kern w:val="0"/>
          <w:sz w:val="28"/>
          <w:szCs w:val="28"/>
        </w:rPr>
        <w:t>级响应、</w:t>
      </w:r>
      <w:r>
        <w:rPr>
          <w:rFonts w:hint="eastAsia" w:ascii="宋体" w:hAnsi="宋体" w:cs="宋体"/>
          <w:kern w:val="0"/>
          <w:sz w:val="28"/>
          <w:szCs w:val="28"/>
        </w:rPr>
        <w:t>Ⅳ</w:t>
      </w:r>
      <w:r>
        <w:rPr>
          <w:rFonts w:ascii="宋体" w:hAnsi="宋体" w:cs="Arial"/>
          <w:kern w:val="0"/>
          <w:sz w:val="28"/>
          <w:szCs w:val="28"/>
        </w:rPr>
        <w:t>级响应。</w:t>
      </w:r>
    </w:p>
    <w:p w14:paraId="222D5215">
      <w:pPr>
        <w:numPr>
          <w:ilvl w:val="0"/>
          <w:numId w:val="19"/>
        </w:numPr>
        <w:spacing w:line="360" w:lineRule="auto"/>
        <w:jc w:val="left"/>
        <w:rPr>
          <w:rFonts w:ascii="宋体" w:hAnsi="宋体" w:cs="Arial"/>
          <w:kern w:val="0"/>
          <w:sz w:val="28"/>
          <w:szCs w:val="28"/>
        </w:rPr>
      </w:pPr>
      <w:r>
        <w:rPr>
          <w:rFonts w:ascii="宋体" w:hAnsi="宋体" w:cs="Arial"/>
          <w:kern w:val="0"/>
          <w:sz w:val="28"/>
          <w:szCs w:val="28"/>
        </w:rPr>
        <w:t>出现下列情况之一的，启动</w:t>
      </w:r>
      <w:r>
        <w:rPr>
          <w:rFonts w:hint="eastAsia" w:ascii="宋体" w:hAnsi="宋体" w:cs="Arial"/>
          <w:kern w:val="0"/>
          <w:sz w:val="28"/>
          <w:szCs w:val="28"/>
        </w:rPr>
        <w:t>Ⅳ</w:t>
      </w:r>
      <w:r>
        <w:rPr>
          <w:rFonts w:ascii="宋体" w:hAnsi="宋体" w:cs="Arial"/>
          <w:kern w:val="0"/>
          <w:sz w:val="28"/>
          <w:szCs w:val="28"/>
        </w:rPr>
        <w:t>级响应</w:t>
      </w:r>
      <w:r>
        <w:rPr>
          <w:rFonts w:hint="eastAsia" w:ascii="宋体" w:hAnsi="宋体" w:cs="Arial"/>
          <w:kern w:val="0"/>
          <w:sz w:val="28"/>
          <w:szCs w:val="28"/>
        </w:rPr>
        <w:t>：</w:t>
      </w:r>
    </w:p>
    <w:p w14:paraId="1282CE15">
      <w:pPr>
        <w:numPr>
          <w:ilvl w:val="0"/>
          <w:numId w:val="20"/>
        </w:numPr>
        <w:spacing w:line="360" w:lineRule="auto"/>
        <w:jc w:val="left"/>
        <w:rPr>
          <w:rFonts w:ascii="宋体" w:hAnsi="宋体" w:cs="Arial"/>
          <w:kern w:val="0"/>
          <w:sz w:val="28"/>
          <w:szCs w:val="28"/>
        </w:rPr>
      </w:pPr>
      <w:r>
        <w:rPr>
          <w:rFonts w:ascii="宋体" w:hAnsi="宋体" w:cs="Arial"/>
          <w:kern w:val="0"/>
          <w:sz w:val="28"/>
          <w:szCs w:val="28"/>
        </w:rPr>
        <w:t>造成3人以下死亡(含失踪)，或10人以下重伤，或直接经济损失1000万元以下的一般危险化学品生产安全事故。</w:t>
      </w:r>
    </w:p>
    <w:p w14:paraId="667C4DD3">
      <w:pPr>
        <w:numPr>
          <w:ilvl w:val="0"/>
          <w:numId w:val="20"/>
        </w:numPr>
        <w:spacing w:line="360" w:lineRule="auto"/>
        <w:jc w:val="left"/>
        <w:rPr>
          <w:rFonts w:ascii="宋体" w:hAnsi="宋体" w:cs="Arial"/>
          <w:kern w:val="0"/>
          <w:sz w:val="28"/>
          <w:szCs w:val="28"/>
        </w:rPr>
      </w:pPr>
      <w:r>
        <w:rPr>
          <w:rFonts w:hint="eastAsia" w:ascii="宋体" w:hAnsi="宋体" w:cs="Arial"/>
          <w:kern w:val="0"/>
          <w:sz w:val="28"/>
          <w:szCs w:val="28"/>
        </w:rPr>
        <w:t>县危险化学品生产安全事故应急指挥部</w:t>
      </w:r>
      <w:r>
        <w:rPr>
          <w:rFonts w:ascii="宋体" w:hAnsi="宋体" w:cs="Arial"/>
          <w:kern w:val="0"/>
          <w:sz w:val="28"/>
          <w:szCs w:val="28"/>
        </w:rPr>
        <w:t>认为有必要响应的危险化学品生产安全事故。</w:t>
      </w:r>
    </w:p>
    <w:p w14:paraId="497FD237">
      <w:pPr>
        <w:numPr>
          <w:ilvl w:val="0"/>
          <w:numId w:val="19"/>
        </w:numPr>
        <w:spacing w:line="360" w:lineRule="auto"/>
        <w:jc w:val="left"/>
        <w:rPr>
          <w:rFonts w:ascii="宋体" w:hAnsi="宋体" w:cs="Arial"/>
          <w:kern w:val="0"/>
          <w:sz w:val="28"/>
          <w:szCs w:val="28"/>
        </w:rPr>
      </w:pPr>
      <w:r>
        <w:rPr>
          <w:rFonts w:ascii="宋体" w:hAnsi="宋体" w:cs="Arial"/>
          <w:kern w:val="0"/>
          <w:sz w:val="28"/>
          <w:szCs w:val="28"/>
        </w:rPr>
        <w:t>出现下列情况之一的，启动</w:t>
      </w:r>
      <w:r>
        <w:rPr>
          <w:rFonts w:hint="eastAsia" w:ascii="宋体" w:hAnsi="宋体" w:cs="宋体"/>
          <w:kern w:val="0"/>
          <w:sz w:val="28"/>
          <w:szCs w:val="28"/>
        </w:rPr>
        <w:t>Ⅲ</w:t>
      </w:r>
      <w:r>
        <w:rPr>
          <w:rFonts w:ascii="宋体" w:hAnsi="宋体" w:cs="Arial"/>
          <w:kern w:val="0"/>
          <w:sz w:val="28"/>
          <w:szCs w:val="28"/>
        </w:rPr>
        <w:t>级响应</w:t>
      </w:r>
      <w:r>
        <w:rPr>
          <w:rFonts w:hint="eastAsia" w:ascii="宋体" w:hAnsi="宋体" w:cs="Arial"/>
          <w:kern w:val="0"/>
          <w:sz w:val="28"/>
          <w:szCs w:val="28"/>
        </w:rPr>
        <w:t>：</w:t>
      </w:r>
    </w:p>
    <w:p w14:paraId="0257CDA8">
      <w:pPr>
        <w:numPr>
          <w:ilvl w:val="0"/>
          <w:numId w:val="21"/>
        </w:numPr>
        <w:spacing w:line="360" w:lineRule="auto"/>
        <w:jc w:val="left"/>
        <w:rPr>
          <w:rFonts w:ascii="宋体" w:hAnsi="宋体" w:cs="Arial"/>
          <w:kern w:val="0"/>
          <w:sz w:val="28"/>
          <w:szCs w:val="28"/>
        </w:rPr>
      </w:pPr>
      <w:r>
        <w:rPr>
          <w:rFonts w:ascii="宋体" w:hAnsi="宋体" w:cs="Arial"/>
          <w:kern w:val="0"/>
          <w:sz w:val="28"/>
          <w:szCs w:val="28"/>
        </w:rPr>
        <w:t>造成3人以上、10人以下死亡(含失踪)，或10人以上、50人以下重伤（中毒），或直接经济损失1000万元以上、5000万元以下的较大危险化学品生产安全事故</w:t>
      </w:r>
      <w:r>
        <w:rPr>
          <w:rFonts w:hint="eastAsia" w:ascii="宋体" w:hAnsi="宋体" w:cs="Arial"/>
          <w:kern w:val="0"/>
          <w:sz w:val="28"/>
          <w:szCs w:val="28"/>
        </w:rPr>
        <w:t>。</w:t>
      </w:r>
    </w:p>
    <w:p w14:paraId="0A8121EE">
      <w:pPr>
        <w:numPr>
          <w:ilvl w:val="0"/>
          <w:numId w:val="21"/>
        </w:numPr>
        <w:spacing w:line="360" w:lineRule="auto"/>
        <w:jc w:val="left"/>
        <w:rPr>
          <w:rFonts w:ascii="宋体" w:hAnsi="宋体" w:cs="Arial"/>
          <w:kern w:val="0"/>
          <w:sz w:val="28"/>
          <w:szCs w:val="28"/>
        </w:rPr>
      </w:pPr>
      <w:r>
        <w:rPr>
          <w:rFonts w:hint="eastAsia" w:ascii="宋体" w:hAnsi="宋体" w:cs="Arial"/>
          <w:kern w:val="0"/>
          <w:sz w:val="28"/>
          <w:szCs w:val="28"/>
        </w:rPr>
        <w:t>超出县级政府应急处置能力的危险化学品生产安全事故。</w:t>
      </w:r>
    </w:p>
    <w:p w14:paraId="5A0ABAB2">
      <w:pPr>
        <w:numPr>
          <w:ilvl w:val="0"/>
          <w:numId w:val="21"/>
        </w:numPr>
        <w:spacing w:line="360" w:lineRule="auto"/>
        <w:jc w:val="left"/>
        <w:rPr>
          <w:rFonts w:ascii="宋体" w:hAnsi="宋体" w:cs="Arial"/>
          <w:kern w:val="0"/>
          <w:sz w:val="28"/>
          <w:szCs w:val="28"/>
        </w:rPr>
      </w:pPr>
      <w:r>
        <w:rPr>
          <w:rFonts w:hint="eastAsia" w:ascii="宋体" w:hAnsi="宋体" w:cs="Arial"/>
          <w:kern w:val="0"/>
          <w:sz w:val="28"/>
          <w:szCs w:val="28"/>
        </w:rPr>
        <w:t>事故影响超出县行政区域。</w:t>
      </w:r>
    </w:p>
    <w:p w14:paraId="2D3CE055">
      <w:pPr>
        <w:numPr>
          <w:ilvl w:val="0"/>
          <w:numId w:val="21"/>
        </w:numPr>
        <w:spacing w:line="360" w:lineRule="auto"/>
        <w:jc w:val="left"/>
        <w:rPr>
          <w:rFonts w:ascii="宋体" w:hAnsi="宋体" w:cs="Arial"/>
          <w:kern w:val="0"/>
          <w:sz w:val="28"/>
          <w:szCs w:val="28"/>
        </w:rPr>
      </w:pPr>
      <w:r>
        <w:rPr>
          <w:rFonts w:hint="eastAsia" w:ascii="宋体" w:hAnsi="宋体" w:cs="Arial"/>
          <w:kern w:val="0"/>
          <w:sz w:val="28"/>
          <w:szCs w:val="28"/>
        </w:rPr>
        <w:t>市级危险化学品生产安全事故应急指挥机构认为有必要响应的事故</w:t>
      </w:r>
      <w:r>
        <w:rPr>
          <w:rFonts w:ascii="宋体" w:hAnsi="宋体" w:cs="Arial"/>
          <w:kern w:val="0"/>
          <w:sz w:val="28"/>
          <w:szCs w:val="28"/>
        </w:rPr>
        <w:t>。</w:t>
      </w:r>
    </w:p>
    <w:p w14:paraId="0590FA25">
      <w:pPr>
        <w:numPr>
          <w:ilvl w:val="0"/>
          <w:numId w:val="19"/>
        </w:numPr>
        <w:spacing w:line="360" w:lineRule="auto"/>
        <w:jc w:val="left"/>
        <w:rPr>
          <w:rFonts w:ascii="宋体" w:hAnsi="宋体" w:cs="Arial"/>
          <w:kern w:val="0"/>
          <w:sz w:val="28"/>
          <w:szCs w:val="28"/>
        </w:rPr>
      </w:pPr>
      <w:r>
        <w:rPr>
          <w:rFonts w:ascii="宋体" w:hAnsi="宋体" w:cs="Arial"/>
          <w:kern w:val="0"/>
          <w:sz w:val="28"/>
          <w:szCs w:val="28"/>
        </w:rPr>
        <w:t>出现下列情况之一的，启动</w:t>
      </w:r>
      <w:r>
        <w:rPr>
          <w:rFonts w:hint="eastAsia" w:ascii="宋体" w:hAnsi="宋体" w:cs="Arial"/>
          <w:kern w:val="0"/>
          <w:sz w:val="28"/>
          <w:szCs w:val="28"/>
        </w:rPr>
        <w:t>Ⅱ</w:t>
      </w:r>
      <w:r>
        <w:rPr>
          <w:rFonts w:ascii="宋体" w:hAnsi="宋体" w:cs="Arial"/>
          <w:kern w:val="0"/>
          <w:sz w:val="28"/>
          <w:szCs w:val="28"/>
        </w:rPr>
        <w:t>级应急响应</w:t>
      </w:r>
      <w:r>
        <w:rPr>
          <w:rFonts w:hint="eastAsia" w:ascii="宋体" w:hAnsi="宋体" w:cs="Arial"/>
          <w:kern w:val="0"/>
          <w:sz w:val="28"/>
          <w:szCs w:val="28"/>
        </w:rPr>
        <w:t>：</w:t>
      </w:r>
    </w:p>
    <w:p w14:paraId="12F5CDFF">
      <w:pPr>
        <w:numPr>
          <w:ilvl w:val="0"/>
          <w:numId w:val="22"/>
        </w:numPr>
        <w:spacing w:line="360" w:lineRule="auto"/>
        <w:jc w:val="left"/>
        <w:rPr>
          <w:rFonts w:ascii="宋体" w:hAnsi="宋体" w:cs="Arial"/>
          <w:kern w:val="0"/>
          <w:sz w:val="28"/>
          <w:szCs w:val="28"/>
        </w:rPr>
      </w:pPr>
      <w:r>
        <w:rPr>
          <w:rFonts w:hint="eastAsia" w:ascii="宋体" w:hAnsi="宋体" w:cs="Arial"/>
          <w:kern w:val="0"/>
          <w:sz w:val="28"/>
          <w:szCs w:val="28"/>
        </w:rPr>
        <w:t>造成10人以上、30人以下死亡(含失踪)，或危及10人以上、30人以下生命安全，或50人以上、100人以下重伤（中毒），或直接经济损失5000万元以上、1亿元以下的重大危险化学品生产安全事故。</w:t>
      </w:r>
    </w:p>
    <w:p w14:paraId="099A30D7">
      <w:pPr>
        <w:pStyle w:val="27"/>
        <w:numPr>
          <w:ilvl w:val="0"/>
          <w:numId w:val="22"/>
        </w:numPr>
        <w:ind w:firstLineChars="0"/>
        <w:rPr>
          <w:rFonts w:ascii="宋体" w:hAnsi="宋体" w:eastAsia="宋体" w:cs="Arial"/>
          <w:kern w:val="0"/>
          <w:sz w:val="28"/>
          <w:szCs w:val="28"/>
        </w:rPr>
      </w:pPr>
      <w:r>
        <w:rPr>
          <w:rFonts w:hint="eastAsia" w:ascii="宋体" w:hAnsi="宋体" w:eastAsia="宋体" w:cs="Arial"/>
          <w:kern w:val="0"/>
          <w:sz w:val="28"/>
          <w:szCs w:val="28"/>
        </w:rPr>
        <w:t>超出市级政府应急处置能力的危险化学品生产安全事故。</w:t>
      </w:r>
    </w:p>
    <w:p w14:paraId="743AA5D5">
      <w:pPr>
        <w:numPr>
          <w:ilvl w:val="0"/>
          <w:numId w:val="22"/>
        </w:numPr>
        <w:spacing w:line="360" w:lineRule="auto"/>
        <w:jc w:val="left"/>
        <w:rPr>
          <w:rFonts w:ascii="宋体" w:hAnsi="宋体" w:cs="Arial"/>
          <w:kern w:val="0"/>
          <w:sz w:val="28"/>
          <w:szCs w:val="28"/>
        </w:rPr>
      </w:pPr>
      <w:r>
        <w:rPr>
          <w:rFonts w:hint="eastAsia" w:ascii="宋体" w:hAnsi="宋体" w:cs="Arial"/>
          <w:kern w:val="0"/>
          <w:sz w:val="28"/>
          <w:szCs w:val="28"/>
        </w:rPr>
        <w:t>事故影响超出佳木斯市行政区域。</w:t>
      </w:r>
    </w:p>
    <w:p w14:paraId="33FE0F0D">
      <w:pPr>
        <w:numPr>
          <w:ilvl w:val="0"/>
          <w:numId w:val="22"/>
        </w:numPr>
        <w:spacing w:line="360" w:lineRule="auto"/>
        <w:jc w:val="left"/>
        <w:rPr>
          <w:rFonts w:ascii="宋体" w:hAnsi="宋体" w:cs="Arial"/>
          <w:kern w:val="0"/>
          <w:sz w:val="28"/>
          <w:szCs w:val="28"/>
        </w:rPr>
      </w:pPr>
      <w:r>
        <w:rPr>
          <w:rFonts w:hint="eastAsia" w:ascii="宋体" w:hAnsi="宋体" w:cs="Arial"/>
          <w:kern w:val="0"/>
          <w:sz w:val="28"/>
          <w:szCs w:val="28"/>
        </w:rPr>
        <w:t>黑龙江省政府认为有必要响应的危险化学品生产安全事故</w:t>
      </w:r>
      <w:r>
        <w:rPr>
          <w:rFonts w:ascii="宋体" w:hAnsi="宋体" w:cs="Arial"/>
          <w:kern w:val="0"/>
          <w:sz w:val="28"/>
          <w:szCs w:val="28"/>
        </w:rPr>
        <w:t>。</w:t>
      </w:r>
    </w:p>
    <w:p w14:paraId="739BA20D">
      <w:pPr>
        <w:numPr>
          <w:ilvl w:val="0"/>
          <w:numId w:val="19"/>
        </w:numPr>
        <w:spacing w:line="360" w:lineRule="auto"/>
        <w:jc w:val="left"/>
        <w:rPr>
          <w:rFonts w:ascii="宋体" w:hAnsi="宋体" w:cs="Arial"/>
          <w:kern w:val="0"/>
          <w:sz w:val="28"/>
          <w:szCs w:val="28"/>
        </w:rPr>
      </w:pPr>
      <w:r>
        <w:rPr>
          <w:rFonts w:ascii="宋体" w:hAnsi="宋体" w:cs="Arial"/>
          <w:kern w:val="0"/>
          <w:sz w:val="28"/>
          <w:szCs w:val="28"/>
        </w:rPr>
        <w:t>出现下列情况之一的，启动</w:t>
      </w:r>
      <w:r>
        <w:rPr>
          <w:rFonts w:hint="eastAsia" w:ascii="宋体" w:hAnsi="宋体" w:cs="宋体"/>
          <w:kern w:val="0"/>
          <w:sz w:val="28"/>
          <w:szCs w:val="28"/>
        </w:rPr>
        <w:t>Ⅰ</w:t>
      </w:r>
      <w:r>
        <w:rPr>
          <w:rFonts w:ascii="宋体" w:hAnsi="宋体" w:cs="Arial"/>
          <w:kern w:val="0"/>
          <w:sz w:val="28"/>
          <w:szCs w:val="28"/>
        </w:rPr>
        <w:t>级响应：</w:t>
      </w:r>
    </w:p>
    <w:p w14:paraId="07C0BA9A">
      <w:pPr>
        <w:numPr>
          <w:ilvl w:val="0"/>
          <w:numId w:val="23"/>
        </w:numPr>
        <w:spacing w:line="360" w:lineRule="auto"/>
        <w:jc w:val="left"/>
        <w:rPr>
          <w:rFonts w:ascii="宋体" w:hAnsi="宋体" w:cs="Arial"/>
          <w:kern w:val="0"/>
          <w:sz w:val="28"/>
          <w:szCs w:val="28"/>
        </w:rPr>
      </w:pPr>
      <w:r>
        <w:rPr>
          <w:rFonts w:hint="eastAsia" w:ascii="宋体" w:hAnsi="宋体" w:cs="Arial"/>
          <w:kern w:val="0"/>
          <w:sz w:val="28"/>
          <w:szCs w:val="28"/>
        </w:rPr>
        <w:t>造成30人以上死亡(含失踪)，或危及30人以上生命安全，或100人以上重伤（中毒），或直接经济损失1亿元以上的特别重大危险化学品生产安全事故。</w:t>
      </w:r>
    </w:p>
    <w:p w14:paraId="0E3618A5">
      <w:pPr>
        <w:numPr>
          <w:ilvl w:val="0"/>
          <w:numId w:val="23"/>
        </w:numPr>
        <w:spacing w:line="360" w:lineRule="auto"/>
        <w:jc w:val="left"/>
        <w:rPr>
          <w:rFonts w:ascii="宋体" w:hAnsi="宋体" w:cs="Arial"/>
          <w:kern w:val="0"/>
          <w:sz w:val="28"/>
          <w:szCs w:val="28"/>
        </w:rPr>
      </w:pPr>
      <w:r>
        <w:rPr>
          <w:rFonts w:hint="eastAsia" w:ascii="宋体" w:hAnsi="宋体" w:cs="Arial"/>
          <w:kern w:val="0"/>
          <w:sz w:val="28"/>
          <w:szCs w:val="28"/>
        </w:rPr>
        <w:t>事故严重危及周边社区、居民的生命财产安全，造成特别重大社会影响，事态发展严重，亟待国家级救援力量</w:t>
      </w:r>
      <w:r>
        <w:rPr>
          <w:rFonts w:ascii="宋体" w:hAnsi="宋体" w:cs="Arial"/>
          <w:kern w:val="0"/>
          <w:sz w:val="28"/>
          <w:szCs w:val="28"/>
        </w:rPr>
        <w:t>。</w:t>
      </w:r>
    </w:p>
    <w:p w14:paraId="69278F6F">
      <w:pPr>
        <w:pStyle w:val="3"/>
        <w:keepNext w:val="0"/>
        <w:keepLines w:val="0"/>
        <w:spacing w:before="0" w:after="0" w:line="360" w:lineRule="auto"/>
        <w:rPr>
          <w:rFonts w:ascii="宋体" w:hAnsi="宋体"/>
          <w:kern w:val="0"/>
          <w:sz w:val="28"/>
          <w:szCs w:val="28"/>
        </w:rPr>
      </w:pPr>
      <w:bookmarkStart w:id="22" w:name="_Toc184287586"/>
      <w:r>
        <w:rPr>
          <w:rFonts w:hint="eastAsia" w:ascii="宋体" w:hAnsi="宋体"/>
          <w:kern w:val="0"/>
          <w:sz w:val="28"/>
          <w:szCs w:val="28"/>
        </w:rPr>
        <w:t>（二）</w:t>
      </w:r>
      <w:r>
        <w:rPr>
          <w:rFonts w:ascii="宋体" w:hAnsi="宋体"/>
          <w:kern w:val="0"/>
          <w:sz w:val="28"/>
          <w:szCs w:val="28"/>
        </w:rPr>
        <w:t>响应程序</w:t>
      </w:r>
      <w:bookmarkEnd w:id="22"/>
    </w:p>
    <w:p w14:paraId="2B22C81C">
      <w:pPr>
        <w:numPr>
          <w:ilvl w:val="0"/>
          <w:numId w:val="24"/>
        </w:numPr>
        <w:spacing w:line="360" w:lineRule="auto"/>
        <w:jc w:val="left"/>
        <w:rPr>
          <w:rFonts w:ascii="宋体" w:hAnsi="宋体" w:cs="Arial"/>
          <w:kern w:val="0"/>
          <w:sz w:val="28"/>
          <w:szCs w:val="28"/>
        </w:rPr>
      </w:pPr>
      <w:r>
        <w:rPr>
          <w:rFonts w:hint="eastAsia" w:ascii="宋体" w:hAnsi="宋体" w:cs="宋体"/>
          <w:kern w:val="0"/>
          <w:sz w:val="28"/>
          <w:szCs w:val="28"/>
        </w:rPr>
        <w:t>Ⅳ</w:t>
      </w:r>
      <w:r>
        <w:rPr>
          <w:rFonts w:ascii="宋体" w:hAnsi="宋体" w:cs="Arial"/>
          <w:kern w:val="0"/>
          <w:sz w:val="28"/>
          <w:szCs w:val="28"/>
        </w:rPr>
        <w:t>级应急响应启动</w:t>
      </w:r>
    </w:p>
    <w:p w14:paraId="7342700E">
      <w:pPr>
        <w:numPr>
          <w:ilvl w:val="0"/>
          <w:numId w:val="25"/>
        </w:numPr>
        <w:spacing w:line="360" w:lineRule="auto"/>
        <w:jc w:val="left"/>
        <w:rPr>
          <w:rFonts w:ascii="宋体" w:hAnsi="宋体" w:cs="Arial"/>
          <w:kern w:val="0"/>
          <w:sz w:val="28"/>
          <w:szCs w:val="28"/>
        </w:rPr>
      </w:pPr>
      <w:r>
        <w:rPr>
          <w:rFonts w:ascii="宋体" w:hAnsi="宋体" w:cs="Arial"/>
          <w:kern w:val="0"/>
          <w:sz w:val="28"/>
          <w:szCs w:val="28"/>
        </w:rPr>
        <w:t>危险化学品企业发生生产安全事故后</w:t>
      </w:r>
      <w:r>
        <w:rPr>
          <w:rFonts w:hint="eastAsia" w:ascii="宋体" w:hAnsi="宋体" w:cs="Arial"/>
          <w:kern w:val="0"/>
          <w:sz w:val="28"/>
          <w:szCs w:val="28"/>
        </w:rPr>
        <w:t>，企业负责人</w:t>
      </w:r>
      <w:r>
        <w:rPr>
          <w:rFonts w:ascii="宋体" w:hAnsi="宋体" w:cs="Arial"/>
          <w:kern w:val="0"/>
          <w:sz w:val="28"/>
          <w:szCs w:val="28"/>
        </w:rPr>
        <w:t>立即组织内部应急救援队伍实施救援</w:t>
      </w:r>
      <w:r>
        <w:rPr>
          <w:rFonts w:hint="eastAsia" w:ascii="宋体" w:hAnsi="宋体" w:cs="Arial"/>
          <w:kern w:val="0"/>
          <w:sz w:val="28"/>
          <w:szCs w:val="28"/>
        </w:rPr>
        <w:t>。</w:t>
      </w:r>
    </w:p>
    <w:p w14:paraId="240F1A2A">
      <w:pPr>
        <w:pStyle w:val="27"/>
        <w:numPr>
          <w:ilvl w:val="0"/>
          <w:numId w:val="25"/>
        </w:numPr>
        <w:ind w:firstLineChars="0"/>
        <w:rPr>
          <w:rFonts w:ascii="宋体" w:hAnsi="宋体" w:eastAsia="宋体" w:cs="Arial"/>
          <w:kern w:val="0"/>
          <w:sz w:val="28"/>
          <w:szCs w:val="28"/>
        </w:rPr>
      </w:pPr>
      <w:r>
        <w:rPr>
          <w:rFonts w:hint="eastAsia" w:ascii="宋体" w:hAnsi="宋体" w:eastAsia="宋体" w:cs="Arial"/>
          <w:kern w:val="0"/>
          <w:sz w:val="28"/>
          <w:szCs w:val="28"/>
        </w:rPr>
        <w:t>各乡镇人民政府、社区办、社区管委会、经开区管委会、有关部门立即启动并实施本部门应急预案，协调组织应急力量开展应急救援等工作。</w:t>
      </w:r>
    </w:p>
    <w:p w14:paraId="0947496F">
      <w:pPr>
        <w:numPr>
          <w:ilvl w:val="0"/>
          <w:numId w:val="25"/>
        </w:numPr>
        <w:spacing w:line="360" w:lineRule="auto"/>
        <w:jc w:val="left"/>
        <w:rPr>
          <w:rFonts w:ascii="宋体" w:hAnsi="宋体" w:cs="Arial"/>
          <w:kern w:val="0"/>
          <w:sz w:val="28"/>
          <w:szCs w:val="28"/>
        </w:rPr>
      </w:pPr>
      <w:r>
        <w:rPr>
          <w:rFonts w:hint="eastAsia" w:ascii="宋体" w:hAnsi="宋体" w:cs="Arial"/>
          <w:kern w:val="0"/>
          <w:sz w:val="28"/>
          <w:szCs w:val="28"/>
        </w:rPr>
        <w:t>如果内部救援力量不足无法控制事态发展，或者事故有扩大风险，事故单位负责人应立即拨打119联动报警电话，请求专业救援队伍支援。</w:t>
      </w:r>
    </w:p>
    <w:p w14:paraId="3A30CF54">
      <w:pPr>
        <w:numPr>
          <w:ilvl w:val="0"/>
          <w:numId w:val="25"/>
        </w:numPr>
        <w:spacing w:line="360" w:lineRule="auto"/>
        <w:jc w:val="left"/>
        <w:rPr>
          <w:rFonts w:ascii="宋体" w:hAnsi="宋体" w:cs="Arial"/>
          <w:kern w:val="0"/>
          <w:sz w:val="28"/>
          <w:szCs w:val="28"/>
        </w:rPr>
      </w:pPr>
      <w:r>
        <w:rPr>
          <w:rFonts w:hint="eastAsia" w:ascii="宋体" w:hAnsi="宋体" w:cs="Arial"/>
          <w:kern w:val="0"/>
          <w:sz w:val="28"/>
          <w:szCs w:val="28"/>
        </w:rPr>
        <w:t>县应急管理局</w:t>
      </w:r>
      <w:r>
        <w:rPr>
          <w:rFonts w:ascii="宋体" w:hAnsi="宋体" w:cs="Arial"/>
          <w:kern w:val="0"/>
          <w:sz w:val="28"/>
          <w:szCs w:val="28"/>
        </w:rPr>
        <w:t>接到事故报告后</w:t>
      </w:r>
      <w:r>
        <w:rPr>
          <w:rFonts w:hint="eastAsia" w:ascii="宋体" w:hAnsi="宋体" w:cs="Arial"/>
          <w:kern w:val="0"/>
          <w:sz w:val="28"/>
          <w:szCs w:val="28"/>
        </w:rPr>
        <w:t>，及时报告</w:t>
      </w:r>
      <w:r>
        <w:rPr>
          <w:rFonts w:ascii="宋体" w:hAnsi="宋体" w:cs="Arial"/>
          <w:kern w:val="0"/>
          <w:sz w:val="28"/>
          <w:szCs w:val="28"/>
        </w:rPr>
        <w:t>县应急指挥部负责人</w:t>
      </w:r>
      <w:r>
        <w:rPr>
          <w:rFonts w:hint="eastAsia" w:ascii="宋体" w:hAnsi="宋体" w:cs="Arial"/>
          <w:kern w:val="0"/>
          <w:sz w:val="28"/>
          <w:szCs w:val="28"/>
        </w:rPr>
        <w:t>，经批准后启动Ⅳ</w:t>
      </w:r>
      <w:r>
        <w:rPr>
          <w:rFonts w:ascii="宋体" w:hAnsi="宋体" w:cs="Arial"/>
          <w:kern w:val="0"/>
          <w:sz w:val="28"/>
          <w:szCs w:val="28"/>
        </w:rPr>
        <w:t>级应急响应</w:t>
      </w:r>
      <w:r>
        <w:rPr>
          <w:rFonts w:hint="eastAsia" w:ascii="宋体" w:hAnsi="宋体" w:cs="Arial"/>
          <w:kern w:val="0"/>
          <w:sz w:val="28"/>
          <w:szCs w:val="28"/>
        </w:rPr>
        <w:t>，并通报给应急指挥部有关成员单位。</w:t>
      </w:r>
    </w:p>
    <w:p w14:paraId="6A93E25C">
      <w:pPr>
        <w:numPr>
          <w:ilvl w:val="0"/>
          <w:numId w:val="25"/>
        </w:numPr>
        <w:spacing w:line="360" w:lineRule="auto"/>
        <w:jc w:val="left"/>
        <w:rPr>
          <w:rFonts w:ascii="宋体" w:hAnsi="宋体" w:cs="Arial"/>
          <w:kern w:val="0"/>
          <w:sz w:val="28"/>
          <w:szCs w:val="28"/>
        </w:rPr>
      </w:pPr>
      <w:r>
        <w:rPr>
          <w:rFonts w:hint="eastAsia" w:ascii="宋体" w:hAnsi="宋体" w:cs="宋体"/>
          <w:kern w:val="0"/>
          <w:sz w:val="28"/>
          <w:szCs w:val="28"/>
        </w:rPr>
        <w:t>启动Ⅳ级应急响应后，应急指挥部组织、指挥、协调、调度有关应急力量和资源，统一实施应急处置。</w:t>
      </w:r>
    </w:p>
    <w:p w14:paraId="672F2629">
      <w:pPr>
        <w:numPr>
          <w:ilvl w:val="0"/>
          <w:numId w:val="24"/>
        </w:numPr>
        <w:spacing w:line="360" w:lineRule="auto"/>
        <w:jc w:val="left"/>
        <w:rPr>
          <w:rFonts w:ascii="宋体" w:hAnsi="宋体" w:cs="宋体"/>
          <w:kern w:val="0"/>
          <w:sz w:val="28"/>
          <w:szCs w:val="28"/>
        </w:rPr>
      </w:pPr>
      <w:r>
        <w:rPr>
          <w:rFonts w:hint="eastAsia" w:ascii="宋体" w:hAnsi="宋体" w:cs="宋体"/>
          <w:kern w:val="0"/>
          <w:sz w:val="28"/>
          <w:szCs w:val="28"/>
        </w:rPr>
        <w:t>Ⅲ</w:t>
      </w:r>
      <w:r>
        <w:rPr>
          <w:rFonts w:ascii="宋体" w:hAnsi="宋体" w:cs="宋体"/>
          <w:kern w:val="0"/>
          <w:sz w:val="28"/>
          <w:szCs w:val="28"/>
        </w:rPr>
        <w:t>级应急响应启动</w:t>
      </w:r>
    </w:p>
    <w:p w14:paraId="5E6A3F29">
      <w:pPr>
        <w:numPr>
          <w:ilvl w:val="0"/>
          <w:numId w:val="26"/>
        </w:numPr>
        <w:spacing w:line="360" w:lineRule="auto"/>
        <w:jc w:val="left"/>
        <w:rPr>
          <w:rFonts w:ascii="宋体" w:hAnsi="宋体" w:cs="Arial"/>
          <w:kern w:val="0"/>
          <w:sz w:val="28"/>
          <w:szCs w:val="28"/>
        </w:rPr>
      </w:pPr>
      <w:r>
        <w:rPr>
          <w:rFonts w:hint="eastAsia" w:ascii="宋体" w:hAnsi="宋体" w:cs="宋体"/>
          <w:kern w:val="0"/>
          <w:sz w:val="28"/>
          <w:szCs w:val="28"/>
        </w:rPr>
        <w:t>如果Ⅳ级应急响应</w:t>
      </w:r>
      <w:r>
        <w:rPr>
          <w:rFonts w:ascii="宋体" w:hAnsi="宋体" w:cs="Arial"/>
          <w:kern w:val="0"/>
          <w:sz w:val="28"/>
          <w:szCs w:val="28"/>
        </w:rPr>
        <w:t>没有快速控制事态发展</w:t>
      </w:r>
      <w:r>
        <w:rPr>
          <w:rFonts w:hint="eastAsia" w:ascii="宋体" w:hAnsi="宋体" w:cs="Arial"/>
          <w:kern w:val="0"/>
          <w:sz w:val="28"/>
          <w:szCs w:val="28"/>
        </w:rPr>
        <w:t>、</w:t>
      </w:r>
      <w:r>
        <w:rPr>
          <w:rFonts w:ascii="宋体" w:hAnsi="宋体" w:cs="Arial"/>
          <w:kern w:val="0"/>
          <w:sz w:val="28"/>
          <w:szCs w:val="28"/>
        </w:rPr>
        <w:t>或者事故范围扩大</w:t>
      </w:r>
      <w:r>
        <w:rPr>
          <w:rFonts w:hint="eastAsia" w:ascii="宋体" w:hAnsi="宋体" w:cs="Arial"/>
          <w:kern w:val="0"/>
          <w:sz w:val="28"/>
          <w:szCs w:val="28"/>
        </w:rPr>
        <w:t>、</w:t>
      </w:r>
      <w:r>
        <w:rPr>
          <w:rFonts w:ascii="宋体" w:hAnsi="宋体" w:cs="Arial"/>
          <w:kern w:val="0"/>
          <w:sz w:val="28"/>
          <w:szCs w:val="28"/>
        </w:rPr>
        <w:t>或者影响到周边其他行政区域</w:t>
      </w:r>
      <w:r>
        <w:rPr>
          <w:rFonts w:hint="eastAsia" w:ascii="宋体" w:hAnsi="宋体" w:cs="Arial"/>
          <w:kern w:val="0"/>
          <w:sz w:val="28"/>
          <w:szCs w:val="28"/>
        </w:rPr>
        <w:t>，应急指挥部办公室应及时申请，经总指挥批准后升级为</w:t>
      </w:r>
      <w:r>
        <w:rPr>
          <w:rFonts w:hint="eastAsia" w:ascii="宋体" w:hAnsi="宋体" w:cs="宋体"/>
          <w:kern w:val="0"/>
          <w:sz w:val="28"/>
          <w:szCs w:val="28"/>
        </w:rPr>
        <w:t>Ⅲ</w:t>
      </w:r>
      <w:r>
        <w:rPr>
          <w:rFonts w:ascii="宋体" w:hAnsi="宋体" w:cs="宋体"/>
          <w:kern w:val="0"/>
          <w:sz w:val="28"/>
          <w:szCs w:val="28"/>
        </w:rPr>
        <w:t>级</w:t>
      </w:r>
      <w:r>
        <w:rPr>
          <w:rFonts w:hint="eastAsia" w:ascii="宋体" w:hAnsi="宋体" w:cs="Arial"/>
          <w:kern w:val="0"/>
          <w:sz w:val="28"/>
          <w:szCs w:val="28"/>
        </w:rPr>
        <w:t>响应。</w:t>
      </w:r>
    </w:p>
    <w:p w14:paraId="45A5808D">
      <w:pPr>
        <w:numPr>
          <w:ilvl w:val="0"/>
          <w:numId w:val="26"/>
        </w:numPr>
        <w:spacing w:line="360" w:lineRule="auto"/>
        <w:jc w:val="left"/>
        <w:rPr>
          <w:rFonts w:ascii="宋体" w:hAnsi="宋体" w:cs="Arial"/>
          <w:kern w:val="0"/>
          <w:sz w:val="28"/>
          <w:szCs w:val="28"/>
        </w:rPr>
      </w:pPr>
      <w:r>
        <w:rPr>
          <w:rFonts w:hint="eastAsia" w:ascii="宋体" w:hAnsi="宋体" w:cs="Arial"/>
          <w:kern w:val="0"/>
          <w:sz w:val="28"/>
          <w:szCs w:val="28"/>
        </w:rPr>
        <w:t>应急指挥部派出现场指挥部，调动区内应急救援力量展开救援。</w:t>
      </w:r>
    </w:p>
    <w:p w14:paraId="300A3373">
      <w:pPr>
        <w:numPr>
          <w:ilvl w:val="0"/>
          <w:numId w:val="26"/>
        </w:numPr>
        <w:spacing w:line="360" w:lineRule="auto"/>
        <w:jc w:val="left"/>
        <w:rPr>
          <w:rFonts w:ascii="宋体" w:hAnsi="宋体" w:cs="Arial"/>
          <w:kern w:val="0"/>
          <w:sz w:val="28"/>
          <w:szCs w:val="28"/>
        </w:rPr>
      </w:pPr>
      <w:r>
        <w:rPr>
          <w:rFonts w:hint="eastAsia" w:ascii="宋体" w:hAnsi="宋体" w:cs="Arial"/>
          <w:kern w:val="0"/>
          <w:sz w:val="28"/>
          <w:szCs w:val="28"/>
        </w:rPr>
        <w:t>超出应急处置能力时，应急指挥部及时报请市危险化学品生产安全事故应急指挥部支援，申请启动市级应急响应</w:t>
      </w:r>
      <w:r>
        <w:rPr>
          <w:rFonts w:hint="eastAsia" w:ascii="宋体" w:hAnsi="宋体" w:cs="宋体"/>
          <w:kern w:val="0"/>
          <w:sz w:val="28"/>
          <w:szCs w:val="28"/>
        </w:rPr>
        <w:t>。</w:t>
      </w:r>
    </w:p>
    <w:p w14:paraId="6D8C61C6">
      <w:pPr>
        <w:numPr>
          <w:ilvl w:val="0"/>
          <w:numId w:val="24"/>
        </w:numPr>
        <w:spacing w:line="360" w:lineRule="auto"/>
        <w:jc w:val="left"/>
        <w:rPr>
          <w:rFonts w:ascii="宋体" w:hAnsi="宋体" w:cs="宋体"/>
          <w:kern w:val="0"/>
          <w:sz w:val="28"/>
          <w:szCs w:val="28"/>
        </w:rPr>
      </w:pPr>
      <w:r>
        <w:rPr>
          <w:rFonts w:hint="eastAsia" w:ascii="宋体" w:hAnsi="宋体" w:cs="宋体"/>
          <w:kern w:val="0"/>
          <w:sz w:val="28"/>
          <w:szCs w:val="28"/>
        </w:rPr>
        <w:t>Ⅱ</w:t>
      </w:r>
      <w:r>
        <w:rPr>
          <w:rFonts w:ascii="宋体" w:hAnsi="宋体" w:cs="宋体"/>
          <w:kern w:val="0"/>
          <w:sz w:val="28"/>
          <w:szCs w:val="28"/>
        </w:rPr>
        <w:t>级应急响应启动</w:t>
      </w:r>
    </w:p>
    <w:p w14:paraId="2E2DBDDC">
      <w:pPr>
        <w:numPr>
          <w:ilvl w:val="0"/>
          <w:numId w:val="27"/>
        </w:numPr>
        <w:spacing w:line="360" w:lineRule="auto"/>
        <w:jc w:val="left"/>
        <w:rPr>
          <w:rFonts w:ascii="宋体" w:hAnsi="宋体" w:cs="Arial"/>
          <w:kern w:val="0"/>
          <w:sz w:val="28"/>
          <w:szCs w:val="28"/>
        </w:rPr>
      </w:pPr>
      <w:r>
        <w:rPr>
          <w:rFonts w:hint="eastAsia" w:ascii="宋体" w:hAnsi="宋体" w:cs="宋体"/>
          <w:kern w:val="0"/>
          <w:sz w:val="28"/>
          <w:szCs w:val="28"/>
        </w:rPr>
        <w:t>如果Ⅲ</w:t>
      </w:r>
      <w:r>
        <w:rPr>
          <w:rFonts w:ascii="宋体" w:hAnsi="宋体" w:cs="Arial"/>
          <w:kern w:val="0"/>
          <w:sz w:val="28"/>
          <w:szCs w:val="28"/>
        </w:rPr>
        <w:t>级应急响应没有控制事态发展</w:t>
      </w:r>
      <w:r>
        <w:rPr>
          <w:rFonts w:hint="eastAsia" w:ascii="宋体" w:hAnsi="宋体" w:cs="Arial"/>
          <w:kern w:val="0"/>
          <w:sz w:val="28"/>
          <w:szCs w:val="28"/>
        </w:rPr>
        <w:t>、或者事故影响范围继续扩大，经市危险化学品生产安全事故应急指挥部批准，升级为</w:t>
      </w:r>
      <w:r>
        <w:rPr>
          <w:rFonts w:hint="eastAsia" w:ascii="宋体" w:hAnsi="宋体" w:cs="宋体"/>
          <w:kern w:val="0"/>
          <w:sz w:val="28"/>
          <w:szCs w:val="28"/>
        </w:rPr>
        <w:t>Ⅱ</w:t>
      </w:r>
      <w:r>
        <w:rPr>
          <w:rFonts w:ascii="宋体" w:hAnsi="宋体" w:cs="宋体"/>
          <w:kern w:val="0"/>
          <w:sz w:val="28"/>
          <w:szCs w:val="28"/>
        </w:rPr>
        <w:t>级应急响应</w:t>
      </w:r>
      <w:r>
        <w:rPr>
          <w:rFonts w:hint="eastAsia" w:ascii="宋体" w:hAnsi="宋体" w:cs="宋体"/>
          <w:kern w:val="0"/>
          <w:sz w:val="28"/>
          <w:szCs w:val="28"/>
        </w:rPr>
        <w:t>。</w:t>
      </w:r>
    </w:p>
    <w:p w14:paraId="25B300D3">
      <w:pPr>
        <w:numPr>
          <w:ilvl w:val="0"/>
          <w:numId w:val="27"/>
        </w:numPr>
        <w:spacing w:line="360" w:lineRule="auto"/>
        <w:jc w:val="left"/>
        <w:rPr>
          <w:rFonts w:ascii="宋体" w:hAnsi="宋体" w:cs="Arial"/>
          <w:kern w:val="0"/>
          <w:sz w:val="28"/>
          <w:szCs w:val="28"/>
        </w:rPr>
      </w:pPr>
      <w:r>
        <w:rPr>
          <w:rFonts w:hint="eastAsia" w:ascii="宋体" w:hAnsi="宋体" w:cs="宋体"/>
          <w:kern w:val="0"/>
          <w:sz w:val="28"/>
          <w:szCs w:val="28"/>
        </w:rPr>
        <w:t>Ⅱ</w:t>
      </w:r>
      <w:r>
        <w:rPr>
          <w:rFonts w:ascii="宋体" w:hAnsi="宋体" w:cs="宋体"/>
          <w:kern w:val="0"/>
          <w:sz w:val="28"/>
          <w:szCs w:val="28"/>
        </w:rPr>
        <w:t>级应急响应启动后</w:t>
      </w:r>
      <w:r>
        <w:rPr>
          <w:rFonts w:hint="eastAsia" w:ascii="宋体" w:hAnsi="宋体" w:cs="宋体"/>
          <w:kern w:val="0"/>
          <w:sz w:val="28"/>
          <w:szCs w:val="28"/>
        </w:rPr>
        <w:t>，由市危险化学品生产安全事故应急指挥部带领市应急救援队伍参加应急救援。</w:t>
      </w:r>
    </w:p>
    <w:p w14:paraId="6CA6F40D">
      <w:pPr>
        <w:numPr>
          <w:ilvl w:val="0"/>
          <w:numId w:val="27"/>
        </w:numPr>
        <w:spacing w:line="360" w:lineRule="auto"/>
        <w:jc w:val="left"/>
        <w:rPr>
          <w:rFonts w:ascii="宋体" w:hAnsi="宋体" w:cs="宋体"/>
          <w:kern w:val="0"/>
          <w:sz w:val="28"/>
          <w:szCs w:val="28"/>
        </w:rPr>
      </w:pPr>
      <w:r>
        <w:rPr>
          <w:rFonts w:hint="eastAsia" w:ascii="宋体" w:hAnsi="宋体" w:cs="Arial"/>
          <w:kern w:val="0"/>
          <w:sz w:val="28"/>
          <w:szCs w:val="28"/>
        </w:rPr>
        <w:t>县危险化学品生产安全事故应急指挥部指挥救援队伍、救援物资投入到应急救援行动中，听从市危险化学品生产安全事故应急指挥部的指挥。</w:t>
      </w:r>
    </w:p>
    <w:p w14:paraId="3A4282D2">
      <w:pPr>
        <w:numPr>
          <w:ilvl w:val="0"/>
          <w:numId w:val="27"/>
        </w:numPr>
        <w:spacing w:line="360" w:lineRule="auto"/>
        <w:jc w:val="left"/>
        <w:rPr>
          <w:rFonts w:ascii="宋体" w:hAnsi="宋体" w:cs="宋体"/>
          <w:kern w:val="0"/>
          <w:sz w:val="28"/>
          <w:szCs w:val="28"/>
        </w:rPr>
      </w:pPr>
      <w:r>
        <w:rPr>
          <w:rFonts w:hint="eastAsia" w:ascii="宋体" w:hAnsi="宋体" w:cs="Arial"/>
          <w:kern w:val="0"/>
          <w:sz w:val="28"/>
          <w:szCs w:val="28"/>
        </w:rPr>
        <w:t>超出市级应急救援处置能力时，市危险化学品生产安全事故应急指挥部及时报请省级应急救援指挥机构启动省级响应。</w:t>
      </w:r>
    </w:p>
    <w:p w14:paraId="0421DAF5">
      <w:pPr>
        <w:numPr>
          <w:ilvl w:val="0"/>
          <w:numId w:val="24"/>
        </w:numPr>
        <w:spacing w:line="360" w:lineRule="auto"/>
        <w:jc w:val="left"/>
        <w:rPr>
          <w:rFonts w:ascii="宋体" w:hAnsi="宋体" w:cs="宋体"/>
          <w:kern w:val="0"/>
          <w:sz w:val="28"/>
          <w:szCs w:val="28"/>
        </w:rPr>
      </w:pPr>
      <w:r>
        <w:rPr>
          <w:rFonts w:hint="eastAsia" w:ascii="宋体" w:hAnsi="宋体" w:cs="宋体"/>
          <w:kern w:val="0"/>
          <w:sz w:val="28"/>
          <w:szCs w:val="28"/>
        </w:rPr>
        <w:t>Ⅰ</w:t>
      </w:r>
      <w:r>
        <w:rPr>
          <w:rFonts w:ascii="宋体" w:hAnsi="宋体" w:cs="宋体"/>
          <w:kern w:val="0"/>
          <w:sz w:val="28"/>
          <w:szCs w:val="28"/>
        </w:rPr>
        <w:t>级应急响应启动</w:t>
      </w:r>
    </w:p>
    <w:p w14:paraId="00F4544C">
      <w:pPr>
        <w:numPr>
          <w:ilvl w:val="2"/>
          <w:numId w:val="28"/>
        </w:numPr>
        <w:spacing w:line="360" w:lineRule="auto"/>
        <w:ind w:left="994" w:hanging="448"/>
        <w:jc w:val="left"/>
        <w:rPr>
          <w:rFonts w:ascii="宋体" w:hAnsi="宋体" w:cs="宋体"/>
          <w:kern w:val="0"/>
          <w:sz w:val="28"/>
          <w:szCs w:val="28"/>
        </w:rPr>
      </w:pPr>
      <w:r>
        <w:rPr>
          <w:rFonts w:hint="eastAsia" w:ascii="宋体" w:hAnsi="宋体" w:cs="宋体"/>
          <w:kern w:val="0"/>
          <w:sz w:val="28"/>
          <w:szCs w:val="28"/>
        </w:rPr>
        <w:t>Ⅰ</w:t>
      </w:r>
      <w:r>
        <w:rPr>
          <w:rFonts w:ascii="宋体" w:hAnsi="宋体" w:cs="Arial"/>
          <w:kern w:val="0"/>
          <w:sz w:val="28"/>
          <w:szCs w:val="28"/>
        </w:rPr>
        <w:t>级响应需经</w:t>
      </w:r>
      <w:r>
        <w:rPr>
          <w:rFonts w:hint="eastAsia" w:ascii="宋体" w:hAnsi="宋体" w:cs="宋体"/>
          <w:kern w:val="0"/>
          <w:sz w:val="28"/>
          <w:szCs w:val="28"/>
        </w:rPr>
        <w:t>市危险化学品生产安全事故应急指挥部申请，经省危险化学品生产安全事故应急指挥部批准后启动。</w:t>
      </w:r>
    </w:p>
    <w:p w14:paraId="57E5CD2C">
      <w:pPr>
        <w:numPr>
          <w:ilvl w:val="2"/>
          <w:numId w:val="28"/>
        </w:numPr>
        <w:spacing w:line="360" w:lineRule="auto"/>
        <w:ind w:left="994" w:hanging="448"/>
        <w:jc w:val="left"/>
        <w:rPr>
          <w:rFonts w:ascii="宋体" w:hAnsi="宋体" w:cs="宋体"/>
          <w:kern w:val="0"/>
          <w:sz w:val="28"/>
          <w:szCs w:val="28"/>
        </w:rPr>
      </w:pPr>
      <w:r>
        <w:rPr>
          <w:rFonts w:hint="eastAsia" w:ascii="宋体" w:hAnsi="宋体" w:cs="宋体"/>
          <w:kern w:val="0"/>
          <w:sz w:val="28"/>
          <w:szCs w:val="28"/>
        </w:rPr>
        <w:t>启动Ⅰ</w:t>
      </w:r>
      <w:r>
        <w:rPr>
          <w:rFonts w:ascii="宋体" w:hAnsi="宋体" w:cs="Arial"/>
          <w:kern w:val="0"/>
          <w:sz w:val="28"/>
          <w:szCs w:val="28"/>
        </w:rPr>
        <w:t>级应急响应后</w:t>
      </w:r>
      <w:r>
        <w:rPr>
          <w:rFonts w:hint="eastAsia" w:ascii="宋体" w:hAnsi="宋体" w:cs="Arial"/>
          <w:kern w:val="0"/>
          <w:sz w:val="28"/>
          <w:szCs w:val="28"/>
        </w:rPr>
        <w:t>，黑龙江省危险化学品生产安全事故应急指挥部直接指挥救援行动。</w:t>
      </w:r>
    </w:p>
    <w:p w14:paraId="0763ADB0">
      <w:pPr>
        <w:numPr>
          <w:ilvl w:val="2"/>
          <w:numId w:val="28"/>
        </w:numPr>
        <w:spacing w:line="360" w:lineRule="auto"/>
        <w:ind w:left="994" w:hanging="448"/>
        <w:jc w:val="left"/>
        <w:rPr>
          <w:rFonts w:ascii="宋体" w:hAnsi="宋体" w:cs="宋体"/>
          <w:kern w:val="0"/>
          <w:sz w:val="28"/>
          <w:szCs w:val="28"/>
        </w:rPr>
      </w:pPr>
      <w:r>
        <w:rPr>
          <w:rFonts w:hint="eastAsia" w:ascii="宋体" w:hAnsi="宋体" w:cs="宋体"/>
          <w:kern w:val="0"/>
          <w:sz w:val="28"/>
          <w:szCs w:val="28"/>
        </w:rPr>
        <w:t>需要应急管理部参与救援指挥时，由</w:t>
      </w:r>
      <w:r>
        <w:rPr>
          <w:rFonts w:hint="eastAsia" w:ascii="宋体" w:hAnsi="宋体" w:cs="Arial"/>
          <w:kern w:val="0"/>
          <w:sz w:val="28"/>
          <w:szCs w:val="28"/>
        </w:rPr>
        <w:t>黑龙江省危险化学品生产安全事故应急指挥部提出申请。</w:t>
      </w:r>
    </w:p>
    <w:p w14:paraId="66BF39CA">
      <w:pPr>
        <w:pStyle w:val="17"/>
        <w:numPr>
          <w:ilvl w:val="0"/>
          <w:numId w:val="24"/>
        </w:numPr>
        <w:spacing w:line="360" w:lineRule="auto"/>
        <w:ind w:firstLineChars="0"/>
        <w:jc w:val="left"/>
        <w:rPr>
          <w:rFonts w:ascii="宋体" w:hAnsi="宋体" w:cs="宋体"/>
          <w:kern w:val="0"/>
          <w:sz w:val="28"/>
          <w:szCs w:val="28"/>
        </w:rPr>
      </w:pPr>
      <w:r>
        <w:rPr>
          <w:rFonts w:hint="eastAsia" w:ascii="宋体" w:hAnsi="宋体" w:cs="宋体"/>
          <w:kern w:val="0"/>
          <w:sz w:val="28"/>
          <w:szCs w:val="28"/>
        </w:rPr>
        <w:t>发生在桦南县范围内的一般危险化学品生产安全事故，如果不具有扩散性，无需抢救人员，未造成环境危害，可不全面启动应急响应，直接进入善后处理、事故调查程序。</w:t>
      </w:r>
    </w:p>
    <w:p w14:paraId="234E7D3A">
      <w:pPr>
        <w:pStyle w:val="2"/>
        <w:keepNext w:val="0"/>
        <w:keepLines w:val="0"/>
        <w:spacing w:before="0" w:after="0" w:line="360" w:lineRule="auto"/>
        <w:rPr>
          <w:rFonts w:ascii="宋体" w:hAnsi="宋体"/>
          <w:sz w:val="28"/>
          <w:szCs w:val="28"/>
        </w:rPr>
      </w:pPr>
      <w:bookmarkStart w:id="23" w:name="_Toc184287587"/>
      <w:r>
        <w:rPr>
          <w:rFonts w:hint="eastAsia" w:ascii="宋体" w:hAnsi="宋体"/>
          <w:sz w:val="28"/>
          <w:szCs w:val="28"/>
        </w:rPr>
        <w:t>七、应急处置</w:t>
      </w:r>
      <w:bookmarkEnd w:id="23"/>
    </w:p>
    <w:p w14:paraId="3419A381">
      <w:pPr>
        <w:pStyle w:val="3"/>
        <w:keepNext w:val="0"/>
        <w:keepLines w:val="0"/>
        <w:spacing w:before="0" w:after="0" w:line="360" w:lineRule="auto"/>
        <w:rPr>
          <w:rFonts w:ascii="宋体" w:hAnsi="宋体"/>
          <w:kern w:val="0"/>
          <w:sz w:val="28"/>
          <w:szCs w:val="28"/>
        </w:rPr>
      </w:pPr>
      <w:bookmarkStart w:id="24" w:name="_Toc184287588"/>
      <w:r>
        <w:rPr>
          <w:rFonts w:hint="eastAsia" w:ascii="宋体" w:hAnsi="宋体"/>
          <w:kern w:val="0"/>
          <w:sz w:val="28"/>
          <w:szCs w:val="28"/>
        </w:rPr>
        <w:t>（一）先期处置</w:t>
      </w:r>
      <w:bookmarkEnd w:id="24"/>
    </w:p>
    <w:p w14:paraId="75E98734">
      <w:pPr>
        <w:pStyle w:val="17"/>
        <w:numPr>
          <w:ilvl w:val="0"/>
          <w:numId w:val="29"/>
        </w:numPr>
        <w:spacing w:line="360" w:lineRule="auto"/>
        <w:ind w:firstLineChars="0"/>
        <w:rPr>
          <w:rFonts w:ascii="宋体" w:hAnsi="宋体"/>
          <w:kern w:val="0"/>
          <w:sz w:val="28"/>
          <w:szCs w:val="28"/>
        </w:rPr>
      </w:pPr>
      <w:r>
        <w:rPr>
          <w:rFonts w:hint="eastAsia" w:ascii="宋体" w:hAnsi="宋体"/>
          <w:kern w:val="0"/>
          <w:sz w:val="28"/>
          <w:szCs w:val="28"/>
        </w:rPr>
        <w:t>专业救援队伍接警后立即赶往事故现场，根据事故单位提供的信息展开现场处置。</w:t>
      </w:r>
    </w:p>
    <w:p w14:paraId="7F39F135">
      <w:pPr>
        <w:pStyle w:val="17"/>
        <w:numPr>
          <w:ilvl w:val="0"/>
          <w:numId w:val="29"/>
        </w:numPr>
        <w:spacing w:line="360" w:lineRule="auto"/>
        <w:ind w:firstLineChars="0"/>
        <w:rPr>
          <w:rFonts w:ascii="宋体" w:hAnsi="宋体"/>
          <w:kern w:val="0"/>
          <w:sz w:val="28"/>
          <w:szCs w:val="28"/>
        </w:rPr>
      </w:pPr>
      <w:r>
        <w:rPr>
          <w:rFonts w:hint="eastAsia" w:ascii="宋体" w:hAnsi="宋体"/>
          <w:kern w:val="0"/>
          <w:sz w:val="28"/>
          <w:szCs w:val="28"/>
        </w:rPr>
        <w:t>按照不同的事故类型，采取紧急处置的措施：断电、断气、对泄漏物进行收集、扑救火灾等。</w:t>
      </w:r>
    </w:p>
    <w:p w14:paraId="6063BF1E">
      <w:pPr>
        <w:pStyle w:val="17"/>
        <w:numPr>
          <w:ilvl w:val="0"/>
          <w:numId w:val="29"/>
        </w:numPr>
        <w:spacing w:line="360" w:lineRule="auto"/>
        <w:ind w:firstLineChars="0"/>
        <w:rPr>
          <w:rFonts w:ascii="宋体" w:hAnsi="宋体"/>
          <w:kern w:val="0"/>
          <w:sz w:val="28"/>
          <w:szCs w:val="28"/>
        </w:rPr>
      </w:pPr>
      <w:r>
        <w:rPr>
          <w:rFonts w:hint="eastAsia" w:ascii="宋体" w:hAnsi="宋体"/>
          <w:kern w:val="0"/>
          <w:sz w:val="28"/>
          <w:szCs w:val="28"/>
        </w:rPr>
        <w:t>对被困的人员实施救援。</w:t>
      </w:r>
    </w:p>
    <w:p w14:paraId="1A6C56FC">
      <w:pPr>
        <w:pStyle w:val="17"/>
        <w:numPr>
          <w:ilvl w:val="0"/>
          <w:numId w:val="29"/>
        </w:numPr>
        <w:spacing w:line="360" w:lineRule="auto"/>
        <w:ind w:firstLineChars="0"/>
        <w:rPr>
          <w:rFonts w:ascii="宋体" w:hAnsi="宋体"/>
          <w:kern w:val="0"/>
          <w:sz w:val="28"/>
          <w:szCs w:val="28"/>
        </w:rPr>
      </w:pPr>
      <w:r>
        <w:rPr>
          <w:rFonts w:hint="eastAsia" w:ascii="宋体" w:hAnsi="宋体"/>
          <w:kern w:val="0"/>
          <w:sz w:val="28"/>
          <w:szCs w:val="28"/>
        </w:rPr>
        <w:t>了解事故现场周边的情况，清除可能影响救援甚至可能造成事故扩大的物资、能源等因素。</w:t>
      </w:r>
    </w:p>
    <w:p w14:paraId="580E1C2B">
      <w:pPr>
        <w:pStyle w:val="17"/>
        <w:numPr>
          <w:ilvl w:val="0"/>
          <w:numId w:val="29"/>
        </w:numPr>
        <w:ind w:firstLineChars="0"/>
        <w:rPr>
          <w:rFonts w:ascii="宋体" w:hAnsi="宋体"/>
          <w:kern w:val="0"/>
          <w:sz w:val="28"/>
          <w:szCs w:val="28"/>
        </w:rPr>
      </w:pPr>
      <w:r>
        <w:rPr>
          <w:rFonts w:hint="eastAsia" w:ascii="宋体" w:hAnsi="宋体"/>
          <w:kern w:val="0"/>
          <w:sz w:val="28"/>
          <w:szCs w:val="28"/>
        </w:rPr>
        <w:t xml:space="preserve">事故影响可能超出本单位范围的，事故单位要及时将险情通报给周边单位和人员。     </w:t>
      </w:r>
    </w:p>
    <w:p w14:paraId="4B5E15B1">
      <w:pPr>
        <w:pStyle w:val="17"/>
        <w:numPr>
          <w:ilvl w:val="0"/>
          <w:numId w:val="29"/>
        </w:numPr>
        <w:ind w:firstLineChars="0"/>
        <w:rPr>
          <w:rFonts w:ascii="宋体" w:hAnsi="宋体"/>
          <w:kern w:val="0"/>
          <w:sz w:val="28"/>
          <w:szCs w:val="28"/>
        </w:rPr>
      </w:pPr>
      <w:r>
        <w:rPr>
          <w:rFonts w:hint="eastAsia" w:ascii="宋体" w:hAnsi="宋体"/>
          <w:kern w:val="0"/>
          <w:sz w:val="28"/>
          <w:szCs w:val="28"/>
        </w:rPr>
        <w:t xml:space="preserve">事发地的乡镇人民政府、社区办、社区管委会、经开区管委会组织群众开展自救、互救，协助涉事企业做好营救受伤害人员、搜寻、疏散、撤离、安置受到威胁的人员；协助公安等部门做好标明、隔离危险区域、封锁危险场所等措施，维护社会秩序。及时向应急管理局报告事态进展情况。 </w:t>
      </w:r>
    </w:p>
    <w:p w14:paraId="15AB517A">
      <w:pPr>
        <w:pStyle w:val="17"/>
        <w:numPr>
          <w:ilvl w:val="0"/>
          <w:numId w:val="29"/>
        </w:numPr>
        <w:spacing w:line="360" w:lineRule="auto"/>
        <w:ind w:firstLineChars="0"/>
        <w:rPr>
          <w:rFonts w:ascii="宋体" w:hAnsi="宋体"/>
          <w:kern w:val="0"/>
          <w:sz w:val="28"/>
          <w:szCs w:val="28"/>
        </w:rPr>
      </w:pPr>
      <w:r>
        <w:rPr>
          <w:rFonts w:hint="eastAsia" w:ascii="宋体" w:hAnsi="宋体"/>
          <w:kern w:val="0"/>
          <w:sz w:val="28"/>
          <w:szCs w:val="28"/>
        </w:rPr>
        <w:t>做好事故现场的风险分析，确定人员疏散、交通控制、救援物资供应、受伤人员安置等方案。</w:t>
      </w:r>
    </w:p>
    <w:p w14:paraId="4279A425">
      <w:pPr>
        <w:pStyle w:val="3"/>
        <w:keepNext w:val="0"/>
        <w:keepLines w:val="0"/>
        <w:spacing w:before="0" w:after="0" w:line="360" w:lineRule="auto"/>
        <w:rPr>
          <w:rFonts w:ascii="宋体" w:hAnsi="宋体"/>
          <w:kern w:val="0"/>
          <w:sz w:val="28"/>
          <w:szCs w:val="28"/>
        </w:rPr>
      </w:pPr>
      <w:bookmarkStart w:id="25" w:name="_Toc184287589"/>
      <w:r>
        <w:rPr>
          <w:rFonts w:hint="eastAsia" w:ascii="宋体" w:hAnsi="宋体"/>
          <w:kern w:val="0"/>
          <w:sz w:val="28"/>
          <w:szCs w:val="28"/>
        </w:rPr>
        <w:t>（二）应急救援机构的行动</w:t>
      </w:r>
      <w:bookmarkEnd w:id="25"/>
    </w:p>
    <w:p w14:paraId="21D102A9">
      <w:pPr>
        <w:spacing w:line="360" w:lineRule="auto"/>
        <w:ind w:firstLine="560" w:firstLineChars="200"/>
        <w:rPr>
          <w:rFonts w:ascii="宋体" w:hAnsi="宋体"/>
          <w:kern w:val="0"/>
          <w:sz w:val="28"/>
          <w:szCs w:val="28"/>
        </w:rPr>
      </w:pPr>
      <w:r>
        <w:rPr>
          <w:rFonts w:hint="eastAsia" w:ascii="宋体" w:hAnsi="宋体"/>
          <w:kern w:val="0"/>
          <w:sz w:val="28"/>
          <w:szCs w:val="28"/>
        </w:rPr>
        <w:t>各应急机构按照职责分工，在应急指挥部的指挥下参加救援行动。</w:t>
      </w:r>
    </w:p>
    <w:p w14:paraId="360A0DD3">
      <w:pPr>
        <w:pStyle w:val="17"/>
        <w:numPr>
          <w:ilvl w:val="0"/>
          <w:numId w:val="30"/>
        </w:numPr>
        <w:spacing w:line="360" w:lineRule="auto"/>
        <w:ind w:left="426" w:hanging="426" w:firstLineChars="0"/>
        <w:rPr>
          <w:rFonts w:ascii="宋体" w:hAnsi="宋体"/>
          <w:kern w:val="0"/>
          <w:sz w:val="28"/>
          <w:szCs w:val="28"/>
        </w:rPr>
      </w:pPr>
      <w:r>
        <w:rPr>
          <w:rFonts w:hint="eastAsia" w:ascii="宋体" w:hAnsi="宋体"/>
          <w:kern w:val="0"/>
          <w:sz w:val="28"/>
          <w:szCs w:val="28"/>
        </w:rPr>
        <w:t>抢险救援组：在掌握现场实际情况、参考专家意见的基础上确定救援方案并实施；要记录好进入现场救援人员的数量，确保配备必要的安全防护装备，协助受困人员转移到安全区域；开展危险化学品处置、火灾扑救、工程加固等工作，防止事故扩大和次生、衍生事故的发生。</w:t>
      </w:r>
    </w:p>
    <w:p w14:paraId="4FE92C02">
      <w:pPr>
        <w:pStyle w:val="17"/>
        <w:numPr>
          <w:ilvl w:val="0"/>
          <w:numId w:val="30"/>
        </w:numPr>
        <w:spacing w:line="360" w:lineRule="auto"/>
        <w:ind w:left="426" w:hanging="426" w:firstLineChars="0"/>
        <w:rPr>
          <w:rFonts w:ascii="宋体" w:hAnsi="宋体"/>
          <w:kern w:val="0"/>
          <w:sz w:val="28"/>
          <w:szCs w:val="28"/>
        </w:rPr>
      </w:pPr>
      <w:r>
        <w:rPr>
          <w:rFonts w:hint="eastAsia" w:ascii="宋体" w:hAnsi="宋体"/>
          <w:kern w:val="0"/>
          <w:sz w:val="28"/>
          <w:szCs w:val="28"/>
        </w:rPr>
        <w:t>医疗救护组：在安全区域设立临时医疗点，为事故受伤人员、抢险救援人员、受灾群众提供紧急处置，将伤者送往医院实施治疗。</w:t>
      </w:r>
    </w:p>
    <w:p w14:paraId="76C5F669">
      <w:pPr>
        <w:pStyle w:val="17"/>
        <w:numPr>
          <w:ilvl w:val="0"/>
          <w:numId w:val="30"/>
        </w:numPr>
        <w:spacing w:line="360" w:lineRule="auto"/>
        <w:ind w:left="426" w:hanging="426" w:firstLineChars="0"/>
        <w:rPr>
          <w:rFonts w:ascii="宋体" w:hAnsi="宋体"/>
          <w:kern w:val="0"/>
          <w:sz w:val="28"/>
          <w:szCs w:val="28"/>
        </w:rPr>
      </w:pPr>
      <w:r>
        <w:rPr>
          <w:rFonts w:hint="eastAsia" w:ascii="宋体" w:hAnsi="宋体"/>
          <w:kern w:val="0"/>
          <w:sz w:val="28"/>
          <w:szCs w:val="28"/>
        </w:rPr>
        <w:t>治安警戒组：根据现场指挥部、专家的意见确立隔离区，将警戒隔离区内与救援无关人员撤离至安全区。疏散过程</w:t>
      </w:r>
      <w:bookmarkStart w:id="26" w:name="_Toc14811_WPSOffice_Level1"/>
      <w:r>
        <w:rPr>
          <w:rFonts w:hint="eastAsia" w:ascii="宋体" w:hAnsi="宋体"/>
          <w:kern w:val="0"/>
          <w:sz w:val="28"/>
          <w:szCs w:val="28"/>
        </w:rPr>
        <w:t>中应避免穿过危险区，指导疏散人员就地取材，用毛巾、口罩、湿布等</w:t>
      </w:r>
      <w:r>
        <w:rPr>
          <w:rFonts w:ascii="宋体" w:hAnsi="宋体"/>
          <w:kern w:val="0"/>
          <w:sz w:val="28"/>
          <w:szCs w:val="28"/>
        </w:rPr>
        <w:t>捂住口鼻</w:t>
      </w:r>
      <w:r>
        <w:rPr>
          <w:rFonts w:hint="eastAsia" w:ascii="宋体" w:hAnsi="宋体"/>
          <w:kern w:val="0"/>
          <w:sz w:val="28"/>
          <w:szCs w:val="28"/>
        </w:rPr>
        <w:t>，</w:t>
      </w:r>
      <w:r>
        <w:rPr>
          <w:rFonts w:ascii="宋体" w:hAnsi="宋体"/>
          <w:kern w:val="0"/>
          <w:sz w:val="28"/>
          <w:szCs w:val="28"/>
        </w:rPr>
        <w:t>采取</w:t>
      </w:r>
      <w:r>
        <w:rPr>
          <w:rFonts w:hint="eastAsia" w:ascii="宋体" w:hAnsi="宋体"/>
          <w:kern w:val="0"/>
          <w:sz w:val="28"/>
          <w:szCs w:val="28"/>
        </w:rPr>
        <w:t>简单</w:t>
      </w:r>
      <w:r>
        <w:rPr>
          <w:rFonts w:ascii="宋体" w:hAnsi="宋体"/>
          <w:kern w:val="0"/>
          <w:sz w:val="28"/>
          <w:szCs w:val="28"/>
        </w:rPr>
        <w:t>有效的防护措施</w:t>
      </w:r>
      <w:r>
        <w:rPr>
          <w:rFonts w:hint="eastAsia" w:ascii="宋体" w:hAnsi="宋体"/>
          <w:kern w:val="0"/>
          <w:sz w:val="28"/>
          <w:szCs w:val="28"/>
        </w:rPr>
        <w:t>。</w:t>
      </w:r>
      <w:r>
        <w:rPr>
          <w:rFonts w:ascii="宋体" w:hAnsi="宋体"/>
          <w:kern w:val="0"/>
          <w:sz w:val="28"/>
          <w:szCs w:val="28"/>
        </w:rPr>
        <w:t>设立隔离区警示标志</w:t>
      </w:r>
      <w:r>
        <w:rPr>
          <w:rFonts w:hint="eastAsia" w:ascii="宋体" w:hAnsi="宋体"/>
          <w:kern w:val="0"/>
          <w:sz w:val="28"/>
          <w:szCs w:val="28"/>
        </w:rPr>
        <w:t>。对通往事故现场的道路实施交通控制。</w:t>
      </w:r>
    </w:p>
    <w:p w14:paraId="19059AE6">
      <w:pPr>
        <w:pStyle w:val="17"/>
        <w:numPr>
          <w:ilvl w:val="0"/>
          <w:numId w:val="30"/>
        </w:numPr>
        <w:spacing w:line="360" w:lineRule="auto"/>
        <w:ind w:left="426" w:hanging="426" w:firstLineChars="0"/>
        <w:rPr>
          <w:rFonts w:ascii="宋体" w:hAnsi="宋体"/>
          <w:kern w:val="0"/>
          <w:sz w:val="28"/>
          <w:szCs w:val="28"/>
        </w:rPr>
      </w:pPr>
      <w:r>
        <w:rPr>
          <w:rFonts w:hint="eastAsia" w:ascii="宋体" w:hAnsi="宋体"/>
          <w:kern w:val="0"/>
          <w:sz w:val="28"/>
          <w:szCs w:val="28"/>
        </w:rPr>
        <w:t>工程抢险组：工程抢险组按照应急指挥部的要求保证救援所需水、电供应。</w:t>
      </w:r>
    </w:p>
    <w:p w14:paraId="264BFA10">
      <w:pPr>
        <w:pStyle w:val="17"/>
        <w:numPr>
          <w:ilvl w:val="0"/>
          <w:numId w:val="30"/>
        </w:numPr>
        <w:spacing w:line="360" w:lineRule="auto"/>
        <w:ind w:left="426" w:hanging="426" w:firstLineChars="0"/>
        <w:rPr>
          <w:rFonts w:ascii="宋体" w:hAnsi="宋体"/>
          <w:kern w:val="0"/>
          <w:sz w:val="28"/>
          <w:szCs w:val="28"/>
        </w:rPr>
      </w:pPr>
      <w:r>
        <w:rPr>
          <w:rFonts w:hint="eastAsia" w:ascii="宋体" w:hAnsi="宋体"/>
          <w:kern w:val="0"/>
          <w:sz w:val="28"/>
          <w:szCs w:val="28"/>
        </w:rPr>
        <w:t>通讯联络组：协调通讯部门保证救援现场的通讯畅通，确保救援人员和指挥部保持及时联络。</w:t>
      </w:r>
    </w:p>
    <w:p w14:paraId="2D27B9C4">
      <w:pPr>
        <w:pStyle w:val="17"/>
        <w:numPr>
          <w:ilvl w:val="0"/>
          <w:numId w:val="30"/>
        </w:numPr>
        <w:spacing w:line="360" w:lineRule="auto"/>
        <w:ind w:left="426" w:hanging="426" w:firstLineChars="0"/>
        <w:rPr>
          <w:rFonts w:ascii="宋体" w:hAnsi="宋体"/>
          <w:kern w:val="0"/>
          <w:sz w:val="28"/>
          <w:szCs w:val="28"/>
        </w:rPr>
      </w:pPr>
      <w:r>
        <w:rPr>
          <w:rFonts w:hint="eastAsia" w:ascii="宋体" w:hAnsi="宋体"/>
          <w:kern w:val="0"/>
          <w:sz w:val="28"/>
          <w:szCs w:val="28"/>
        </w:rPr>
        <w:t>后勤保障组：按照应急指挥部的要求，确保救援所需物资、装备、食品等资源供应到位。</w:t>
      </w:r>
    </w:p>
    <w:p w14:paraId="0D67ECCD">
      <w:pPr>
        <w:pStyle w:val="17"/>
        <w:numPr>
          <w:ilvl w:val="0"/>
          <w:numId w:val="30"/>
        </w:numPr>
        <w:spacing w:line="360" w:lineRule="auto"/>
        <w:ind w:left="426" w:hanging="426" w:firstLineChars="0"/>
        <w:rPr>
          <w:rFonts w:ascii="宋体" w:hAnsi="宋体"/>
          <w:kern w:val="0"/>
          <w:sz w:val="28"/>
          <w:szCs w:val="28"/>
        </w:rPr>
      </w:pPr>
      <w:r>
        <w:rPr>
          <w:rFonts w:hint="eastAsia" w:ascii="宋体" w:hAnsi="宋体"/>
          <w:kern w:val="0"/>
          <w:sz w:val="28"/>
          <w:szCs w:val="28"/>
        </w:rPr>
        <w:t>交通运输组：组织车辆完成疏散人员、救援队伍、应急物资的运输保障。</w:t>
      </w:r>
    </w:p>
    <w:p w14:paraId="454D804D">
      <w:pPr>
        <w:pStyle w:val="17"/>
        <w:numPr>
          <w:ilvl w:val="0"/>
          <w:numId w:val="30"/>
        </w:numPr>
        <w:spacing w:line="360" w:lineRule="auto"/>
        <w:ind w:left="426" w:hanging="426" w:firstLineChars="0"/>
        <w:rPr>
          <w:rFonts w:ascii="宋体" w:hAnsi="宋体"/>
          <w:kern w:val="0"/>
          <w:sz w:val="28"/>
          <w:szCs w:val="28"/>
        </w:rPr>
      </w:pPr>
      <w:r>
        <w:rPr>
          <w:rFonts w:hint="eastAsia" w:ascii="宋体" w:hAnsi="宋体"/>
          <w:kern w:val="0"/>
          <w:sz w:val="28"/>
          <w:szCs w:val="28"/>
        </w:rPr>
        <w:t>现场监测：生态环境局组织队伍加强事故现场的环境监测和气象监测，提供动态监测信息。</w:t>
      </w:r>
    </w:p>
    <w:p w14:paraId="21E1266A">
      <w:pPr>
        <w:pStyle w:val="17"/>
        <w:numPr>
          <w:ilvl w:val="0"/>
          <w:numId w:val="30"/>
        </w:numPr>
        <w:spacing w:line="360" w:lineRule="auto"/>
        <w:ind w:left="426" w:hanging="426" w:firstLineChars="0"/>
        <w:rPr>
          <w:rFonts w:ascii="宋体" w:hAnsi="宋体"/>
          <w:kern w:val="0"/>
          <w:sz w:val="28"/>
          <w:szCs w:val="28"/>
        </w:rPr>
      </w:pPr>
      <w:r>
        <w:rPr>
          <w:rFonts w:hint="eastAsia" w:ascii="宋体" w:hAnsi="宋体"/>
          <w:kern w:val="0"/>
          <w:sz w:val="28"/>
          <w:szCs w:val="28"/>
        </w:rPr>
        <w:t>技术支持：专家组现场待命，随时了解救援信息，为救援方案的调整提供技术支持。</w:t>
      </w:r>
    </w:p>
    <w:p w14:paraId="70BF361B">
      <w:pPr>
        <w:pStyle w:val="3"/>
        <w:keepNext w:val="0"/>
        <w:keepLines w:val="0"/>
        <w:spacing w:before="0" w:after="0" w:line="360" w:lineRule="auto"/>
        <w:rPr>
          <w:rFonts w:ascii="宋体" w:hAnsi="宋体"/>
          <w:kern w:val="0"/>
          <w:sz w:val="28"/>
          <w:szCs w:val="28"/>
        </w:rPr>
      </w:pPr>
      <w:bookmarkStart w:id="27" w:name="_Toc184287590"/>
      <w:r>
        <w:rPr>
          <w:rFonts w:hint="eastAsia" w:ascii="宋体" w:hAnsi="宋体"/>
          <w:kern w:val="0"/>
          <w:sz w:val="28"/>
          <w:szCs w:val="28"/>
        </w:rPr>
        <w:t>（三）指挥与协调</w:t>
      </w:r>
      <w:bookmarkEnd w:id="27"/>
    </w:p>
    <w:p w14:paraId="48018B23">
      <w:pPr>
        <w:ind w:firstLine="560" w:firstLineChars="200"/>
        <w:rPr>
          <w:rFonts w:ascii="宋体" w:hAnsi="宋体"/>
          <w:kern w:val="0"/>
          <w:sz w:val="28"/>
          <w:szCs w:val="28"/>
        </w:rPr>
      </w:pPr>
      <w:r>
        <w:rPr>
          <w:rFonts w:hint="eastAsia" w:ascii="宋体" w:hAnsi="宋体"/>
          <w:kern w:val="0"/>
          <w:sz w:val="28"/>
          <w:szCs w:val="28"/>
        </w:rPr>
        <w:t>事发单位和先期到达的应急救援队伍迅速有效实施先期处置，事故发生地乡镇人民政府、社区办、社区管委会、经开区管委会负责协调，全力控制事故发展态势，防止次生衍生和偶合事故（事件）发生，控制或切断事故灾害链。</w:t>
      </w:r>
    </w:p>
    <w:p w14:paraId="3CB1EB35">
      <w:pPr>
        <w:ind w:firstLine="560" w:firstLineChars="200"/>
        <w:rPr>
          <w:rFonts w:ascii="宋体" w:hAnsi="宋体"/>
          <w:kern w:val="0"/>
          <w:sz w:val="28"/>
          <w:szCs w:val="28"/>
        </w:rPr>
      </w:pPr>
      <w:r>
        <w:rPr>
          <w:rFonts w:hint="eastAsia" w:ascii="宋体" w:hAnsi="宋体"/>
          <w:kern w:val="0"/>
          <w:sz w:val="28"/>
          <w:szCs w:val="28"/>
        </w:rPr>
        <w:t>启动Ⅲ级及以上应急响应后，按照事故类型，应急指挥部有关人员立即进入应急岗位，组织相关人员赶赴现场，成立由应急指挥部副总指挥及有关成员单位、专业应急救援队伍、乡镇人民政府、社区办、社区管委会、经开区管委会、事故单位组成的现场指挥部，负责事故现场应急救援组织、协调、指挥工作。应急队伍在现场指挥部统一指挥下，共同实施抢险救援和紧急处置。</w:t>
      </w:r>
    </w:p>
    <w:p w14:paraId="1B9CD052">
      <w:pPr>
        <w:pStyle w:val="3"/>
        <w:keepNext w:val="0"/>
        <w:keepLines w:val="0"/>
        <w:spacing w:before="0" w:after="0" w:line="360" w:lineRule="auto"/>
        <w:rPr>
          <w:rFonts w:ascii="宋体" w:hAnsi="宋体"/>
          <w:kern w:val="0"/>
          <w:sz w:val="28"/>
          <w:szCs w:val="28"/>
        </w:rPr>
      </w:pPr>
      <w:bookmarkStart w:id="28" w:name="_Toc184287591"/>
      <w:r>
        <w:rPr>
          <w:rFonts w:hint="eastAsia" w:ascii="宋体" w:hAnsi="宋体"/>
          <w:kern w:val="0"/>
          <w:sz w:val="28"/>
          <w:szCs w:val="28"/>
        </w:rPr>
        <w:t>（四）应急人员的安全防护</w:t>
      </w:r>
      <w:bookmarkEnd w:id="26"/>
      <w:bookmarkEnd w:id="28"/>
    </w:p>
    <w:p w14:paraId="68E7D321">
      <w:pPr>
        <w:spacing w:line="360" w:lineRule="auto"/>
        <w:rPr>
          <w:rFonts w:ascii="宋体" w:hAnsi="宋体"/>
          <w:kern w:val="0"/>
          <w:sz w:val="28"/>
          <w:szCs w:val="28"/>
        </w:rPr>
      </w:pPr>
      <w:r>
        <w:rPr>
          <w:rFonts w:hint="eastAsia" w:ascii="宋体" w:hAnsi="宋体"/>
          <w:kern w:val="0"/>
          <w:sz w:val="28"/>
          <w:szCs w:val="28"/>
        </w:rPr>
        <w:t>　　现场应急救援人员根据需要，携带相应的专业防护装备，做好安全防护，应急救援人员进入和离开事故现场必须做好出入登记。</w:t>
      </w:r>
    </w:p>
    <w:p w14:paraId="0D985426">
      <w:pPr>
        <w:spacing w:line="360" w:lineRule="auto"/>
        <w:rPr>
          <w:rFonts w:ascii="宋体" w:hAnsi="宋体"/>
          <w:kern w:val="0"/>
          <w:sz w:val="28"/>
          <w:szCs w:val="28"/>
        </w:rPr>
      </w:pPr>
      <w:r>
        <w:rPr>
          <w:rFonts w:hint="eastAsia" w:ascii="宋体" w:hAnsi="宋体"/>
          <w:kern w:val="0"/>
          <w:sz w:val="28"/>
          <w:szCs w:val="28"/>
        </w:rPr>
        <w:t>　　应急指挥部根据需要，具体协调、调集相应的安全防护装备。</w:t>
      </w:r>
    </w:p>
    <w:p w14:paraId="3208146A">
      <w:pPr>
        <w:pStyle w:val="3"/>
        <w:keepNext w:val="0"/>
        <w:keepLines w:val="0"/>
        <w:spacing w:before="0" w:after="0" w:line="360" w:lineRule="auto"/>
        <w:rPr>
          <w:rFonts w:ascii="宋体" w:hAnsi="宋体"/>
          <w:kern w:val="0"/>
          <w:sz w:val="28"/>
          <w:szCs w:val="28"/>
        </w:rPr>
      </w:pPr>
      <w:bookmarkStart w:id="29" w:name="_Toc184287592"/>
      <w:bookmarkStart w:id="30" w:name="_Toc8706_WPSOffice_Level1"/>
      <w:r>
        <w:rPr>
          <w:rFonts w:hint="eastAsia" w:ascii="宋体" w:hAnsi="宋体"/>
          <w:kern w:val="0"/>
          <w:sz w:val="28"/>
          <w:szCs w:val="28"/>
        </w:rPr>
        <w:t>（五）受事故影响的群众安全防护</w:t>
      </w:r>
      <w:bookmarkEnd w:id="29"/>
      <w:bookmarkEnd w:id="30"/>
    </w:p>
    <w:p w14:paraId="1376FC15">
      <w:pPr>
        <w:spacing w:line="360" w:lineRule="auto"/>
        <w:rPr>
          <w:rFonts w:ascii="宋体" w:hAnsi="宋体"/>
          <w:kern w:val="0"/>
          <w:sz w:val="28"/>
          <w:szCs w:val="28"/>
        </w:rPr>
      </w:pPr>
      <w:r>
        <w:rPr>
          <w:rFonts w:hint="eastAsia" w:ascii="宋体" w:hAnsi="宋体"/>
          <w:kern w:val="0"/>
          <w:sz w:val="28"/>
          <w:szCs w:val="28"/>
        </w:rPr>
        <w:t>　　县公安局、卫生健康局等部门做好事故区域环境、卫生检查、检测，负责群众疏散时的防护，具体为：</w:t>
      </w:r>
    </w:p>
    <w:p w14:paraId="4F43A800">
      <w:pPr>
        <w:pStyle w:val="17"/>
        <w:numPr>
          <w:ilvl w:val="2"/>
          <w:numId w:val="31"/>
        </w:numPr>
        <w:spacing w:line="360" w:lineRule="auto"/>
        <w:ind w:left="426" w:hanging="426" w:firstLineChars="0"/>
        <w:rPr>
          <w:rFonts w:ascii="宋体" w:hAnsi="宋体"/>
          <w:kern w:val="0"/>
          <w:sz w:val="28"/>
          <w:szCs w:val="28"/>
        </w:rPr>
      </w:pPr>
      <w:r>
        <w:rPr>
          <w:rFonts w:hint="eastAsia" w:ascii="宋体" w:hAnsi="宋体"/>
          <w:kern w:val="0"/>
          <w:sz w:val="28"/>
          <w:szCs w:val="28"/>
        </w:rPr>
        <w:t>迅速组织力量划定警戒区域，防止无关人员进入现场，疏散事故现场的群众。</w:t>
      </w:r>
    </w:p>
    <w:p w14:paraId="1A8574EC">
      <w:pPr>
        <w:pStyle w:val="17"/>
        <w:numPr>
          <w:ilvl w:val="2"/>
          <w:numId w:val="31"/>
        </w:numPr>
        <w:spacing w:line="360" w:lineRule="auto"/>
        <w:ind w:left="426" w:hanging="426" w:firstLineChars="0"/>
        <w:rPr>
          <w:rFonts w:ascii="宋体" w:hAnsi="宋体"/>
          <w:kern w:val="0"/>
          <w:sz w:val="28"/>
          <w:szCs w:val="28"/>
        </w:rPr>
      </w:pPr>
      <w:r>
        <w:rPr>
          <w:rFonts w:hint="eastAsia" w:ascii="宋体" w:hAnsi="宋体"/>
          <w:kern w:val="0"/>
          <w:sz w:val="28"/>
          <w:szCs w:val="28"/>
        </w:rPr>
        <w:t>确定群众疏散撤离的范围、路线、方式和程序，并落实具体部门负责实施。</w:t>
      </w:r>
    </w:p>
    <w:p w14:paraId="35FAC4C2">
      <w:pPr>
        <w:pStyle w:val="17"/>
        <w:numPr>
          <w:ilvl w:val="2"/>
          <w:numId w:val="31"/>
        </w:numPr>
        <w:spacing w:line="360" w:lineRule="auto"/>
        <w:ind w:left="426" w:hanging="426" w:firstLineChars="0"/>
        <w:rPr>
          <w:rFonts w:ascii="宋体" w:hAnsi="宋体"/>
          <w:kern w:val="0"/>
          <w:sz w:val="28"/>
          <w:szCs w:val="28"/>
        </w:rPr>
      </w:pPr>
      <w:r>
        <w:rPr>
          <w:rFonts w:hint="eastAsia" w:ascii="宋体" w:hAnsi="宋体"/>
          <w:kern w:val="0"/>
          <w:sz w:val="28"/>
          <w:szCs w:val="28"/>
        </w:rPr>
        <w:t>监测事发地周边环境状况，现场环境指标可能危及人员健康安全时，及时报告应急指挥部。</w:t>
      </w:r>
    </w:p>
    <w:p w14:paraId="3C82CFFE">
      <w:pPr>
        <w:pStyle w:val="17"/>
        <w:numPr>
          <w:ilvl w:val="2"/>
          <w:numId w:val="31"/>
        </w:numPr>
        <w:spacing w:line="360" w:lineRule="auto"/>
        <w:ind w:left="426" w:hanging="426" w:firstLineChars="0"/>
        <w:rPr>
          <w:rFonts w:ascii="宋体" w:hAnsi="宋体"/>
          <w:kern w:val="0"/>
          <w:sz w:val="28"/>
          <w:szCs w:val="28"/>
        </w:rPr>
      </w:pPr>
      <w:r>
        <w:rPr>
          <w:rFonts w:hint="eastAsia" w:ascii="宋体" w:hAnsi="宋体"/>
          <w:kern w:val="0"/>
          <w:sz w:val="28"/>
          <w:szCs w:val="28"/>
        </w:rPr>
        <w:t>做好疾病预防控制工作。</w:t>
      </w:r>
    </w:p>
    <w:p w14:paraId="2E808D2B">
      <w:pPr>
        <w:pStyle w:val="3"/>
        <w:keepNext w:val="0"/>
        <w:keepLines w:val="0"/>
        <w:spacing w:before="0" w:after="0" w:line="360" w:lineRule="auto"/>
        <w:rPr>
          <w:rFonts w:ascii="宋体" w:hAnsi="宋体"/>
          <w:kern w:val="0"/>
          <w:sz w:val="28"/>
          <w:szCs w:val="28"/>
        </w:rPr>
      </w:pPr>
      <w:bookmarkStart w:id="31" w:name="_Toc184287593"/>
      <w:bookmarkStart w:id="32" w:name="_Toc10644_WPSOffice_Level1"/>
      <w:r>
        <w:rPr>
          <w:rFonts w:hint="eastAsia" w:ascii="宋体" w:hAnsi="宋体"/>
          <w:kern w:val="0"/>
          <w:sz w:val="28"/>
          <w:szCs w:val="28"/>
        </w:rPr>
        <w:t>（六）动员社会力量参与</w:t>
      </w:r>
      <w:bookmarkEnd w:id="31"/>
      <w:bookmarkEnd w:id="32"/>
    </w:p>
    <w:p w14:paraId="0CF6476E">
      <w:pPr>
        <w:spacing w:line="360" w:lineRule="auto"/>
        <w:ind w:firstLine="555"/>
        <w:rPr>
          <w:rFonts w:ascii="宋体" w:hAnsi="宋体"/>
          <w:kern w:val="0"/>
          <w:sz w:val="28"/>
          <w:szCs w:val="28"/>
        </w:rPr>
      </w:pPr>
      <w:r>
        <w:rPr>
          <w:rFonts w:hint="eastAsia" w:ascii="宋体" w:hAnsi="宋体"/>
          <w:kern w:val="0"/>
          <w:sz w:val="28"/>
          <w:szCs w:val="28"/>
        </w:rPr>
        <w:t>积极组织、动员、调动社会力量参与应急处置与救援，重点做好下列工作：</w:t>
      </w:r>
    </w:p>
    <w:p w14:paraId="0720A0DB">
      <w:pPr>
        <w:pStyle w:val="17"/>
        <w:numPr>
          <w:ilvl w:val="0"/>
          <w:numId w:val="32"/>
        </w:numPr>
        <w:spacing w:line="360" w:lineRule="auto"/>
        <w:ind w:firstLineChars="0"/>
        <w:rPr>
          <w:rFonts w:ascii="宋体" w:hAnsi="宋体"/>
          <w:kern w:val="0"/>
          <w:sz w:val="28"/>
          <w:szCs w:val="28"/>
        </w:rPr>
      </w:pPr>
      <w:r>
        <w:rPr>
          <w:rFonts w:hint="eastAsia" w:ascii="宋体" w:hAnsi="宋体"/>
          <w:kern w:val="0"/>
          <w:sz w:val="28"/>
          <w:szCs w:val="28"/>
        </w:rPr>
        <w:t>协助维护秩序。</w:t>
      </w:r>
    </w:p>
    <w:p w14:paraId="60DD98D1">
      <w:pPr>
        <w:pStyle w:val="17"/>
        <w:numPr>
          <w:ilvl w:val="0"/>
          <w:numId w:val="32"/>
        </w:numPr>
        <w:spacing w:line="360" w:lineRule="auto"/>
        <w:ind w:firstLineChars="0"/>
        <w:rPr>
          <w:rFonts w:ascii="宋体" w:hAnsi="宋体"/>
          <w:kern w:val="0"/>
          <w:sz w:val="28"/>
          <w:szCs w:val="28"/>
        </w:rPr>
      </w:pPr>
      <w:r>
        <w:rPr>
          <w:rFonts w:hint="eastAsia" w:ascii="宋体" w:hAnsi="宋体"/>
          <w:kern w:val="0"/>
          <w:sz w:val="28"/>
          <w:szCs w:val="28"/>
        </w:rPr>
        <w:t>运输伤员送医。</w:t>
      </w:r>
    </w:p>
    <w:p w14:paraId="02948C64">
      <w:pPr>
        <w:pStyle w:val="17"/>
        <w:numPr>
          <w:ilvl w:val="0"/>
          <w:numId w:val="32"/>
        </w:numPr>
        <w:spacing w:line="360" w:lineRule="auto"/>
        <w:ind w:firstLineChars="0"/>
        <w:rPr>
          <w:rFonts w:ascii="宋体" w:hAnsi="宋体"/>
          <w:kern w:val="0"/>
          <w:sz w:val="28"/>
          <w:szCs w:val="28"/>
        </w:rPr>
      </w:pPr>
      <w:r>
        <w:rPr>
          <w:rFonts w:ascii="宋体" w:hAnsi="宋体"/>
          <w:kern w:val="0"/>
          <w:sz w:val="28"/>
          <w:szCs w:val="28"/>
        </w:rPr>
        <w:t>受事故影响的居民安置</w:t>
      </w:r>
      <w:r>
        <w:rPr>
          <w:rFonts w:hint="eastAsia" w:ascii="宋体" w:hAnsi="宋体"/>
          <w:kern w:val="0"/>
          <w:sz w:val="28"/>
          <w:szCs w:val="28"/>
        </w:rPr>
        <w:t>。</w:t>
      </w:r>
    </w:p>
    <w:p w14:paraId="03E739B5">
      <w:pPr>
        <w:pStyle w:val="17"/>
        <w:numPr>
          <w:ilvl w:val="0"/>
          <w:numId w:val="32"/>
        </w:numPr>
        <w:spacing w:line="360" w:lineRule="auto"/>
        <w:ind w:firstLineChars="0"/>
        <w:rPr>
          <w:rFonts w:ascii="宋体" w:hAnsi="宋体"/>
          <w:kern w:val="0"/>
          <w:sz w:val="28"/>
          <w:szCs w:val="28"/>
        </w:rPr>
      </w:pPr>
      <w:r>
        <w:rPr>
          <w:rFonts w:ascii="宋体" w:hAnsi="宋体"/>
          <w:kern w:val="0"/>
          <w:sz w:val="28"/>
          <w:szCs w:val="28"/>
        </w:rPr>
        <w:t>基本生活保障供应</w:t>
      </w:r>
      <w:r>
        <w:rPr>
          <w:rFonts w:hint="eastAsia" w:ascii="宋体" w:hAnsi="宋体"/>
          <w:kern w:val="0"/>
          <w:sz w:val="28"/>
          <w:szCs w:val="28"/>
        </w:rPr>
        <w:t>。</w:t>
      </w:r>
    </w:p>
    <w:p w14:paraId="53D860F9">
      <w:pPr>
        <w:pStyle w:val="17"/>
        <w:numPr>
          <w:ilvl w:val="0"/>
          <w:numId w:val="32"/>
        </w:numPr>
        <w:spacing w:line="360" w:lineRule="auto"/>
        <w:ind w:firstLineChars="0"/>
        <w:rPr>
          <w:rFonts w:ascii="宋体" w:hAnsi="宋体"/>
          <w:kern w:val="0"/>
          <w:sz w:val="28"/>
          <w:szCs w:val="28"/>
        </w:rPr>
      </w:pPr>
      <w:r>
        <w:rPr>
          <w:rFonts w:hint="eastAsia" w:ascii="宋体" w:hAnsi="宋体"/>
          <w:kern w:val="0"/>
          <w:sz w:val="28"/>
          <w:szCs w:val="28"/>
        </w:rPr>
        <w:t>心理疏导等。</w:t>
      </w:r>
    </w:p>
    <w:p w14:paraId="75612F60">
      <w:pPr>
        <w:pStyle w:val="3"/>
        <w:keepNext w:val="0"/>
        <w:keepLines w:val="0"/>
        <w:spacing w:before="0" w:after="0" w:line="360" w:lineRule="auto"/>
        <w:rPr>
          <w:rFonts w:ascii="宋体" w:hAnsi="宋体"/>
          <w:kern w:val="0"/>
          <w:sz w:val="28"/>
          <w:szCs w:val="28"/>
        </w:rPr>
      </w:pPr>
      <w:bookmarkStart w:id="33" w:name="_Toc184287594"/>
      <w:r>
        <w:rPr>
          <w:rFonts w:hint="eastAsia" w:ascii="宋体" w:hAnsi="宋体"/>
          <w:kern w:val="0"/>
          <w:sz w:val="28"/>
          <w:szCs w:val="28"/>
        </w:rPr>
        <w:t>（七）</w:t>
      </w:r>
      <w:r>
        <w:rPr>
          <w:rFonts w:ascii="宋体" w:hAnsi="宋体"/>
          <w:kern w:val="0"/>
          <w:sz w:val="28"/>
          <w:szCs w:val="28"/>
        </w:rPr>
        <w:t>事故</w:t>
      </w:r>
      <w:r>
        <w:rPr>
          <w:rFonts w:hint="eastAsia" w:ascii="宋体" w:hAnsi="宋体"/>
          <w:kern w:val="0"/>
          <w:sz w:val="28"/>
          <w:szCs w:val="28"/>
        </w:rPr>
        <w:t>现场</w:t>
      </w:r>
      <w:r>
        <w:rPr>
          <w:rFonts w:ascii="宋体" w:hAnsi="宋体"/>
          <w:kern w:val="0"/>
          <w:sz w:val="28"/>
          <w:szCs w:val="28"/>
        </w:rPr>
        <w:t>检测与评估</w:t>
      </w:r>
      <w:bookmarkEnd w:id="33"/>
    </w:p>
    <w:p w14:paraId="1F07EBA5">
      <w:pPr>
        <w:spacing w:line="360" w:lineRule="auto"/>
        <w:ind w:firstLine="560" w:firstLineChars="200"/>
        <w:jc w:val="left"/>
        <w:rPr>
          <w:rFonts w:ascii="宋体" w:hAnsi="宋体"/>
          <w:kern w:val="0"/>
          <w:sz w:val="28"/>
          <w:szCs w:val="28"/>
        </w:rPr>
      </w:pPr>
      <w:r>
        <w:rPr>
          <w:rFonts w:hint="eastAsia" w:ascii="宋体" w:hAnsi="宋体"/>
          <w:kern w:val="0"/>
          <w:sz w:val="28"/>
          <w:szCs w:val="28"/>
        </w:rPr>
        <w:t>现场指挥部要根据事态发展情况，组织专家分析事故原因，评估事故发展趋势，预测事故后果，进一步完善应急救援措施。</w:t>
      </w:r>
    </w:p>
    <w:p w14:paraId="2A99A433">
      <w:pPr>
        <w:pStyle w:val="3"/>
        <w:keepNext w:val="0"/>
        <w:keepLines w:val="0"/>
        <w:spacing w:before="0" w:after="0" w:line="360" w:lineRule="auto"/>
        <w:rPr>
          <w:rFonts w:ascii="宋体" w:hAnsi="宋体"/>
          <w:kern w:val="0"/>
          <w:sz w:val="28"/>
          <w:szCs w:val="28"/>
        </w:rPr>
      </w:pPr>
      <w:bookmarkStart w:id="34" w:name="_Toc184287595"/>
      <w:r>
        <w:rPr>
          <w:rFonts w:hint="eastAsia" w:ascii="宋体" w:hAnsi="宋体"/>
          <w:kern w:val="0"/>
          <w:sz w:val="28"/>
          <w:szCs w:val="28"/>
        </w:rPr>
        <w:t>（八）扩大应急</w:t>
      </w:r>
      <w:bookmarkEnd w:id="34"/>
    </w:p>
    <w:p w14:paraId="3B782668">
      <w:pPr>
        <w:ind w:firstLine="560" w:firstLineChars="200"/>
        <w:rPr>
          <w:rFonts w:ascii="宋体" w:hAnsi="宋体"/>
          <w:kern w:val="0"/>
          <w:sz w:val="28"/>
          <w:szCs w:val="28"/>
        </w:rPr>
      </w:pPr>
      <w:r>
        <w:rPr>
          <w:rFonts w:hint="eastAsia" w:ascii="宋体" w:hAnsi="宋体"/>
          <w:kern w:val="0"/>
          <w:sz w:val="28"/>
          <w:szCs w:val="28"/>
        </w:rPr>
        <w:t>如果应急处置未能控制事故发展，事故有进一步扩大的趋势，可能波及更大范围造成严重危害的，必须立即报告县政府、市应急管理局和市人民政府，请求支援并提请启动市级应急响应。</w:t>
      </w:r>
    </w:p>
    <w:p w14:paraId="2B1C3981">
      <w:pPr>
        <w:ind w:firstLine="560" w:firstLineChars="200"/>
        <w:rPr>
          <w:rFonts w:ascii="宋体" w:hAnsi="宋体"/>
          <w:kern w:val="0"/>
          <w:sz w:val="28"/>
          <w:szCs w:val="28"/>
        </w:rPr>
      </w:pPr>
      <w:r>
        <w:rPr>
          <w:rFonts w:hint="eastAsia" w:ascii="宋体" w:hAnsi="宋体"/>
          <w:kern w:val="0"/>
          <w:sz w:val="28"/>
          <w:szCs w:val="28"/>
        </w:rPr>
        <w:t>在市级预案启动前，县应急指挥部仍按职责实施应急救援。市级应急预案启动之后，县应急指挥部各成员单位和救援工作组按照市级应急指挥部的要求配合实施救援。</w:t>
      </w:r>
    </w:p>
    <w:p w14:paraId="0CD34F5F">
      <w:pPr>
        <w:ind w:firstLine="560" w:firstLineChars="200"/>
      </w:pPr>
      <w:r>
        <w:rPr>
          <w:rFonts w:hint="eastAsia" w:ascii="宋体" w:hAnsi="宋体"/>
          <w:kern w:val="0"/>
          <w:sz w:val="28"/>
          <w:szCs w:val="28"/>
        </w:rPr>
        <w:t>出现急剧恶化的特殊险情时，现场指挥部在充分考虑专家和有关方面意见的基础上，依规采取组织救援人员撤离等紧急处置措施。</w:t>
      </w:r>
    </w:p>
    <w:p w14:paraId="1C047A33">
      <w:pPr>
        <w:pStyle w:val="3"/>
        <w:keepNext w:val="0"/>
        <w:keepLines w:val="0"/>
        <w:spacing w:before="0" w:after="0" w:line="360" w:lineRule="auto"/>
        <w:rPr>
          <w:rFonts w:ascii="宋体" w:hAnsi="宋体"/>
          <w:kern w:val="0"/>
          <w:sz w:val="28"/>
          <w:szCs w:val="28"/>
        </w:rPr>
      </w:pPr>
      <w:bookmarkStart w:id="35" w:name="_Toc184287596"/>
      <w:r>
        <w:rPr>
          <w:rFonts w:hint="eastAsia" w:ascii="宋体" w:hAnsi="宋体"/>
          <w:kern w:val="0"/>
          <w:sz w:val="28"/>
          <w:szCs w:val="28"/>
        </w:rPr>
        <w:t>（九）</w:t>
      </w:r>
      <w:r>
        <w:rPr>
          <w:rFonts w:ascii="宋体" w:hAnsi="宋体"/>
          <w:kern w:val="0"/>
          <w:sz w:val="28"/>
          <w:szCs w:val="28"/>
        </w:rPr>
        <w:t>响应终止</w:t>
      </w:r>
      <w:bookmarkEnd w:id="35"/>
    </w:p>
    <w:p w14:paraId="5054A4D7">
      <w:pPr>
        <w:spacing w:line="360" w:lineRule="auto"/>
        <w:ind w:firstLine="560" w:firstLineChars="200"/>
        <w:jc w:val="left"/>
        <w:rPr>
          <w:rFonts w:ascii="宋体" w:hAnsi="宋体" w:cs="Arial"/>
          <w:kern w:val="0"/>
          <w:sz w:val="28"/>
          <w:szCs w:val="28"/>
        </w:rPr>
      </w:pPr>
      <w:r>
        <w:rPr>
          <w:rFonts w:ascii="宋体" w:hAnsi="宋体" w:cs="Arial"/>
          <w:kern w:val="0"/>
          <w:sz w:val="28"/>
          <w:szCs w:val="28"/>
        </w:rPr>
        <w:t>根据掌握的危险化学品生产安全事故信息，确认事故现场得以控制，次生、衍生事故隐患得到消除后，现场指挥部向</w:t>
      </w:r>
      <w:r>
        <w:rPr>
          <w:rFonts w:hint="eastAsia" w:ascii="宋体" w:hAnsi="宋体" w:cs="Arial"/>
          <w:kern w:val="0"/>
          <w:sz w:val="28"/>
          <w:szCs w:val="28"/>
        </w:rPr>
        <w:t>应急指挥部</w:t>
      </w:r>
      <w:r>
        <w:rPr>
          <w:rFonts w:ascii="宋体" w:hAnsi="宋体" w:cs="Arial"/>
          <w:kern w:val="0"/>
          <w:sz w:val="28"/>
          <w:szCs w:val="28"/>
        </w:rPr>
        <w:t>提出应急响应终止建议，由</w:t>
      </w:r>
      <w:r>
        <w:rPr>
          <w:rFonts w:hint="eastAsia" w:ascii="宋体" w:hAnsi="宋体" w:cs="Arial"/>
          <w:kern w:val="0"/>
          <w:sz w:val="28"/>
          <w:szCs w:val="28"/>
        </w:rPr>
        <w:t>应急指挥部</w:t>
      </w:r>
      <w:r>
        <w:rPr>
          <w:rFonts w:ascii="宋体" w:hAnsi="宋体" w:cs="Arial"/>
          <w:kern w:val="0"/>
          <w:sz w:val="28"/>
          <w:szCs w:val="28"/>
        </w:rPr>
        <w:t>确定响应终止。</w:t>
      </w:r>
    </w:p>
    <w:p w14:paraId="3ADDCD2C">
      <w:pPr>
        <w:shd w:val="clear" w:color="auto" w:fill="FFFFFF"/>
        <w:spacing w:line="360" w:lineRule="auto"/>
        <w:ind w:firstLine="560" w:firstLineChars="200"/>
        <w:jc w:val="left"/>
        <w:rPr>
          <w:rFonts w:ascii="宋体" w:hAnsi="宋体" w:cs="宋体"/>
          <w:color w:val="FF0000"/>
          <w:kern w:val="0"/>
          <w:sz w:val="28"/>
          <w:szCs w:val="28"/>
        </w:rPr>
      </w:pPr>
      <w:r>
        <w:rPr>
          <w:rFonts w:hint="eastAsia" w:ascii="宋体" w:hAnsi="宋体" w:cs="宋体"/>
          <w:kern w:val="0"/>
          <w:sz w:val="28"/>
          <w:szCs w:val="28"/>
        </w:rPr>
        <w:t>响应结束后，应通知相关单位和公众。</w:t>
      </w:r>
    </w:p>
    <w:p w14:paraId="0A5D8C3E">
      <w:pPr>
        <w:spacing w:line="360" w:lineRule="auto"/>
        <w:ind w:firstLine="560" w:firstLineChars="200"/>
        <w:jc w:val="left"/>
        <w:rPr>
          <w:rFonts w:ascii="宋体" w:hAnsi="宋体" w:cs="Arial"/>
          <w:kern w:val="0"/>
          <w:sz w:val="28"/>
          <w:szCs w:val="28"/>
        </w:rPr>
      </w:pPr>
      <w:r>
        <w:rPr>
          <w:rFonts w:hint="eastAsia" w:ascii="宋体" w:hAnsi="宋体" w:cs="宋体"/>
          <w:kern w:val="0"/>
          <w:sz w:val="28"/>
          <w:szCs w:val="28"/>
        </w:rPr>
        <w:t>应急期结束后，各有关单位必须及时补充物资和器材，重新回到应急准备状态。</w:t>
      </w:r>
    </w:p>
    <w:p w14:paraId="1066832A">
      <w:pPr>
        <w:pStyle w:val="3"/>
        <w:keepNext w:val="0"/>
        <w:keepLines w:val="0"/>
        <w:spacing w:before="0" w:after="0" w:line="360" w:lineRule="auto"/>
        <w:rPr>
          <w:rFonts w:ascii="宋体" w:hAnsi="宋体"/>
          <w:kern w:val="0"/>
          <w:sz w:val="28"/>
          <w:szCs w:val="28"/>
        </w:rPr>
      </w:pPr>
      <w:bookmarkStart w:id="36" w:name="_Toc184287597"/>
      <w:r>
        <w:rPr>
          <w:rFonts w:hint="eastAsia" w:ascii="宋体" w:hAnsi="宋体"/>
          <w:kern w:val="0"/>
          <w:sz w:val="28"/>
          <w:szCs w:val="28"/>
        </w:rPr>
        <w:t>（十）信息发布</w:t>
      </w:r>
      <w:bookmarkEnd w:id="36"/>
    </w:p>
    <w:p w14:paraId="4B971CB1">
      <w:pPr>
        <w:ind w:firstLine="560" w:firstLineChars="200"/>
        <w:rPr>
          <w:rFonts w:ascii="宋体" w:hAnsi="宋体" w:cs="Arial"/>
          <w:kern w:val="0"/>
          <w:sz w:val="28"/>
          <w:szCs w:val="28"/>
        </w:rPr>
      </w:pPr>
      <w:r>
        <w:rPr>
          <w:rFonts w:hint="eastAsia" w:ascii="宋体" w:hAnsi="宋体" w:cs="Arial"/>
          <w:kern w:val="0"/>
          <w:sz w:val="28"/>
          <w:szCs w:val="28"/>
        </w:rPr>
        <w:t>应急指挥部负责对事故发生、救援及调查、原因分析、人员伤亡和经济损失等情况进行整理，报县应急指挥部，按照相关程序向社会发布。</w:t>
      </w:r>
    </w:p>
    <w:p w14:paraId="53466C83">
      <w:pPr>
        <w:ind w:firstLine="560" w:firstLineChars="200"/>
      </w:pPr>
      <w:r>
        <w:rPr>
          <w:rFonts w:hint="eastAsia" w:ascii="宋体" w:hAnsi="宋体" w:cs="Arial"/>
          <w:kern w:val="0"/>
          <w:sz w:val="28"/>
          <w:szCs w:val="28"/>
        </w:rPr>
        <w:t>发布的信息力求准确、客观、全面，并根据事故处置进展，做好后续发布工作。</w:t>
      </w:r>
    </w:p>
    <w:p w14:paraId="3F0876B8">
      <w:pPr>
        <w:pStyle w:val="3"/>
        <w:keepNext w:val="0"/>
        <w:keepLines w:val="0"/>
        <w:spacing w:before="0" w:after="0" w:line="360" w:lineRule="auto"/>
        <w:rPr>
          <w:rFonts w:ascii="宋体" w:hAnsi="宋体"/>
          <w:kern w:val="0"/>
          <w:sz w:val="28"/>
          <w:szCs w:val="28"/>
        </w:rPr>
      </w:pPr>
      <w:bookmarkStart w:id="37" w:name="_Toc184287598"/>
      <w:r>
        <w:rPr>
          <w:rFonts w:hint="eastAsia" w:ascii="宋体" w:hAnsi="宋体"/>
          <w:kern w:val="0"/>
          <w:sz w:val="28"/>
          <w:szCs w:val="28"/>
        </w:rPr>
        <w:t>（十一）现场处置注意事项</w:t>
      </w:r>
      <w:bookmarkEnd w:id="37"/>
    </w:p>
    <w:p w14:paraId="658C38A4">
      <w:pPr>
        <w:pStyle w:val="17"/>
        <w:numPr>
          <w:ilvl w:val="0"/>
          <w:numId w:val="33"/>
        </w:numPr>
        <w:spacing w:line="360" w:lineRule="auto"/>
        <w:ind w:left="426" w:hanging="426" w:firstLineChars="0"/>
        <w:jc w:val="left"/>
        <w:rPr>
          <w:rFonts w:ascii="宋体" w:hAnsi="宋体"/>
          <w:kern w:val="0"/>
          <w:sz w:val="28"/>
          <w:szCs w:val="28"/>
        </w:rPr>
      </w:pPr>
      <w:r>
        <w:rPr>
          <w:rFonts w:hint="eastAsia" w:ascii="宋体" w:hAnsi="宋体"/>
          <w:kern w:val="0"/>
          <w:sz w:val="28"/>
          <w:szCs w:val="28"/>
        </w:rPr>
        <w:t>火灾事故处置：</w:t>
      </w:r>
    </w:p>
    <w:p w14:paraId="4A29DA2A">
      <w:pPr>
        <w:pStyle w:val="17"/>
        <w:numPr>
          <w:ilvl w:val="0"/>
          <w:numId w:val="34"/>
        </w:numPr>
        <w:spacing w:line="360" w:lineRule="auto"/>
        <w:ind w:firstLineChars="0"/>
        <w:jc w:val="left"/>
        <w:rPr>
          <w:rFonts w:ascii="宋体" w:hAnsi="宋体" w:cs="Arial"/>
          <w:kern w:val="0"/>
          <w:sz w:val="28"/>
          <w:szCs w:val="28"/>
        </w:rPr>
      </w:pPr>
      <w:r>
        <w:rPr>
          <w:rFonts w:hint="eastAsia" w:ascii="宋体" w:hAnsi="宋体"/>
          <w:kern w:val="0"/>
          <w:sz w:val="28"/>
          <w:szCs w:val="28"/>
        </w:rPr>
        <w:t>根据火灾爆炸发生未知、危险化学品性质及火势扩大的可能性，综合考虑火灾发生区域的周围环境</w:t>
      </w:r>
      <w:r>
        <w:rPr>
          <w:rFonts w:hint="eastAsia" w:ascii="宋体" w:hAnsi="宋体" w:cs="Arial"/>
          <w:kern w:val="0"/>
          <w:sz w:val="28"/>
          <w:szCs w:val="28"/>
        </w:rPr>
        <w:t>及</w:t>
      </w:r>
      <w:r>
        <w:rPr>
          <w:rFonts w:ascii="宋体" w:hAnsi="宋体" w:cs="Arial"/>
          <w:kern w:val="0"/>
          <w:sz w:val="28"/>
          <w:szCs w:val="28"/>
        </w:rPr>
        <w:t>火灾可能对周边的影响</w:t>
      </w:r>
      <w:r>
        <w:rPr>
          <w:rFonts w:hint="eastAsia" w:ascii="宋体" w:hAnsi="宋体" w:cs="Arial"/>
          <w:kern w:val="0"/>
          <w:sz w:val="28"/>
          <w:szCs w:val="28"/>
        </w:rPr>
        <w:t>，</w:t>
      </w:r>
      <w:r>
        <w:rPr>
          <w:rFonts w:ascii="宋体" w:hAnsi="宋体" w:cs="Arial"/>
          <w:kern w:val="0"/>
          <w:sz w:val="28"/>
          <w:szCs w:val="28"/>
        </w:rPr>
        <w:t>确定警戒范围</w:t>
      </w:r>
      <w:r>
        <w:rPr>
          <w:rFonts w:hint="eastAsia" w:ascii="宋体" w:hAnsi="宋体" w:cs="Arial"/>
          <w:kern w:val="0"/>
          <w:sz w:val="28"/>
          <w:szCs w:val="28"/>
        </w:rPr>
        <w:t>，</w:t>
      </w:r>
      <w:r>
        <w:rPr>
          <w:rFonts w:ascii="宋体" w:hAnsi="宋体" w:cs="Arial"/>
          <w:kern w:val="0"/>
          <w:sz w:val="28"/>
          <w:szCs w:val="28"/>
        </w:rPr>
        <w:t>及时疏散外围群众</w:t>
      </w:r>
      <w:r>
        <w:rPr>
          <w:rFonts w:hint="eastAsia" w:ascii="宋体" w:hAnsi="宋体" w:cs="Arial"/>
          <w:kern w:val="0"/>
          <w:sz w:val="28"/>
          <w:szCs w:val="28"/>
        </w:rPr>
        <w:t>，</w:t>
      </w:r>
      <w:r>
        <w:rPr>
          <w:rFonts w:ascii="宋体" w:hAnsi="宋体" w:cs="Arial"/>
          <w:kern w:val="0"/>
          <w:sz w:val="28"/>
          <w:szCs w:val="28"/>
        </w:rPr>
        <w:t>禁止无关人员入内</w:t>
      </w:r>
      <w:r>
        <w:rPr>
          <w:rFonts w:hint="eastAsia" w:ascii="宋体" w:hAnsi="宋体" w:cs="Arial"/>
          <w:kern w:val="0"/>
          <w:sz w:val="28"/>
          <w:szCs w:val="28"/>
        </w:rPr>
        <w:t>，并提前引导无关车辆绕行。</w:t>
      </w:r>
    </w:p>
    <w:p w14:paraId="1C42B808">
      <w:pPr>
        <w:pStyle w:val="17"/>
        <w:numPr>
          <w:ilvl w:val="0"/>
          <w:numId w:val="34"/>
        </w:numPr>
        <w:spacing w:line="360" w:lineRule="auto"/>
        <w:ind w:firstLineChars="0"/>
        <w:jc w:val="left"/>
        <w:rPr>
          <w:rFonts w:ascii="宋体" w:hAnsi="宋体" w:cs="Arial"/>
          <w:kern w:val="0"/>
          <w:sz w:val="28"/>
          <w:szCs w:val="28"/>
        </w:rPr>
      </w:pPr>
      <w:r>
        <w:rPr>
          <w:rFonts w:hint="eastAsia" w:ascii="宋体" w:hAnsi="宋体" w:cs="Arial"/>
          <w:kern w:val="0"/>
          <w:sz w:val="28"/>
          <w:szCs w:val="28"/>
        </w:rPr>
        <w:t>根据火势及时通知专业的消防救援队伍、专家、企业应急救援队伍原地待命或立即赶赴现场。</w:t>
      </w:r>
    </w:p>
    <w:p w14:paraId="113B1E50">
      <w:pPr>
        <w:pStyle w:val="17"/>
        <w:numPr>
          <w:ilvl w:val="0"/>
          <w:numId w:val="34"/>
        </w:numPr>
        <w:spacing w:line="360" w:lineRule="auto"/>
        <w:ind w:firstLineChars="0"/>
        <w:jc w:val="left"/>
        <w:rPr>
          <w:rFonts w:ascii="宋体" w:hAnsi="宋体" w:cs="Arial"/>
          <w:kern w:val="0"/>
          <w:sz w:val="28"/>
          <w:szCs w:val="28"/>
        </w:rPr>
      </w:pPr>
      <w:r>
        <w:rPr>
          <w:rFonts w:hint="eastAsia" w:ascii="宋体" w:hAnsi="宋体" w:cs="Arial"/>
          <w:kern w:val="0"/>
          <w:sz w:val="28"/>
          <w:szCs w:val="28"/>
        </w:rPr>
        <w:t>事先制定灭火方案。现场指挥部组织事发单位、专家、各救援工作组制定灭火方案时，应根据危险化学品的性质确定灭火方法。</w:t>
      </w:r>
    </w:p>
    <w:p w14:paraId="205CD4C6">
      <w:pPr>
        <w:pStyle w:val="17"/>
        <w:numPr>
          <w:ilvl w:val="0"/>
          <w:numId w:val="34"/>
        </w:numPr>
        <w:spacing w:line="360" w:lineRule="auto"/>
        <w:ind w:firstLineChars="0"/>
        <w:jc w:val="left"/>
        <w:rPr>
          <w:rFonts w:ascii="宋体" w:hAnsi="宋体" w:cs="Arial"/>
          <w:kern w:val="0"/>
          <w:sz w:val="28"/>
          <w:szCs w:val="28"/>
        </w:rPr>
      </w:pPr>
      <w:r>
        <w:rPr>
          <w:rFonts w:hint="eastAsia" w:ascii="宋体" w:hAnsi="宋体" w:cs="Arial"/>
          <w:kern w:val="0"/>
          <w:sz w:val="28"/>
          <w:szCs w:val="28"/>
        </w:rPr>
        <w:t>实施灭火时，救援人员配备必要的隔热、隔烟、防辐射的个体防护装备。出现意外情况时立即组织救援人员撤离。</w:t>
      </w:r>
    </w:p>
    <w:p w14:paraId="439DAB83">
      <w:pPr>
        <w:pStyle w:val="17"/>
        <w:numPr>
          <w:ilvl w:val="0"/>
          <w:numId w:val="34"/>
        </w:numPr>
        <w:spacing w:line="360" w:lineRule="auto"/>
        <w:ind w:firstLineChars="0"/>
        <w:jc w:val="left"/>
        <w:rPr>
          <w:rFonts w:ascii="宋体" w:hAnsi="宋体" w:cs="Arial"/>
          <w:kern w:val="0"/>
          <w:sz w:val="28"/>
          <w:szCs w:val="28"/>
        </w:rPr>
      </w:pPr>
      <w:r>
        <w:rPr>
          <w:rFonts w:hint="eastAsia" w:ascii="宋体" w:hAnsi="宋体" w:cs="Arial"/>
          <w:kern w:val="0"/>
          <w:sz w:val="28"/>
          <w:szCs w:val="28"/>
        </w:rPr>
        <w:t>及时根据风向变化调整救援人员位置。</w:t>
      </w:r>
    </w:p>
    <w:p w14:paraId="605EDD32">
      <w:pPr>
        <w:pStyle w:val="17"/>
        <w:numPr>
          <w:ilvl w:val="0"/>
          <w:numId w:val="34"/>
        </w:numPr>
        <w:spacing w:line="360" w:lineRule="auto"/>
        <w:ind w:firstLineChars="0"/>
        <w:jc w:val="left"/>
        <w:rPr>
          <w:rFonts w:ascii="宋体" w:hAnsi="宋体" w:cs="Arial"/>
          <w:kern w:val="0"/>
          <w:sz w:val="28"/>
          <w:szCs w:val="28"/>
        </w:rPr>
      </w:pPr>
      <w:r>
        <w:rPr>
          <w:rFonts w:hint="eastAsia" w:ascii="宋体" w:hAnsi="宋体" w:cs="Arial"/>
          <w:kern w:val="0"/>
          <w:sz w:val="28"/>
          <w:szCs w:val="28"/>
        </w:rPr>
        <w:t>及时调整救援方案调整。应急指挥部根据现场实际情况及时调整方案。</w:t>
      </w:r>
    </w:p>
    <w:p w14:paraId="4A5C13D5">
      <w:pPr>
        <w:pStyle w:val="17"/>
        <w:numPr>
          <w:ilvl w:val="0"/>
          <w:numId w:val="33"/>
        </w:numPr>
        <w:spacing w:line="360" w:lineRule="auto"/>
        <w:ind w:left="426" w:hanging="426" w:firstLineChars="0"/>
        <w:jc w:val="left"/>
        <w:rPr>
          <w:rFonts w:ascii="宋体" w:hAnsi="宋体"/>
          <w:kern w:val="0"/>
          <w:sz w:val="28"/>
          <w:szCs w:val="28"/>
        </w:rPr>
      </w:pPr>
      <w:r>
        <w:rPr>
          <w:rFonts w:ascii="宋体" w:hAnsi="宋体"/>
          <w:kern w:val="0"/>
          <w:sz w:val="28"/>
          <w:szCs w:val="28"/>
        </w:rPr>
        <w:t>爆炸事故</w:t>
      </w:r>
      <w:r>
        <w:rPr>
          <w:rFonts w:hint="eastAsia" w:ascii="宋体" w:hAnsi="宋体"/>
          <w:kern w:val="0"/>
          <w:sz w:val="28"/>
          <w:szCs w:val="28"/>
        </w:rPr>
        <w:t>处置：</w:t>
      </w:r>
    </w:p>
    <w:p w14:paraId="363F219D">
      <w:pPr>
        <w:pStyle w:val="17"/>
        <w:numPr>
          <w:ilvl w:val="0"/>
          <w:numId w:val="35"/>
        </w:numPr>
        <w:spacing w:line="360" w:lineRule="auto"/>
        <w:ind w:firstLineChars="0"/>
        <w:jc w:val="left"/>
        <w:rPr>
          <w:rFonts w:ascii="宋体" w:hAnsi="宋体" w:cs="Arial"/>
          <w:kern w:val="0"/>
          <w:sz w:val="28"/>
          <w:szCs w:val="28"/>
        </w:rPr>
      </w:pPr>
      <w:r>
        <w:rPr>
          <w:rFonts w:hint="eastAsia" w:ascii="宋体" w:hAnsi="宋体" w:cs="Arial"/>
          <w:kern w:val="0"/>
          <w:sz w:val="28"/>
          <w:szCs w:val="28"/>
        </w:rPr>
        <w:t>确定爆炸位置、引发爆炸的物质类别及爆炸类型，初步判断二次爆炸发生的可能性。</w:t>
      </w:r>
    </w:p>
    <w:p w14:paraId="3AD73E1F">
      <w:pPr>
        <w:pStyle w:val="17"/>
        <w:numPr>
          <w:ilvl w:val="0"/>
          <w:numId w:val="35"/>
        </w:numPr>
        <w:spacing w:line="360" w:lineRule="auto"/>
        <w:ind w:firstLineChars="0"/>
        <w:jc w:val="left"/>
        <w:rPr>
          <w:rFonts w:ascii="宋体" w:hAnsi="宋体" w:cs="Arial"/>
          <w:kern w:val="0"/>
          <w:sz w:val="28"/>
          <w:szCs w:val="28"/>
        </w:rPr>
      </w:pPr>
      <w:r>
        <w:rPr>
          <w:rFonts w:hint="eastAsia" w:ascii="宋体" w:hAnsi="宋体" w:cs="Arial"/>
          <w:kern w:val="0"/>
          <w:sz w:val="28"/>
          <w:szCs w:val="28"/>
        </w:rPr>
        <w:t>物理爆炸应关注爆炸装置的工作温度、压力及相邻装置的运行情况，防止相邻装置发生二次爆炸。</w:t>
      </w:r>
    </w:p>
    <w:p w14:paraId="5C991774">
      <w:pPr>
        <w:pStyle w:val="17"/>
        <w:numPr>
          <w:ilvl w:val="0"/>
          <w:numId w:val="35"/>
        </w:numPr>
        <w:spacing w:line="360" w:lineRule="auto"/>
        <w:ind w:firstLineChars="0"/>
        <w:jc w:val="left"/>
        <w:rPr>
          <w:rFonts w:ascii="宋体" w:hAnsi="宋体" w:cs="Arial"/>
          <w:kern w:val="0"/>
          <w:sz w:val="28"/>
          <w:szCs w:val="28"/>
        </w:rPr>
      </w:pPr>
      <w:r>
        <w:rPr>
          <w:rFonts w:hint="eastAsia" w:ascii="宋体" w:hAnsi="宋体" w:cs="Arial"/>
          <w:kern w:val="0"/>
          <w:sz w:val="28"/>
          <w:szCs w:val="28"/>
        </w:rPr>
        <w:t>化学爆炸应确保警戒区内停电、停火，避免现场出现点火源。抢险救援组进入危险区前应将地面喷湿，防止摩擦、撞击产生火花。这时应避免泄漏的易燃液体随水流扩散。</w:t>
      </w:r>
    </w:p>
    <w:p w14:paraId="4D49F240">
      <w:pPr>
        <w:pStyle w:val="17"/>
        <w:numPr>
          <w:ilvl w:val="0"/>
          <w:numId w:val="35"/>
        </w:numPr>
        <w:spacing w:line="360" w:lineRule="auto"/>
        <w:ind w:firstLineChars="0"/>
        <w:jc w:val="left"/>
        <w:rPr>
          <w:rFonts w:ascii="宋体" w:hAnsi="宋体" w:cs="Arial"/>
          <w:kern w:val="0"/>
          <w:sz w:val="28"/>
          <w:szCs w:val="28"/>
        </w:rPr>
      </w:pPr>
      <w:r>
        <w:rPr>
          <w:rFonts w:ascii="宋体" w:hAnsi="宋体" w:cs="Arial"/>
          <w:kern w:val="0"/>
          <w:sz w:val="28"/>
          <w:szCs w:val="28"/>
        </w:rPr>
        <w:t>及时疏散外围群众</w:t>
      </w:r>
      <w:r>
        <w:rPr>
          <w:rFonts w:hint="eastAsia" w:ascii="宋体" w:hAnsi="宋体" w:cs="Arial"/>
          <w:kern w:val="0"/>
          <w:sz w:val="28"/>
          <w:szCs w:val="28"/>
        </w:rPr>
        <w:t>，</w:t>
      </w:r>
      <w:r>
        <w:rPr>
          <w:rFonts w:ascii="宋体" w:hAnsi="宋体" w:cs="Arial"/>
          <w:kern w:val="0"/>
          <w:sz w:val="28"/>
          <w:szCs w:val="28"/>
        </w:rPr>
        <w:t>禁止无关人员入内</w:t>
      </w:r>
      <w:r>
        <w:rPr>
          <w:rFonts w:hint="eastAsia" w:ascii="宋体" w:hAnsi="宋体" w:cs="Arial"/>
          <w:kern w:val="0"/>
          <w:sz w:val="28"/>
          <w:szCs w:val="28"/>
        </w:rPr>
        <w:t>，并提前引导无关车辆绕行。</w:t>
      </w:r>
    </w:p>
    <w:p w14:paraId="769ABFF3">
      <w:pPr>
        <w:pStyle w:val="17"/>
        <w:numPr>
          <w:ilvl w:val="0"/>
          <w:numId w:val="35"/>
        </w:numPr>
        <w:spacing w:line="360" w:lineRule="auto"/>
        <w:ind w:firstLineChars="0"/>
        <w:jc w:val="left"/>
        <w:rPr>
          <w:rFonts w:ascii="宋体" w:hAnsi="宋体" w:cs="Arial"/>
          <w:kern w:val="0"/>
          <w:sz w:val="28"/>
          <w:szCs w:val="28"/>
        </w:rPr>
      </w:pPr>
      <w:r>
        <w:rPr>
          <w:rFonts w:hint="eastAsia" w:ascii="宋体" w:hAnsi="宋体" w:cs="Arial"/>
          <w:kern w:val="0"/>
          <w:sz w:val="28"/>
          <w:szCs w:val="28"/>
        </w:rPr>
        <w:t>当危险化学品泄漏时，生态环境局应组织检测队伍做好现场泄漏物质浓度检测工作，及时上报应急指挥部撤离。</w:t>
      </w:r>
    </w:p>
    <w:p w14:paraId="309F1172">
      <w:pPr>
        <w:pStyle w:val="17"/>
        <w:numPr>
          <w:ilvl w:val="0"/>
          <w:numId w:val="35"/>
        </w:numPr>
        <w:spacing w:line="360" w:lineRule="auto"/>
        <w:ind w:firstLineChars="0"/>
        <w:jc w:val="left"/>
        <w:rPr>
          <w:rFonts w:ascii="宋体" w:hAnsi="宋体" w:cs="Arial"/>
          <w:kern w:val="0"/>
          <w:sz w:val="28"/>
          <w:szCs w:val="28"/>
        </w:rPr>
      </w:pPr>
      <w:r>
        <w:rPr>
          <w:rFonts w:hint="eastAsia" w:ascii="宋体" w:hAnsi="宋体" w:cs="Arial"/>
          <w:kern w:val="0"/>
          <w:sz w:val="28"/>
          <w:szCs w:val="28"/>
        </w:rPr>
        <w:t>救援方案根据现场实际情况及时调整。</w:t>
      </w:r>
    </w:p>
    <w:p w14:paraId="30548F2E">
      <w:pPr>
        <w:pStyle w:val="17"/>
        <w:numPr>
          <w:ilvl w:val="0"/>
          <w:numId w:val="33"/>
        </w:numPr>
        <w:spacing w:line="360" w:lineRule="auto"/>
        <w:ind w:left="426" w:hanging="426" w:firstLineChars="0"/>
        <w:jc w:val="left"/>
        <w:rPr>
          <w:rFonts w:ascii="宋体" w:hAnsi="宋体"/>
          <w:kern w:val="0"/>
          <w:sz w:val="28"/>
          <w:szCs w:val="28"/>
        </w:rPr>
      </w:pPr>
      <w:r>
        <w:rPr>
          <w:rFonts w:hint="eastAsia" w:ascii="宋体" w:hAnsi="宋体"/>
          <w:kern w:val="0"/>
          <w:sz w:val="28"/>
          <w:szCs w:val="28"/>
        </w:rPr>
        <w:t>易燃易爆危险化学品泄漏处置：</w:t>
      </w:r>
    </w:p>
    <w:p w14:paraId="482858AD">
      <w:pPr>
        <w:pStyle w:val="17"/>
        <w:numPr>
          <w:ilvl w:val="0"/>
          <w:numId w:val="36"/>
        </w:numPr>
        <w:spacing w:line="360" w:lineRule="auto"/>
        <w:ind w:firstLineChars="0"/>
        <w:jc w:val="left"/>
        <w:rPr>
          <w:rFonts w:ascii="宋体" w:hAnsi="宋体" w:cs="Arial"/>
          <w:kern w:val="0"/>
          <w:sz w:val="28"/>
          <w:szCs w:val="28"/>
        </w:rPr>
      </w:pPr>
      <w:r>
        <w:rPr>
          <w:rFonts w:hint="eastAsia" w:ascii="宋体" w:hAnsi="宋体" w:cs="Arial"/>
          <w:kern w:val="0"/>
          <w:sz w:val="28"/>
          <w:szCs w:val="28"/>
        </w:rPr>
        <w:t>确定泄漏的危险化学品种类、数量及性质（主要是沸点、闪点、爆炸极限等）、泄漏源的位置及泄漏现场点火源情况。</w:t>
      </w:r>
    </w:p>
    <w:p w14:paraId="0432DD40">
      <w:pPr>
        <w:pStyle w:val="17"/>
        <w:numPr>
          <w:ilvl w:val="0"/>
          <w:numId w:val="36"/>
        </w:numPr>
        <w:spacing w:line="360" w:lineRule="auto"/>
        <w:ind w:firstLineChars="0"/>
        <w:jc w:val="left"/>
        <w:rPr>
          <w:rFonts w:ascii="宋体" w:hAnsi="宋体" w:cs="Arial"/>
          <w:kern w:val="0"/>
          <w:sz w:val="28"/>
          <w:szCs w:val="28"/>
        </w:rPr>
      </w:pPr>
      <w:r>
        <w:rPr>
          <w:rFonts w:hint="eastAsia" w:ascii="宋体" w:hAnsi="宋体" w:cs="Arial"/>
          <w:kern w:val="0"/>
          <w:sz w:val="28"/>
          <w:szCs w:val="28"/>
        </w:rPr>
        <w:t>确定警戒范围。隔离外围群众、疏散警戒范围内的群众，设立警戒标志，禁止无关人员进入现场，引导无关车辆绕行。</w:t>
      </w:r>
    </w:p>
    <w:p w14:paraId="05974E62">
      <w:pPr>
        <w:pStyle w:val="17"/>
        <w:numPr>
          <w:ilvl w:val="0"/>
          <w:numId w:val="36"/>
        </w:numPr>
        <w:spacing w:line="360" w:lineRule="auto"/>
        <w:ind w:firstLineChars="0"/>
        <w:jc w:val="left"/>
        <w:rPr>
          <w:rFonts w:ascii="宋体" w:hAnsi="宋体" w:cs="Arial"/>
          <w:kern w:val="0"/>
          <w:sz w:val="28"/>
          <w:szCs w:val="28"/>
        </w:rPr>
      </w:pPr>
      <w:r>
        <w:rPr>
          <w:rFonts w:hint="eastAsia" w:ascii="宋体" w:hAnsi="宋体" w:cs="Arial"/>
          <w:kern w:val="0"/>
          <w:sz w:val="28"/>
          <w:szCs w:val="28"/>
        </w:rPr>
        <w:t>调集相应的消防救援队伍、专家等救援力量赶赴现场。</w:t>
      </w:r>
    </w:p>
    <w:p w14:paraId="50732B27">
      <w:pPr>
        <w:pStyle w:val="17"/>
        <w:numPr>
          <w:ilvl w:val="0"/>
          <w:numId w:val="36"/>
        </w:numPr>
        <w:spacing w:line="360" w:lineRule="auto"/>
        <w:ind w:firstLineChars="0"/>
        <w:jc w:val="left"/>
        <w:rPr>
          <w:rFonts w:ascii="宋体" w:hAnsi="宋体" w:cs="Arial"/>
          <w:kern w:val="0"/>
          <w:sz w:val="28"/>
          <w:szCs w:val="28"/>
        </w:rPr>
      </w:pPr>
      <w:r>
        <w:rPr>
          <w:rFonts w:hint="eastAsia" w:ascii="宋体" w:hAnsi="宋体" w:cs="Arial"/>
          <w:kern w:val="0"/>
          <w:sz w:val="28"/>
          <w:szCs w:val="28"/>
        </w:rPr>
        <w:t>现场指挥部根据泄漏源的周围环境（环境功能区、人口密度等），明确周围区域存在的重大危险源分布情况。</w:t>
      </w:r>
    </w:p>
    <w:p w14:paraId="00FEE96C">
      <w:pPr>
        <w:pStyle w:val="17"/>
        <w:numPr>
          <w:ilvl w:val="0"/>
          <w:numId w:val="36"/>
        </w:numPr>
        <w:spacing w:line="360" w:lineRule="auto"/>
        <w:ind w:firstLineChars="0"/>
        <w:jc w:val="left"/>
        <w:rPr>
          <w:rFonts w:ascii="宋体" w:hAnsi="宋体" w:cs="Arial"/>
          <w:kern w:val="0"/>
          <w:sz w:val="28"/>
          <w:szCs w:val="28"/>
        </w:rPr>
      </w:pPr>
      <w:r>
        <w:rPr>
          <w:rFonts w:hint="eastAsia" w:ascii="宋体" w:hAnsi="宋体" w:cs="Arial"/>
          <w:kern w:val="0"/>
          <w:sz w:val="28"/>
          <w:szCs w:val="28"/>
        </w:rPr>
        <w:t>生态环境局组织检测队伍，定时检测泄漏物质是否进入大气、附近水源、下水道等场所；加强现场大气、土壤、气象信息等监测,明确泄漏危及周围环境的可能性。</w:t>
      </w:r>
    </w:p>
    <w:p w14:paraId="6A85DB8C">
      <w:pPr>
        <w:pStyle w:val="17"/>
        <w:numPr>
          <w:ilvl w:val="0"/>
          <w:numId w:val="36"/>
        </w:numPr>
        <w:spacing w:line="360" w:lineRule="auto"/>
        <w:ind w:firstLineChars="0"/>
        <w:jc w:val="left"/>
        <w:rPr>
          <w:rFonts w:ascii="宋体" w:hAnsi="宋体" w:cs="Arial"/>
          <w:kern w:val="0"/>
          <w:sz w:val="28"/>
          <w:szCs w:val="28"/>
        </w:rPr>
      </w:pPr>
      <w:r>
        <w:rPr>
          <w:rFonts w:hint="eastAsia" w:ascii="宋体" w:hAnsi="宋体" w:cs="Arial"/>
          <w:kern w:val="0"/>
          <w:sz w:val="28"/>
          <w:szCs w:val="28"/>
        </w:rPr>
        <w:t>专家组根据事故现场实际或估算的泄漏量确定泄漏时间或预计持续时间，预测泄漏扩散趋势，确定主要的控制措施（如堵漏、工程抢险、人员疏散、医疗救护等）。</w:t>
      </w:r>
    </w:p>
    <w:p w14:paraId="461855F3">
      <w:pPr>
        <w:pStyle w:val="17"/>
        <w:numPr>
          <w:ilvl w:val="0"/>
          <w:numId w:val="36"/>
        </w:numPr>
        <w:spacing w:line="360" w:lineRule="auto"/>
        <w:ind w:firstLineChars="0"/>
        <w:jc w:val="left"/>
        <w:rPr>
          <w:rFonts w:ascii="宋体" w:hAnsi="宋体" w:cs="Arial"/>
          <w:kern w:val="0"/>
          <w:sz w:val="28"/>
          <w:szCs w:val="28"/>
        </w:rPr>
      </w:pPr>
      <w:r>
        <w:rPr>
          <w:rFonts w:hint="eastAsia" w:ascii="宋体" w:hAnsi="宋体" w:cs="Arial"/>
          <w:kern w:val="0"/>
          <w:sz w:val="28"/>
          <w:szCs w:val="28"/>
        </w:rPr>
        <w:t>出现危及救援人员安全的情况，现场指挥部应立即组织救援人员撤离。</w:t>
      </w:r>
    </w:p>
    <w:p w14:paraId="76BB90B7">
      <w:pPr>
        <w:pStyle w:val="17"/>
        <w:numPr>
          <w:ilvl w:val="0"/>
          <w:numId w:val="36"/>
        </w:numPr>
        <w:spacing w:line="360" w:lineRule="auto"/>
        <w:ind w:firstLineChars="0"/>
        <w:jc w:val="left"/>
        <w:rPr>
          <w:rFonts w:ascii="宋体" w:hAnsi="宋体" w:cs="Arial"/>
          <w:kern w:val="0"/>
          <w:sz w:val="28"/>
          <w:szCs w:val="28"/>
        </w:rPr>
      </w:pPr>
      <w:r>
        <w:rPr>
          <w:rFonts w:hint="eastAsia" w:ascii="宋体" w:hAnsi="宋体" w:cs="Arial"/>
          <w:kern w:val="0"/>
          <w:sz w:val="28"/>
          <w:szCs w:val="28"/>
        </w:rPr>
        <w:t>现场指挥部根据现场事态的发展及时调整救援方案，并及时将现场情况报应急指挥部。</w:t>
      </w:r>
    </w:p>
    <w:p w14:paraId="34C23D01">
      <w:pPr>
        <w:pStyle w:val="17"/>
        <w:numPr>
          <w:ilvl w:val="0"/>
          <w:numId w:val="33"/>
        </w:numPr>
        <w:spacing w:line="360" w:lineRule="auto"/>
        <w:ind w:left="426" w:hanging="426" w:firstLineChars="0"/>
        <w:jc w:val="left"/>
        <w:rPr>
          <w:rFonts w:ascii="宋体" w:hAnsi="宋体"/>
          <w:kern w:val="0"/>
          <w:sz w:val="28"/>
          <w:szCs w:val="28"/>
        </w:rPr>
      </w:pPr>
      <w:r>
        <w:rPr>
          <w:rFonts w:hint="eastAsia" w:ascii="宋体" w:hAnsi="宋体"/>
          <w:kern w:val="0"/>
          <w:sz w:val="28"/>
          <w:szCs w:val="28"/>
        </w:rPr>
        <w:t>有毒物质泄漏事故现场处置：</w:t>
      </w:r>
    </w:p>
    <w:p w14:paraId="33D516EC">
      <w:pPr>
        <w:pStyle w:val="17"/>
        <w:numPr>
          <w:ilvl w:val="0"/>
          <w:numId w:val="37"/>
        </w:numPr>
        <w:spacing w:line="360" w:lineRule="auto"/>
        <w:ind w:firstLineChars="0"/>
        <w:jc w:val="left"/>
        <w:rPr>
          <w:rFonts w:ascii="宋体" w:hAnsi="宋体" w:cs="Arial"/>
          <w:kern w:val="0"/>
          <w:sz w:val="28"/>
          <w:szCs w:val="28"/>
        </w:rPr>
      </w:pPr>
      <w:r>
        <w:rPr>
          <w:rFonts w:hint="eastAsia" w:ascii="宋体" w:hAnsi="宋体" w:cs="Arial"/>
          <w:kern w:val="0"/>
          <w:sz w:val="28"/>
          <w:szCs w:val="28"/>
        </w:rPr>
        <w:t>立刻进行疏散。现场指挥部应根据泄漏的危险化学品种类及泄漏源的位置，并考虑风速风向、泄漏量、周围环境等确定警戒范围，警戒范围宜大不宜小。治安警戒组尽快疏散警戒范围内的群众，并做好个体防护。</w:t>
      </w:r>
    </w:p>
    <w:p w14:paraId="0661D2CD">
      <w:pPr>
        <w:pStyle w:val="17"/>
        <w:numPr>
          <w:ilvl w:val="0"/>
          <w:numId w:val="37"/>
        </w:numPr>
        <w:spacing w:line="360" w:lineRule="auto"/>
        <w:ind w:firstLineChars="0"/>
        <w:jc w:val="left"/>
        <w:rPr>
          <w:rFonts w:ascii="宋体" w:hAnsi="宋体" w:cs="Arial"/>
          <w:kern w:val="0"/>
          <w:sz w:val="28"/>
          <w:szCs w:val="28"/>
        </w:rPr>
      </w:pPr>
      <w:r>
        <w:rPr>
          <w:rFonts w:hint="eastAsia" w:ascii="宋体" w:hAnsi="宋体" w:cs="Arial"/>
          <w:kern w:val="0"/>
          <w:sz w:val="28"/>
          <w:szCs w:val="28"/>
        </w:rPr>
        <w:t>调集医疗急救力量、企业应急救援队伍、专家、消防救援队伍等救援力量赶赴现场。</w:t>
      </w:r>
    </w:p>
    <w:p w14:paraId="6BFE3A54">
      <w:pPr>
        <w:pStyle w:val="17"/>
        <w:numPr>
          <w:ilvl w:val="0"/>
          <w:numId w:val="37"/>
        </w:numPr>
        <w:spacing w:line="360" w:lineRule="auto"/>
        <w:ind w:firstLineChars="0"/>
        <w:jc w:val="left"/>
        <w:rPr>
          <w:rFonts w:ascii="宋体" w:hAnsi="宋体" w:cs="Arial"/>
          <w:kern w:val="0"/>
          <w:sz w:val="28"/>
          <w:szCs w:val="28"/>
        </w:rPr>
      </w:pPr>
      <w:r>
        <w:rPr>
          <w:rFonts w:hint="eastAsia" w:ascii="宋体" w:hAnsi="宋体" w:cs="Arial"/>
          <w:kern w:val="0"/>
          <w:sz w:val="28"/>
          <w:szCs w:val="28"/>
        </w:rPr>
        <w:t>生态环境局实时检测泄漏物质是否进入大气、附近水源、下水道等场所,明确泄漏危及周围环境的可能性。</w:t>
      </w:r>
    </w:p>
    <w:p w14:paraId="1F09A988">
      <w:pPr>
        <w:pStyle w:val="17"/>
        <w:numPr>
          <w:ilvl w:val="0"/>
          <w:numId w:val="37"/>
        </w:numPr>
        <w:spacing w:line="360" w:lineRule="auto"/>
        <w:ind w:firstLineChars="0"/>
        <w:jc w:val="left"/>
        <w:rPr>
          <w:rFonts w:ascii="宋体" w:hAnsi="宋体" w:cs="Arial"/>
          <w:kern w:val="0"/>
          <w:sz w:val="28"/>
          <w:szCs w:val="28"/>
        </w:rPr>
      </w:pPr>
      <w:r>
        <w:rPr>
          <w:rFonts w:hint="eastAsia" w:ascii="宋体" w:hAnsi="宋体" w:cs="Arial"/>
          <w:kern w:val="0"/>
          <w:sz w:val="28"/>
          <w:szCs w:val="28"/>
        </w:rPr>
        <w:t>技术支持组根据企业提供的情况及现场监测的实际或估算的泄漏量，确定泄漏时间或预计持续时间。</w:t>
      </w:r>
    </w:p>
    <w:p w14:paraId="75216CA6">
      <w:pPr>
        <w:pStyle w:val="17"/>
        <w:numPr>
          <w:ilvl w:val="0"/>
          <w:numId w:val="37"/>
        </w:numPr>
        <w:spacing w:line="360" w:lineRule="auto"/>
        <w:ind w:firstLineChars="0"/>
        <w:jc w:val="left"/>
        <w:rPr>
          <w:rFonts w:ascii="宋体" w:hAnsi="宋体" w:cs="Arial"/>
          <w:kern w:val="0"/>
          <w:sz w:val="28"/>
          <w:szCs w:val="28"/>
        </w:rPr>
      </w:pPr>
      <w:r>
        <w:rPr>
          <w:rFonts w:hint="eastAsia" w:ascii="宋体" w:hAnsi="宋体" w:cs="Arial"/>
          <w:kern w:val="0"/>
          <w:sz w:val="28"/>
          <w:szCs w:val="28"/>
        </w:rPr>
        <w:t>根据现场事态的发展及时调整救援方案，并及时将现场情况报应急指挥部。</w:t>
      </w:r>
    </w:p>
    <w:p w14:paraId="1A514CA3">
      <w:pPr>
        <w:pStyle w:val="2"/>
        <w:keepNext w:val="0"/>
        <w:keepLines w:val="0"/>
        <w:spacing w:before="0" w:after="0" w:line="360" w:lineRule="auto"/>
        <w:rPr>
          <w:rFonts w:ascii="宋体" w:hAnsi="宋体"/>
          <w:sz w:val="28"/>
          <w:szCs w:val="28"/>
        </w:rPr>
      </w:pPr>
      <w:bookmarkStart w:id="38" w:name="_Toc184287599"/>
      <w:r>
        <w:rPr>
          <w:rFonts w:hint="eastAsia" w:ascii="宋体" w:hAnsi="宋体"/>
          <w:sz w:val="28"/>
          <w:szCs w:val="28"/>
        </w:rPr>
        <w:t>八、</w:t>
      </w:r>
      <w:r>
        <w:rPr>
          <w:rFonts w:ascii="宋体" w:hAnsi="宋体"/>
          <w:sz w:val="28"/>
          <w:szCs w:val="28"/>
        </w:rPr>
        <w:t>后期处置</w:t>
      </w:r>
      <w:bookmarkEnd w:id="38"/>
    </w:p>
    <w:p w14:paraId="054458C1">
      <w:pPr>
        <w:pStyle w:val="3"/>
        <w:keepNext w:val="0"/>
        <w:keepLines w:val="0"/>
        <w:spacing w:before="0" w:after="0" w:line="360" w:lineRule="auto"/>
        <w:rPr>
          <w:rFonts w:ascii="宋体" w:hAnsi="宋体"/>
          <w:kern w:val="0"/>
          <w:sz w:val="28"/>
          <w:szCs w:val="28"/>
        </w:rPr>
      </w:pPr>
      <w:bookmarkStart w:id="39" w:name="_Toc184287600"/>
      <w:r>
        <w:rPr>
          <w:rFonts w:hint="eastAsia" w:ascii="宋体" w:hAnsi="宋体"/>
          <w:kern w:val="0"/>
          <w:sz w:val="28"/>
          <w:szCs w:val="28"/>
        </w:rPr>
        <w:t>（一）</w:t>
      </w:r>
      <w:r>
        <w:rPr>
          <w:rFonts w:ascii="宋体" w:hAnsi="宋体"/>
          <w:kern w:val="0"/>
          <w:sz w:val="28"/>
          <w:szCs w:val="28"/>
        </w:rPr>
        <w:t>善后处置</w:t>
      </w:r>
      <w:bookmarkEnd w:id="39"/>
    </w:p>
    <w:p w14:paraId="7551F26F">
      <w:pPr>
        <w:pStyle w:val="18"/>
        <w:numPr>
          <w:ilvl w:val="0"/>
          <w:numId w:val="38"/>
        </w:numPr>
        <w:spacing w:line="360" w:lineRule="auto"/>
        <w:ind w:firstLineChars="0"/>
        <w:rPr>
          <w:rFonts w:ascii="宋体" w:hAnsi="宋体" w:eastAsia="宋体"/>
          <w:color w:val="000000"/>
          <w:kern w:val="0"/>
          <w:sz w:val="28"/>
          <w:szCs w:val="28"/>
        </w:rPr>
      </w:pPr>
      <w:r>
        <w:rPr>
          <w:rFonts w:hint="eastAsia" w:ascii="宋体" w:hAnsi="宋体" w:eastAsia="宋体"/>
          <w:color w:val="000000"/>
          <w:kern w:val="0"/>
          <w:sz w:val="28"/>
          <w:szCs w:val="28"/>
        </w:rPr>
        <w:t>善后处置工作由当地乡镇人民政府、社区办、社区管委会、经开区管委会、事故单位等负责，救援工作临时征用的房屋、运输工具、通信设备等物资，应当及时返还，造成损坏或无法返还的，按照有关规定给予补偿或做出其他处理。</w:t>
      </w:r>
    </w:p>
    <w:p w14:paraId="678B335A">
      <w:pPr>
        <w:pStyle w:val="18"/>
        <w:numPr>
          <w:ilvl w:val="0"/>
          <w:numId w:val="38"/>
        </w:numPr>
        <w:spacing w:line="360" w:lineRule="auto"/>
        <w:ind w:firstLineChars="0"/>
        <w:rPr>
          <w:rFonts w:ascii="宋体" w:hAnsi="宋体" w:eastAsia="宋体"/>
          <w:color w:val="000000"/>
          <w:kern w:val="0"/>
          <w:sz w:val="28"/>
          <w:szCs w:val="28"/>
        </w:rPr>
      </w:pPr>
      <w:r>
        <w:rPr>
          <w:rFonts w:hint="eastAsia" w:ascii="宋体" w:hAnsi="宋体" w:eastAsia="宋体"/>
          <w:color w:val="000000"/>
          <w:kern w:val="0"/>
          <w:sz w:val="28"/>
          <w:szCs w:val="28"/>
        </w:rPr>
        <w:t>事故发生单位要妥善处理事故伤亡人员及其家属的安置、救济、补偿和保险理赔。</w:t>
      </w:r>
    </w:p>
    <w:p w14:paraId="3B0058B1">
      <w:pPr>
        <w:pStyle w:val="18"/>
        <w:numPr>
          <w:ilvl w:val="0"/>
          <w:numId w:val="38"/>
        </w:numPr>
        <w:spacing w:line="360" w:lineRule="auto"/>
        <w:ind w:firstLineChars="0"/>
        <w:rPr>
          <w:rFonts w:ascii="宋体" w:hAnsi="宋体" w:eastAsia="宋体"/>
          <w:color w:val="000000"/>
          <w:kern w:val="0"/>
          <w:sz w:val="28"/>
          <w:szCs w:val="28"/>
        </w:rPr>
      </w:pPr>
      <w:r>
        <w:rPr>
          <w:rFonts w:hint="eastAsia" w:ascii="宋体" w:hAnsi="宋体" w:eastAsia="宋体"/>
          <w:color w:val="000000"/>
          <w:kern w:val="0"/>
          <w:sz w:val="28"/>
          <w:szCs w:val="28"/>
        </w:rPr>
        <w:t>参加救援的部门、单位应认真核对参加应急救援的人数，清点救援装备、器材，核算救援发生的费用，整理保存救援记录、图纸等资料，各自写出救援报告，上报县应急管理局。</w:t>
      </w:r>
    </w:p>
    <w:p w14:paraId="22219F90">
      <w:pPr>
        <w:pStyle w:val="18"/>
        <w:numPr>
          <w:ilvl w:val="0"/>
          <w:numId w:val="38"/>
        </w:numPr>
        <w:spacing w:line="360" w:lineRule="auto"/>
        <w:ind w:firstLineChars="0"/>
        <w:rPr>
          <w:rFonts w:ascii="宋体" w:hAnsi="宋体" w:eastAsia="宋体"/>
          <w:color w:val="000000"/>
          <w:kern w:val="0"/>
          <w:sz w:val="28"/>
          <w:szCs w:val="28"/>
        </w:rPr>
      </w:pPr>
      <w:r>
        <w:rPr>
          <w:rFonts w:hint="eastAsia" w:ascii="宋体" w:hAnsi="宋体" w:eastAsia="宋体"/>
          <w:color w:val="000000"/>
          <w:kern w:val="0"/>
          <w:sz w:val="28"/>
          <w:szCs w:val="28"/>
        </w:rPr>
        <w:t>事故单位做好污染物的收集、清理与处理等工作。</w:t>
      </w:r>
    </w:p>
    <w:p w14:paraId="33060F9E">
      <w:pPr>
        <w:pStyle w:val="18"/>
        <w:numPr>
          <w:ilvl w:val="0"/>
          <w:numId w:val="38"/>
        </w:numPr>
        <w:spacing w:line="360" w:lineRule="auto"/>
        <w:ind w:firstLineChars="0"/>
        <w:rPr>
          <w:rFonts w:ascii="宋体" w:hAnsi="宋体" w:eastAsia="宋体"/>
          <w:color w:val="000000"/>
          <w:kern w:val="0"/>
          <w:sz w:val="28"/>
          <w:szCs w:val="28"/>
        </w:rPr>
      </w:pPr>
      <w:r>
        <w:rPr>
          <w:rFonts w:hint="eastAsia" w:ascii="宋体" w:hAnsi="宋体" w:eastAsia="宋体"/>
          <w:color w:val="000000"/>
          <w:kern w:val="0"/>
          <w:sz w:val="28"/>
          <w:szCs w:val="28"/>
        </w:rPr>
        <w:t>政府有关部门、乡镇人民政府、社区办、社区管委会、经开区管委会组织相关单位、群众尽快恢复生产、生活正常秩序，消除事故后果和影响，安抚受灾和受影响人员，确保社会稳定。</w:t>
      </w:r>
    </w:p>
    <w:p w14:paraId="4FCC5D40">
      <w:pPr>
        <w:pStyle w:val="3"/>
        <w:keepNext w:val="0"/>
        <w:keepLines w:val="0"/>
        <w:spacing w:before="0" w:after="0" w:line="360" w:lineRule="auto"/>
        <w:rPr>
          <w:rFonts w:ascii="宋体" w:hAnsi="宋体"/>
          <w:kern w:val="0"/>
          <w:sz w:val="28"/>
          <w:szCs w:val="28"/>
        </w:rPr>
      </w:pPr>
      <w:bookmarkStart w:id="40" w:name="_Toc184287601"/>
      <w:r>
        <w:rPr>
          <w:rFonts w:hint="eastAsia" w:ascii="宋体" w:hAnsi="宋体"/>
          <w:kern w:val="0"/>
          <w:sz w:val="28"/>
          <w:szCs w:val="28"/>
        </w:rPr>
        <w:t>（二）</w:t>
      </w:r>
      <w:r>
        <w:rPr>
          <w:rFonts w:ascii="宋体" w:hAnsi="宋体"/>
          <w:kern w:val="0"/>
          <w:sz w:val="28"/>
          <w:szCs w:val="28"/>
        </w:rPr>
        <w:t>事故调查</w:t>
      </w:r>
      <w:bookmarkEnd w:id="40"/>
    </w:p>
    <w:p w14:paraId="5AFD2C6F">
      <w:pPr>
        <w:spacing w:line="360" w:lineRule="auto"/>
        <w:ind w:firstLine="560" w:firstLineChars="200"/>
        <w:jc w:val="left"/>
        <w:rPr>
          <w:rFonts w:ascii="宋体" w:hAnsi="宋体" w:cs="Arial"/>
          <w:kern w:val="0"/>
          <w:sz w:val="28"/>
          <w:szCs w:val="28"/>
        </w:rPr>
      </w:pPr>
      <w:r>
        <w:rPr>
          <w:rFonts w:ascii="宋体" w:hAnsi="宋体" w:cs="Arial"/>
          <w:kern w:val="0"/>
          <w:sz w:val="28"/>
          <w:szCs w:val="28"/>
        </w:rPr>
        <w:t>事发后，</w:t>
      </w:r>
      <w:r>
        <w:rPr>
          <w:rFonts w:hint="eastAsia" w:ascii="宋体" w:hAnsi="宋体" w:cs="Arial"/>
          <w:kern w:val="0"/>
          <w:sz w:val="28"/>
          <w:szCs w:val="28"/>
        </w:rPr>
        <w:t>调查评估</w:t>
      </w:r>
      <w:r>
        <w:rPr>
          <w:rFonts w:ascii="宋体" w:hAnsi="宋体" w:cs="Arial"/>
          <w:kern w:val="0"/>
          <w:sz w:val="28"/>
          <w:szCs w:val="28"/>
        </w:rPr>
        <w:t>组要及时调查取证、分析事故原因、认定事故责任，形成事故调查报告，对事故责任单位和相关责任人提出处理建议意见。</w:t>
      </w:r>
    </w:p>
    <w:p w14:paraId="55F77AF5">
      <w:pPr>
        <w:pStyle w:val="17"/>
        <w:numPr>
          <w:ilvl w:val="0"/>
          <w:numId w:val="39"/>
        </w:numPr>
        <w:spacing w:line="360" w:lineRule="auto"/>
        <w:ind w:firstLineChars="0"/>
        <w:jc w:val="left"/>
        <w:rPr>
          <w:rFonts w:ascii="宋体" w:hAnsi="宋体" w:cs="宋体"/>
          <w:kern w:val="0"/>
          <w:sz w:val="28"/>
          <w:szCs w:val="28"/>
        </w:rPr>
      </w:pPr>
      <w:r>
        <w:rPr>
          <w:rFonts w:ascii="宋体" w:hAnsi="宋体" w:cs="宋体"/>
          <w:kern w:val="0"/>
          <w:sz w:val="28"/>
          <w:szCs w:val="28"/>
        </w:rPr>
        <w:t>调查机构：发生一般危险化学品生产安全事故，</w:t>
      </w:r>
      <w:r>
        <w:rPr>
          <w:rFonts w:hint="eastAsia" w:ascii="宋体" w:hAnsi="宋体" w:cs="宋体"/>
          <w:kern w:val="0"/>
          <w:sz w:val="28"/>
          <w:szCs w:val="28"/>
        </w:rPr>
        <w:t>调查评估</w:t>
      </w:r>
      <w:r>
        <w:rPr>
          <w:rFonts w:ascii="宋体" w:hAnsi="宋体" w:cs="宋体"/>
          <w:kern w:val="0"/>
          <w:sz w:val="28"/>
          <w:szCs w:val="28"/>
        </w:rPr>
        <w:t>组或授权相关部门开展事故调查工作。发生特别重大、重大、较大危险化学品生产安全事故，</w:t>
      </w:r>
      <w:r>
        <w:rPr>
          <w:rFonts w:hint="eastAsia" w:ascii="宋体" w:hAnsi="宋体" w:cs="宋体"/>
          <w:kern w:val="0"/>
          <w:sz w:val="28"/>
          <w:szCs w:val="28"/>
        </w:rPr>
        <w:t>相关</w:t>
      </w:r>
      <w:r>
        <w:rPr>
          <w:rFonts w:ascii="宋体" w:hAnsi="宋体" w:cs="宋体"/>
          <w:kern w:val="0"/>
          <w:sz w:val="28"/>
          <w:szCs w:val="28"/>
        </w:rPr>
        <w:t>部门（单位）应配合上级调查组开展事故调查。</w:t>
      </w:r>
    </w:p>
    <w:p w14:paraId="61D43281">
      <w:pPr>
        <w:pStyle w:val="17"/>
        <w:numPr>
          <w:ilvl w:val="0"/>
          <w:numId w:val="39"/>
        </w:numPr>
        <w:spacing w:line="360" w:lineRule="auto"/>
        <w:ind w:firstLineChars="0"/>
        <w:jc w:val="left"/>
        <w:rPr>
          <w:rFonts w:ascii="宋体" w:hAnsi="宋体" w:cs="宋体"/>
          <w:kern w:val="0"/>
          <w:sz w:val="28"/>
          <w:szCs w:val="28"/>
        </w:rPr>
      </w:pPr>
      <w:r>
        <w:rPr>
          <w:rFonts w:ascii="宋体" w:hAnsi="宋体" w:cs="宋体"/>
          <w:kern w:val="0"/>
          <w:sz w:val="28"/>
          <w:szCs w:val="28"/>
        </w:rPr>
        <w:t>事故调查：查明事故发生的经过、原因、人员伤亡情况及直接经济损失；认定事故的性质和事故责任；提出对事故责任者的处理建议；总结事故教训，提出防范和整改措施。</w:t>
      </w:r>
    </w:p>
    <w:p w14:paraId="56C0B010">
      <w:pPr>
        <w:pStyle w:val="3"/>
        <w:keepNext w:val="0"/>
        <w:keepLines w:val="0"/>
        <w:spacing w:before="0" w:after="0" w:line="360" w:lineRule="auto"/>
        <w:rPr>
          <w:rFonts w:ascii="宋体" w:hAnsi="宋体"/>
          <w:kern w:val="0"/>
          <w:sz w:val="28"/>
          <w:szCs w:val="28"/>
        </w:rPr>
      </w:pPr>
      <w:bookmarkStart w:id="41" w:name="_Toc184287602"/>
      <w:r>
        <w:rPr>
          <w:rFonts w:hint="eastAsia" w:ascii="宋体" w:hAnsi="宋体"/>
          <w:kern w:val="0"/>
          <w:sz w:val="28"/>
          <w:szCs w:val="28"/>
        </w:rPr>
        <w:t>（三）总结与评估</w:t>
      </w:r>
      <w:bookmarkEnd w:id="41"/>
    </w:p>
    <w:p w14:paraId="39D5046A">
      <w:pPr>
        <w:pStyle w:val="17"/>
        <w:numPr>
          <w:ilvl w:val="0"/>
          <w:numId w:val="40"/>
        </w:numPr>
        <w:spacing w:line="360" w:lineRule="auto"/>
        <w:ind w:firstLineChars="0"/>
        <w:jc w:val="left"/>
        <w:rPr>
          <w:rFonts w:ascii="宋体" w:hAnsi="宋体" w:cs="宋体"/>
          <w:kern w:val="0"/>
          <w:sz w:val="28"/>
          <w:szCs w:val="28"/>
        </w:rPr>
      </w:pPr>
      <w:r>
        <w:rPr>
          <w:rFonts w:hint="eastAsia" w:ascii="宋体" w:hAnsi="宋体" w:cs="宋体"/>
          <w:kern w:val="0"/>
          <w:sz w:val="28"/>
          <w:szCs w:val="28"/>
        </w:rPr>
        <w:t>危险化学品生产安全事故善后处置结束后，应急指挥部办公室及有关部门要及时完成应急救援总结并按要求上报至县委、县政府、市应急管理局。</w:t>
      </w:r>
    </w:p>
    <w:p w14:paraId="1C8A1F9A">
      <w:pPr>
        <w:pStyle w:val="17"/>
        <w:numPr>
          <w:ilvl w:val="0"/>
          <w:numId w:val="40"/>
        </w:numPr>
        <w:spacing w:line="360" w:lineRule="auto"/>
        <w:ind w:firstLineChars="0"/>
        <w:jc w:val="left"/>
        <w:rPr>
          <w:rFonts w:ascii="宋体" w:hAnsi="宋体" w:cs="宋体"/>
          <w:kern w:val="0"/>
          <w:sz w:val="28"/>
          <w:szCs w:val="28"/>
        </w:rPr>
      </w:pPr>
      <w:r>
        <w:rPr>
          <w:rFonts w:hint="eastAsia" w:ascii="宋体" w:hAnsi="宋体" w:cs="宋体"/>
          <w:kern w:val="0"/>
          <w:sz w:val="28"/>
          <w:szCs w:val="28"/>
        </w:rPr>
        <w:t>调查评估</w:t>
      </w:r>
      <w:r>
        <w:rPr>
          <w:rFonts w:ascii="宋体" w:hAnsi="宋体" w:cs="宋体"/>
          <w:kern w:val="0"/>
          <w:sz w:val="28"/>
          <w:szCs w:val="28"/>
        </w:rPr>
        <w:t>组应当单独</w:t>
      </w:r>
      <w:r>
        <w:rPr>
          <w:rFonts w:hint="eastAsia" w:ascii="宋体" w:hAnsi="宋体" w:cs="宋体"/>
          <w:kern w:val="0"/>
          <w:sz w:val="28"/>
          <w:szCs w:val="28"/>
        </w:rPr>
        <w:t>组织</w:t>
      </w:r>
      <w:r>
        <w:rPr>
          <w:rFonts w:ascii="宋体" w:hAnsi="宋体" w:cs="宋体"/>
          <w:kern w:val="0"/>
          <w:sz w:val="28"/>
          <w:szCs w:val="28"/>
        </w:rPr>
        <w:t>应急处置评估</w:t>
      </w:r>
      <w:r>
        <w:rPr>
          <w:rFonts w:hint="eastAsia" w:ascii="宋体" w:hAnsi="宋体" w:cs="宋体"/>
          <w:kern w:val="0"/>
          <w:sz w:val="28"/>
          <w:szCs w:val="28"/>
        </w:rPr>
        <w:t>：</w:t>
      </w:r>
      <w:r>
        <w:rPr>
          <w:rFonts w:hint="eastAsia" w:ascii="宋体" w:hAnsi="宋体"/>
          <w:color w:val="000000"/>
          <w:kern w:val="0"/>
          <w:sz w:val="28"/>
          <w:szCs w:val="28"/>
        </w:rPr>
        <w:t>收集、整理应急救援工作的记录、方案、文件等资料，对应急救援预案的启动、决策、指挥和后勤保障等全过程进行评估，分析总结应急救援经验教训，提出改进的意见和建议，并在应急响应结束后1</w:t>
      </w:r>
      <w:r>
        <w:rPr>
          <w:rFonts w:ascii="宋体" w:hAnsi="宋体"/>
          <w:color w:val="000000"/>
          <w:kern w:val="0"/>
          <w:sz w:val="28"/>
          <w:szCs w:val="28"/>
        </w:rPr>
        <w:t>5</w:t>
      </w:r>
      <w:r>
        <w:rPr>
          <w:rFonts w:hint="eastAsia" w:ascii="宋体" w:hAnsi="宋体"/>
          <w:color w:val="000000"/>
          <w:kern w:val="0"/>
          <w:sz w:val="28"/>
          <w:szCs w:val="28"/>
        </w:rPr>
        <w:t>天内，将总结评估报告上报给县政府。</w:t>
      </w:r>
    </w:p>
    <w:p w14:paraId="63EDE34D">
      <w:pPr>
        <w:pStyle w:val="17"/>
        <w:numPr>
          <w:ilvl w:val="0"/>
          <w:numId w:val="40"/>
        </w:numPr>
        <w:spacing w:line="360" w:lineRule="auto"/>
        <w:ind w:firstLineChars="0"/>
        <w:jc w:val="left"/>
        <w:rPr>
          <w:rFonts w:ascii="宋体" w:hAnsi="宋体" w:cs="宋体"/>
          <w:kern w:val="0"/>
          <w:sz w:val="28"/>
          <w:szCs w:val="28"/>
        </w:rPr>
      </w:pPr>
      <w:r>
        <w:rPr>
          <w:rFonts w:ascii="宋体" w:hAnsi="宋体" w:cs="宋体"/>
          <w:kern w:val="0"/>
          <w:sz w:val="28"/>
          <w:szCs w:val="28"/>
        </w:rPr>
        <w:t>国家</w:t>
      </w:r>
      <w:r>
        <w:rPr>
          <w:rFonts w:hint="eastAsia" w:ascii="宋体" w:hAnsi="宋体" w:cs="宋体"/>
          <w:kern w:val="0"/>
          <w:sz w:val="28"/>
          <w:szCs w:val="28"/>
        </w:rPr>
        <w:t>、</w:t>
      </w:r>
      <w:r>
        <w:rPr>
          <w:rFonts w:ascii="宋体" w:hAnsi="宋体" w:cs="宋体"/>
          <w:kern w:val="0"/>
          <w:sz w:val="28"/>
          <w:szCs w:val="28"/>
        </w:rPr>
        <w:t>省</w:t>
      </w:r>
      <w:r>
        <w:rPr>
          <w:rFonts w:hint="eastAsia" w:ascii="宋体" w:hAnsi="宋体" w:cs="宋体"/>
          <w:kern w:val="0"/>
          <w:sz w:val="28"/>
          <w:szCs w:val="28"/>
        </w:rPr>
        <w:t>、</w:t>
      </w:r>
      <w:r>
        <w:rPr>
          <w:rFonts w:ascii="宋体" w:hAnsi="宋体" w:cs="宋体"/>
          <w:kern w:val="0"/>
          <w:sz w:val="28"/>
          <w:szCs w:val="28"/>
        </w:rPr>
        <w:t>市应急指挥机构参与指挥</w:t>
      </w:r>
      <w:r>
        <w:rPr>
          <w:rFonts w:hint="eastAsia" w:ascii="宋体" w:hAnsi="宋体" w:cs="宋体"/>
          <w:kern w:val="0"/>
          <w:sz w:val="28"/>
          <w:szCs w:val="28"/>
        </w:rPr>
        <w:t>、</w:t>
      </w:r>
      <w:r>
        <w:rPr>
          <w:rFonts w:ascii="宋体" w:hAnsi="宋体" w:cs="宋体"/>
          <w:kern w:val="0"/>
          <w:sz w:val="28"/>
          <w:szCs w:val="28"/>
        </w:rPr>
        <w:t>救援的较大</w:t>
      </w:r>
      <w:r>
        <w:rPr>
          <w:rFonts w:hint="eastAsia" w:ascii="宋体" w:hAnsi="宋体" w:cs="宋体"/>
          <w:kern w:val="0"/>
          <w:sz w:val="28"/>
          <w:szCs w:val="28"/>
        </w:rPr>
        <w:t>、</w:t>
      </w:r>
      <w:r>
        <w:rPr>
          <w:rFonts w:ascii="宋体" w:hAnsi="宋体" w:cs="宋体"/>
          <w:kern w:val="0"/>
          <w:sz w:val="28"/>
          <w:szCs w:val="28"/>
        </w:rPr>
        <w:t>重大</w:t>
      </w:r>
      <w:r>
        <w:rPr>
          <w:rFonts w:hint="eastAsia" w:ascii="宋体" w:hAnsi="宋体" w:cs="宋体"/>
          <w:kern w:val="0"/>
          <w:sz w:val="28"/>
          <w:szCs w:val="28"/>
        </w:rPr>
        <w:t>、</w:t>
      </w:r>
      <w:r>
        <w:rPr>
          <w:rFonts w:ascii="宋体" w:hAnsi="宋体" w:cs="宋体"/>
          <w:kern w:val="0"/>
          <w:sz w:val="28"/>
          <w:szCs w:val="28"/>
        </w:rPr>
        <w:t>特别重大危险化学品生产安全事故</w:t>
      </w:r>
      <w:r>
        <w:rPr>
          <w:rFonts w:hint="eastAsia" w:ascii="宋体" w:hAnsi="宋体" w:cs="宋体"/>
          <w:kern w:val="0"/>
          <w:sz w:val="28"/>
          <w:szCs w:val="28"/>
        </w:rPr>
        <w:t>，</w:t>
      </w:r>
      <w:r>
        <w:rPr>
          <w:rFonts w:ascii="宋体" w:hAnsi="宋体" w:cs="宋体"/>
          <w:kern w:val="0"/>
          <w:sz w:val="28"/>
          <w:szCs w:val="28"/>
        </w:rPr>
        <w:t>分别由市政府</w:t>
      </w:r>
      <w:r>
        <w:rPr>
          <w:rFonts w:hint="eastAsia" w:ascii="宋体" w:hAnsi="宋体" w:cs="宋体"/>
          <w:kern w:val="0"/>
          <w:sz w:val="28"/>
          <w:szCs w:val="28"/>
        </w:rPr>
        <w:t>、</w:t>
      </w:r>
      <w:r>
        <w:rPr>
          <w:rFonts w:ascii="宋体" w:hAnsi="宋体" w:cs="宋体"/>
          <w:kern w:val="0"/>
          <w:sz w:val="28"/>
          <w:szCs w:val="28"/>
        </w:rPr>
        <w:t>省政府</w:t>
      </w:r>
      <w:r>
        <w:rPr>
          <w:rFonts w:hint="eastAsia" w:ascii="宋体" w:hAnsi="宋体" w:cs="宋体"/>
          <w:kern w:val="0"/>
          <w:sz w:val="28"/>
          <w:szCs w:val="28"/>
        </w:rPr>
        <w:t>、</w:t>
      </w:r>
      <w:r>
        <w:rPr>
          <w:rFonts w:ascii="宋体" w:hAnsi="宋体" w:cs="宋体"/>
          <w:kern w:val="0"/>
          <w:sz w:val="28"/>
          <w:szCs w:val="28"/>
        </w:rPr>
        <w:t>国务院组织事故调查</w:t>
      </w:r>
      <w:r>
        <w:rPr>
          <w:rFonts w:hint="eastAsia" w:ascii="宋体" w:hAnsi="宋体" w:cs="宋体"/>
          <w:kern w:val="0"/>
          <w:sz w:val="28"/>
          <w:szCs w:val="28"/>
        </w:rPr>
        <w:t>，县政府、事故</w:t>
      </w:r>
      <w:r>
        <w:rPr>
          <w:rFonts w:ascii="宋体" w:hAnsi="宋体" w:cs="宋体"/>
          <w:kern w:val="0"/>
          <w:sz w:val="28"/>
          <w:szCs w:val="28"/>
        </w:rPr>
        <w:t>单位所在地乡镇人民政府</w:t>
      </w:r>
      <w:r>
        <w:rPr>
          <w:rFonts w:hint="eastAsia" w:ascii="宋体" w:hAnsi="宋体" w:cs="宋体"/>
          <w:kern w:val="0"/>
          <w:sz w:val="28"/>
          <w:szCs w:val="28"/>
        </w:rPr>
        <w:t>、社区办、社区管委会、经开区管委会、</w:t>
      </w:r>
      <w:r>
        <w:rPr>
          <w:rFonts w:ascii="宋体" w:hAnsi="宋体" w:cs="宋体"/>
          <w:kern w:val="0"/>
          <w:sz w:val="28"/>
          <w:szCs w:val="28"/>
        </w:rPr>
        <w:t>事故单位负责协助调查</w:t>
      </w:r>
      <w:r>
        <w:rPr>
          <w:rFonts w:hint="eastAsia" w:ascii="宋体" w:hAnsi="宋体" w:cs="宋体"/>
          <w:kern w:val="0"/>
          <w:sz w:val="28"/>
          <w:szCs w:val="28"/>
        </w:rPr>
        <w:t>，</w:t>
      </w:r>
      <w:r>
        <w:rPr>
          <w:rFonts w:ascii="宋体" w:hAnsi="宋体" w:cs="宋体"/>
          <w:kern w:val="0"/>
          <w:sz w:val="28"/>
          <w:szCs w:val="28"/>
        </w:rPr>
        <w:t>积极提供真实的资料</w:t>
      </w:r>
      <w:r>
        <w:rPr>
          <w:rFonts w:hint="eastAsia" w:ascii="宋体" w:hAnsi="宋体" w:cs="宋体"/>
          <w:kern w:val="0"/>
          <w:sz w:val="28"/>
          <w:szCs w:val="28"/>
        </w:rPr>
        <w:t>，对</w:t>
      </w:r>
      <w:r>
        <w:rPr>
          <w:rFonts w:ascii="宋体" w:hAnsi="宋体" w:cs="宋体"/>
          <w:kern w:val="0"/>
          <w:sz w:val="28"/>
          <w:szCs w:val="28"/>
        </w:rPr>
        <w:t>上级调查组提出的整改意见</w:t>
      </w:r>
      <w:r>
        <w:rPr>
          <w:rFonts w:hint="eastAsia" w:ascii="宋体" w:hAnsi="宋体" w:cs="宋体"/>
          <w:kern w:val="0"/>
          <w:sz w:val="28"/>
          <w:szCs w:val="28"/>
        </w:rPr>
        <w:t>，</w:t>
      </w:r>
      <w:r>
        <w:rPr>
          <w:rFonts w:ascii="宋体" w:hAnsi="宋体" w:cs="宋体"/>
          <w:kern w:val="0"/>
          <w:sz w:val="28"/>
          <w:szCs w:val="28"/>
        </w:rPr>
        <w:t>认真吸取事故教训</w:t>
      </w:r>
      <w:r>
        <w:rPr>
          <w:rFonts w:hint="eastAsia" w:ascii="宋体" w:hAnsi="宋体" w:cs="宋体"/>
          <w:kern w:val="0"/>
          <w:sz w:val="28"/>
          <w:szCs w:val="28"/>
        </w:rPr>
        <w:t>。</w:t>
      </w:r>
    </w:p>
    <w:p w14:paraId="7CCDB962">
      <w:pPr>
        <w:pStyle w:val="3"/>
        <w:keepNext w:val="0"/>
        <w:keepLines w:val="0"/>
        <w:spacing w:before="0" w:after="0" w:line="360" w:lineRule="auto"/>
        <w:rPr>
          <w:rFonts w:ascii="宋体" w:hAnsi="宋体"/>
          <w:kern w:val="0"/>
          <w:sz w:val="28"/>
          <w:szCs w:val="28"/>
        </w:rPr>
      </w:pPr>
      <w:bookmarkStart w:id="42" w:name="_Toc184287603"/>
      <w:r>
        <w:rPr>
          <w:rFonts w:hint="eastAsia" w:ascii="宋体" w:hAnsi="宋体"/>
          <w:kern w:val="0"/>
          <w:sz w:val="28"/>
          <w:szCs w:val="28"/>
        </w:rPr>
        <w:t>（四）恢复与重建</w:t>
      </w:r>
      <w:bookmarkEnd w:id="42"/>
    </w:p>
    <w:p w14:paraId="6EC763B6">
      <w:pPr>
        <w:spacing w:line="360" w:lineRule="auto"/>
        <w:ind w:firstLine="560" w:firstLineChars="200"/>
        <w:jc w:val="left"/>
        <w:rPr>
          <w:rFonts w:ascii="宋体" w:hAnsi="宋体" w:cs="宋体"/>
          <w:kern w:val="0"/>
          <w:sz w:val="28"/>
          <w:szCs w:val="28"/>
        </w:rPr>
      </w:pPr>
      <w:r>
        <w:rPr>
          <w:rFonts w:hint="eastAsia" w:ascii="宋体" w:hAnsi="宋体" w:cs="宋体"/>
          <w:kern w:val="0"/>
          <w:sz w:val="28"/>
          <w:szCs w:val="28"/>
        </w:rPr>
        <w:t>事故处置工作结束后，受到影响的乡镇人民政府、社区办、社区管委会、经开区管委会、事故单位应结合调查评估情况，立即组织制订恢复与重建计划，及时恢复社会秩序，修复被破坏的市政、生产经营等基础设施。</w:t>
      </w:r>
    </w:p>
    <w:p w14:paraId="077CDAE9">
      <w:pPr>
        <w:pStyle w:val="2"/>
        <w:keepNext w:val="0"/>
        <w:keepLines w:val="0"/>
        <w:spacing w:before="0" w:after="0" w:line="360" w:lineRule="auto"/>
        <w:rPr>
          <w:rFonts w:ascii="宋体" w:hAnsi="宋体"/>
          <w:kern w:val="0"/>
          <w:sz w:val="28"/>
          <w:szCs w:val="28"/>
        </w:rPr>
      </w:pPr>
      <w:bookmarkStart w:id="43" w:name="_Toc184287604"/>
      <w:r>
        <w:rPr>
          <w:rFonts w:hint="eastAsia" w:ascii="宋体" w:hAnsi="宋体"/>
          <w:kern w:val="0"/>
          <w:sz w:val="28"/>
          <w:szCs w:val="28"/>
        </w:rPr>
        <w:t>九、</w:t>
      </w:r>
      <w:r>
        <w:rPr>
          <w:rFonts w:ascii="宋体" w:hAnsi="宋体"/>
          <w:kern w:val="0"/>
          <w:sz w:val="28"/>
          <w:szCs w:val="28"/>
        </w:rPr>
        <w:t>应急保障</w:t>
      </w:r>
      <w:bookmarkEnd w:id="43"/>
    </w:p>
    <w:p w14:paraId="76E4F2B1">
      <w:pPr>
        <w:pStyle w:val="3"/>
        <w:keepNext w:val="0"/>
        <w:keepLines w:val="0"/>
        <w:spacing w:before="0" w:after="0" w:line="360" w:lineRule="auto"/>
        <w:rPr>
          <w:rFonts w:ascii="宋体" w:hAnsi="宋体"/>
          <w:kern w:val="0"/>
          <w:sz w:val="28"/>
          <w:szCs w:val="28"/>
        </w:rPr>
      </w:pPr>
      <w:bookmarkStart w:id="44" w:name="_Toc16488_WPSOffice_Level1"/>
      <w:bookmarkStart w:id="45" w:name="_Toc184287605"/>
      <w:r>
        <w:rPr>
          <w:rFonts w:hint="eastAsia" w:ascii="宋体" w:hAnsi="宋体"/>
          <w:kern w:val="0"/>
          <w:sz w:val="28"/>
          <w:szCs w:val="28"/>
        </w:rPr>
        <w:t>（一）信息保障</w:t>
      </w:r>
      <w:bookmarkEnd w:id="44"/>
      <w:bookmarkEnd w:id="45"/>
    </w:p>
    <w:p w14:paraId="4A89E022">
      <w:pPr>
        <w:spacing w:line="360" w:lineRule="auto"/>
        <w:ind w:firstLine="560"/>
        <w:jc w:val="left"/>
        <w:rPr>
          <w:rFonts w:ascii="宋体" w:hAnsi="宋体" w:cs="宋体"/>
          <w:kern w:val="0"/>
          <w:sz w:val="28"/>
          <w:szCs w:val="28"/>
        </w:rPr>
      </w:pPr>
      <w:r>
        <w:rPr>
          <w:rFonts w:hint="eastAsia" w:ascii="宋体" w:hAnsi="宋体" w:cs="宋体"/>
          <w:kern w:val="0"/>
          <w:sz w:val="28"/>
          <w:szCs w:val="28"/>
        </w:rPr>
        <w:t>应急管理局掌握全县危险化学品企业和救援力量信息数据资料。</w:t>
      </w:r>
    </w:p>
    <w:p w14:paraId="08F9F5F8">
      <w:pPr>
        <w:spacing w:line="360" w:lineRule="auto"/>
        <w:ind w:firstLine="560"/>
        <w:jc w:val="left"/>
        <w:rPr>
          <w:rFonts w:ascii="宋体" w:hAnsi="宋体" w:cs="宋体"/>
          <w:kern w:val="0"/>
          <w:sz w:val="28"/>
          <w:szCs w:val="28"/>
        </w:rPr>
      </w:pPr>
      <w:r>
        <w:rPr>
          <w:rFonts w:hint="eastAsia" w:ascii="宋体" w:hAnsi="宋体"/>
          <w:color w:val="000000"/>
          <w:kern w:val="0"/>
          <w:sz w:val="28"/>
          <w:szCs w:val="28"/>
        </w:rPr>
        <w:t>紧急情况发生后，通讯公司可以充分利用有线、无线电话、卫星等手段，保障救援有关单位与人员的通讯畅通。必要时，将通讯传输设备设在事故救援现场。</w:t>
      </w:r>
      <w:r>
        <w:rPr>
          <w:rFonts w:hint="eastAsia" w:ascii="宋体" w:hAnsi="宋体" w:cs="宋体"/>
          <w:kern w:val="0"/>
          <w:sz w:val="28"/>
          <w:szCs w:val="28"/>
        </w:rPr>
        <w:t>　</w:t>
      </w:r>
    </w:p>
    <w:p w14:paraId="2FE1755D">
      <w:pPr>
        <w:pStyle w:val="3"/>
        <w:keepNext w:val="0"/>
        <w:keepLines w:val="0"/>
        <w:spacing w:before="0" w:after="0" w:line="360" w:lineRule="auto"/>
        <w:rPr>
          <w:rFonts w:ascii="宋体" w:hAnsi="宋体"/>
          <w:kern w:val="0"/>
          <w:sz w:val="28"/>
          <w:szCs w:val="28"/>
        </w:rPr>
      </w:pPr>
      <w:bookmarkStart w:id="46" w:name="_Toc25649_WPSOffice_Level1"/>
      <w:bookmarkStart w:id="47" w:name="_Toc184287606"/>
      <w:r>
        <w:rPr>
          <w:rFonts w:hint="eastAsia" w:ascii="宋体" w:hAnsi="宋体"/>
          <w:kern w:val="0"/>
          <w:sz w:val="28"/>
          <w:szCs w:val="28"/>
        </w:rPr>
        <w:t>（二）应急队伍保障</w:t>
      </w:r>
      <w:bookmarkEnd w:id="46"/>
      <w:bookmarkEnd w:id="47"/>
    </w:p>
    <w:p w14:paraId="057D44C1">
      <w:pPr>
        <w:spacing w:line="360" w:lineRule="auto"/>
        <w:ind w:firstLine="570"/>
        <w:jc w:val="left"/>
        <w:rPr>
          <w:rFonts w:ascii="宋体" w:hAnsi="宋体" w:cs="Arial"/>
          <w:kern w:val="0"/>
          <w:sz w:val="28"/>
          <w:szCs w:val="28"/>
        </w:rPr>
      </w:pPr>
      <w:r>
        <w:rPr>
          <w:rFonts w:hint="eastAsia" w:ascii="宋体" w:hAnsi="宋体" w:cs="宋体"/>
          <w:kern w:val="0"/>
          <w:sz w:val="28"/>
          <w:szCs w:val="28"/>
        </w:rPr>
        <w:t>存在危险化学品生产安全事故风险的单位应针</w:t>
      </w:r>
      <w:r>
        <w:rPr>
          <w:rFonts w:ascii="宋体" w:hAnsi="宋体" w:cs="Arial"/>
          <w:kern w:val="0"/>
          <w:sz w:val="28"/>
          <w:szCs w:val="28"/>
        </w:rPr>
        <w:t>对本单位可能发生的危险化学品生产安全事故类型</w:t>
      </w:r>
      <w:r>
        <w:rPr>
          <w:rFonts w:hint="eastAsia" w:ascii="宋体" w:hAnsi="宋体" w:cs="Arial"/>
          <w:kern w:val="0"/>
          <w:sz w:val="28"/>
          <w:szCs w:val="28"/>
        </w:rPr>
        <w:t>制定应急预案、组建专、兼职的应急</w:t>
      </w:r>
      <w:r>
        <w:rPr>
          <w:rFonts w:ascii="宋体" w:hAnsi="宋体" w:cs="Arial"/>
          <w:kern w:val="0"/>
          <w:sz w:val="28"/>
          <w:szCs w:val="28"/>
        </w:rPr>
        <w:t>队伍</w:t>
      </w:r>
      <w:r>
        <w:rPr>
          <w:rFonts w:hint="eastAsia" w:ascii="宋体" w:hAnsi="宋体" w:cs="Arial"/>
          <w:kern w:val="0"/>
          <w:sz w:val="28"/>
          <w:szCs w:val="28"/>
        </w:rPr>
        <w:t>，并有针对性的开展应急预案培训和应急救援演练，掌握本企业事故风险和应急处置方法。</w:t>
      </w:r>
    </w:p>
    <w:p w14:paraId="6C51BB2D">
      <w:pPr>
        <w:spacing w:line="360" w:lineRule="auto"/>
        <w:ind w:firstLine="570"/>
        <w:jc w:val="left"/>
        <w:rPr>
          <w:rFonts w:ascii="宋体" w:hAnsi="宋体" w:cs="宋体"/>
          <w:kern w:val="0"/>
          <w:sz w:val="28"/>
          <w:szCs w:val="28"/>
        </w:rPr>
      </w:pPr>
      <w:r>
        <w:rPr>
          <w:rFonts w:hint="eastAsia" w:ascii="宋体" w:hAnsi="宋体" w:cs="Arial"/>
          <w:kern w:val="0"/>
          <w:sz w:val="28"/>
          <w:szCs w:val="28"/>
        </w:rPr>
        <w:t>专、兼职</w:t>
      </w:r>
      <w:r>
        <w:rPr>
          <w:rFonts w:hint="eastAsia" w:ascii="宋体" w:hAnsi="宋体" w:cs="宋体"/>
          <w:kern w:val="0"/>
          <w:sz w:val="28"/>
          <w:szCs w:val="28"/>
        </w:rPr>
        <w:t>应急救援队伍做好业务培训和应急演练，建立应急联动机制。</w:t>
      </w:r>
    </w:p>
    <w:p w14:paraId="02CFB237">
      <w:pPr>
        <w:pStyle w:val="3"/>
        <w:keepNext w:val="0"/>
        <w:keepLines w:val="0"/>
        <w:spacing w:before="0" w:after="0" w:line="360" w:lineRule="auto"/>
        <w:rPr>
          <w:rFonts w:ascii="宋体" w:hAnsi="宋体"/>
          <w:kern w:val="0"/>
          <w:sz w:val="28"/>
          <w:szCs w:val="28"/>
        </w:rPr>
      </w:pPr>
      <w:bookmarkStart w:id="48" w:name="_Toc9366_WPSOffice_Level1"/>
      <w:bookmarkStart w:id="49" w:name="_Toc184287607"/>
      <w:r>
        <w:rPr>
          <w:rFonts w:hint="eastAsia" w:ascii="宋体" w:hAnsi="宋体"/>
          <w:kern w:val="0"/>
          <w:sz w:val="28"/>
          <w:szCs w:val="28"/>
        </w:rPr>
        <w:t>（三）救援装备和物资保障</w:t>
      </w:r>
      <w:bookmarkEnd w:id="48"/>
      <w:bookmarkEnd w:id="49"/>
    </w:p>
    <w:p w14:paraId="3517B015">
      <w:pPr>
        <w:spacing w:line="360" w:lineRule="auto"/>
        <w:ind w:firstLine="570"/>
        <w:jc w:val="left"/>
        <w:rPr>
          <w:rFonts w:ascii="宋体" w:hAnsi="宋体"/>
          <w:kern w:val="0"/>
          <w:sz w:val="28"/>
          <w:szCs w:val="28"/>
        </w:rPr>
      </w:pPr>
      <w:r>
        <w:rPr>
          <w:rFonts w:hint="eastAsia" w:ascii="宋体" w:hAnsi="宋体"/>
          <w:kern w:val="0"/>
          <w:sz w:val="28"/>
          <w:szCs w:val="28"/>
        </w:rPr>
        <w:t>行业主管部门应掌握本行业的危险化学品生产安全事故风险、救援装备情况。</w:t>
      </w:r>
    </w:p>
    <w:p w14:paraId="051DCE4F">
      <w:pPr>
        <w:spacing w:line="360" w:lineRule="auto"/>
        <w:ind w:firstLine="560" w:firstLineChars="200"/>
        <w:jc w:val="left"/>
        <w:rPr>
          <w:rFonts w:ascii="宋体" w:hAnsi="宋体" w:cs="宋体"/>
          <w:kern w:val="0"/>
          <w:sz w:val="28"/>
          <w:szCs w:val="28"/>
        </w:rPr>
      </w:pPr>
      <w:r>
        <w:rPr>
          <w:rFonts w:hint="eastAsia" w:ascii="宋体" w:hAnsi="宋体" w:cs="宋体"/>
          <w:kern w:val="0"/>
          <w:sz w:val="28"/>
          <w:szCs w:val="28"/>
        </w:rPr>
        <w:t>专业应急救援队伍和有关单位要根据实际情况和需要，配备必要的应急救援装备。</w:t>
      </w:r>
    </w:p>
    <w:p w14:paraId="28004217">
      <w:pPr>
        <w:spacing w:line="360" w:lineRule="auto"/>
        <w:jc w:val="left"/>
        <w:rPr>
          <w:rFonts w:ascii="宋体" w:hAnsi="宋体" w:cs="宋体"/>
          <w:kern w:val="0"/>
          <w:sz w:val="28"/>
          <w:szCs w:val="28"/>
        </w:rPr>
      </w:pPr>
      <w:r>
        <w:rPr>
          <w:rFonts w:hint="eastAsia" w:ascii="宋体" w:hAnsi="宋体" w:cs="宋体"/>
          <w:kern w:val="0"/>
          <w:sz w:val="28"/>
          <w:szCs w:val="28"/>
        </w:rPr>
        <w:t>　　</w:t>
      </w:r>
      <w:r>
        <w:rPr>
          <w:rFonts w:hint="eastAsia" w:ascii="宋体" w:hAnsi="宋体"/>
          <w:kern w:val="0"/>
          <w:sz w:val="28"/>
          <w:szCs w:val="28"/>
        </w:rPr>
        <w:t>县政府有关部门、有关企业按照职责分工和预案要求，建立突发危险化学品生产安全事故应急物资储备制度，储备必要的应急物资，并定期检查，保持完好。</w:t>
      </w:r>
    </w:p>
    <w:p w14:paraId="7A8F9D6B">
      <w:pPr>
        <w:pStyle w:val="3"/>
        <w:keepNext w:val="0"/>
        <w:keepLines w:val="0"/>
        <w:spacing w:before="0" w:after="0" w:line="360" w:lineRule="auto"/>
        <w:rPr>
          <w:rFonts w:ascii="宋体" w:hAnsi="宋体"/>
          <w:kern w:val="0"/>
          <w:sz w:val="28"/>
          <w:szCs w:val="28"/>
        </w:rPr>
      </w:pPr>
      <w:bookmarkStart w:id="50" w:name="_Toc184287608"/>
      <w:bookmarkStart w:id="51" w:name="_Toc16599_WPSOffice_Level1"/>
      <w:r>
        <w:rPr>
          <w:rFonts w:hint="eastAsia" w:ascii="宋体" w:hAnsi="宋体"/>
          <w:kern w:val="0"/>
          <w:sz w:val="28"/>
          <w:szCs w:val="28"/>
        </w:rPr>
        <w:t>（四）交通运输保障</w:t>
      </w:r>
      <w:bookmarkEnd w:id="50"/>
      <w:bookmarkEnd w:id="51"/>
    </w:p>
    <w:p w14:paraId="741911D4">
      <w:pPr>
        <w:spacing w:line="360" w:lineRule="auto"/>
        <w:jc w:val="left"/>
        <w:rPr>
          <w:rFonts w:ascii="宋体" w:hAnsi="宋体" w:cs="宋体"/>
          <w:kern w:val="0"/>
          <w:sz w:val="28"/>
          <w:szCs w:val="28"/>
        </w:rPr>
      </w:pPr>
      <w:r>
        <w:rPr>
          <w:rFonts w:hint="eastAsia" w:ascii="宋体" w:hAnsi="宋体" w:cs="宋体"/>
          <w:kern w:val="0"/>
          <w:sz w:val="28"/>
          <w:szCs w:val="28"/>
        </w:rPr>
        <w:t>　　交通运输局</w:t>
      </w:r>
      <w:r>
        <w:rPr>
          <w:rFonts w:hint="eastAsia" w:ascii="宋体" w:hAnsi="宋体"/>
          <w:kern w:val="0"/>
          <w:sz w:val="28"/>
          <w:szCs w:val="28"/>
        </w:rPr>
        <w:t>做好交通运输保障工作，必要时，开启特别应急通道，</w:t>
      </w:r>
      <w:r>
        <w:rPr>
          <w:rFonts w:hint="eastAsia" w:ascii="宋体" w:hAnsi="宋体" w:cs="宋体"/>
          <w:kern w:val="0"/>
          <w:sz w:val="28"/>
          <w:szCs w:val="28"/>
        </w:rPr>
        <w:t>确保抢险救灾物资和人员能够及时、安全送达。特殊情况下，由县公安局交警大队对现场及相关通道实行交通管制，开设应急救援“绿色通道”，保证应急救援工作顺利开展。</w:t>
      </w:r>
    </w:p>
    <w:p w14:paraId="2FD543D4">
      <w:pPr>
        <w:pStyle w:val="3"/>
        <w:keepNext w:val="0"/>
        <w:keepLines w:val="0"/>
        <w:spacing w:before="0" w:after="0" w:line="360" w:lineRule="auto"/>
        <w:rPr>
          <w:rFonts w:ascii="宋体" w:hAnsi="宋体"/>
          <w:kern w:val="0"/>
          <w:sz w:val="28"/>
          <w:szCs w:val="28"/>
        </w:rPr>
      </w:pPr>
      <w:bookmarkStart w:id="52" w:name="_Toc184287609"/>
      <w:bookmarkStart w:id="53" w:name="_Toc29113_WPSOffice_Level1"/>
      <w:r>
        <w:rPr>
          <w:rFonts w:hint="eastAsia" w:ascii="宋体" w:hAnsi="宋体"/>
          <w:kern w:val="0"/>
          <w:sz w:val="28"/>
          <w:szCs w:val="28"/>
        </w:rPr>
        <w:t>（五）医疗卫生保障</w:t>
      </w:r>
      <w:bookmarkEnd w:id="52"/>
      <w:bookmarkEnd w:id="53"/>
    </w:p>
    <w:p w14:paraId="7D0EEFF5">
      <w:pPr>
        <w:spacing w:line="360" w:lineRule="auto"/>
        <w:jc w:val="left"/>
        <w:rPr>
          <w:rFonts w:ascii="宋体" w:hAnsi="宋体" w:cs="宋体"/>
          <w:kern w:val="0"/>
          <w:sz w:val="28"/>
          <w:szCs w:val="28"/>
        </w:rPr>
      </w:pPr>
      <w:r>
        <w:rPr>
          <w:rFonts w:hint="eastAsia" w:ascii="宋体" w:hAnsi="宋体" w:cs="宋体"/>
          <w:kern w:val="0"/>
          <w:sz w:val="28"/>
          <w:szCs w:val="28"/>
        </w:rPr>
        <w:t>　　卫生健康局负责组织医疗卫生救援行动，提高应对突发公共事件医疗卫生救援水平</w:t>
      </w:r>
      <w:r>
        <w:rPr>
          <w:rFonts w:hint="eastAsia" w:ascii="宋体" w:hAnsi="宋体"/>
          <w:kern w:val="0"/>
          <w:sz w:val="28"/>
          <w:szCs w:val="28"/>
        </w:rPr>
        <w:t>，并拟定医疗救护保障计划。根据需要及时赶赴现场开展医疗救治、疾病预防控制等医疗卫生应急工作</w:t>
      </w:r>
      <w:r>
        <w:rPr>
          <w:rFonts w:hint="eastAsia" w:ascii="宋体" w:hAnsi="宋体" w:cs="宋体"/>
          <w:kern w:val="0"/>
          <w:sz w:val="28"/>
          <w:szCs w:val="28"/>
        </w:rPr>
        <w:t>，最大程度减少人员伤亡和健康危害。</w:t>
      </w:r>
    </w:p>
    <w:p w14:paraId="548AC23E">
      <w:pPr>
        <w:pStyle w:val="3"/>
        <w:keepNext w:val="0"/>
        <w:keepLines w:val="0"/>
        <w:spacing w:before="0" w:after="0" w:line="360" w:lineRule="auto"/>
        <w:rPr>
          <w:rFonts w:ascii="宋体" w:hAnsi="宋体"/>
          <w:kern w:val="0"/>
          <w:sz w:val="28"/>
          <w:szCs w:val="28"/>
        </w:rPr>
      </w:pPr>
      <w:bookmarkStart w:id="54" w:name="_Toc13399_WPSOffice_Level1"/>
      <w:bookmarkStart w:id="55" w:name="_Toc184287610"/>
      <w:r>
        <w:rPr>
          <w:rFonts w:hint="eastAsia" w:ascii="宋体" w:hAnsi="宋体"/>
          <w:kern w:val="0"/>
          <w:sz w:val="28"/>
          <w:szCs w:val="28"/>
        </w:rPr>
        <w:t>（六）治安保障</w:t>
      </w:r>
      <w:bookmarkEnd w:id="54"/>
      <w:bookmarkEnd w:id="55"/>
    </w:p>
    <w:p w14:paraId="07F0BEE9">
      <w:pPr>
        <w:spacing w:line="360" w:lineRule="auto"/>
        <w:rPr>
          <w:rFonts w:ascii="宋体" w:hAnsi="宋体"/>
          <w:kern w:val="0"/>
          <w:sz w:val="28"/>
          <w:szCs w:val="28"/>
        </w:rPr>
      </w:pPr>
      <w:r>
        <w:rPr>
          <w:rFonts w:hint="eastAsia" w:ascii="宋体" w:hAnsi="宋体" w:cs="宋体"/>
          <w:kern w:val="0"/>
          <w:sz w:val="28"/>
          <w:szCs w:val="28"/>
        </w:rPr>
        <w:t>　　县公安局负责组织警力，对事故现场进行治安警戒和管理，加强对重点地区、重点场所、重要物资设备的防范保护，维持现场秩序，依法严厉打击违法犯罪活动，为救援工作创造良好环境。</w:t>
      </w:r>
    </w:p>
    <w:p w14:paraId="5BF28257">
      <w:pPr>
        <w:spacing w:line="360" w:lineRule="auto"/>
        <w:jc w:val="left"/>
        <w:rPr>
          <w:rFonts w:ascii="宋体" w:hAnsi="宋体" w:cs="宋体"/>
          <w:kern w:val="0"/>
          <w:sz w:val="28"/>
          <w:szCs w:val="28"/>
        </w:rPr>
      </w:pPr>
      <w:r>
        <w:rPr>
          <w:rFonts w:hint="eastAsia" w:ascii="宋体" w:hAnsi="宋体"/>
          <w:kern w:val="0"/>
          <w:sz w:val="28"/>
          <w:szCs w:val="28"/>
        </w:rPr>
        <w:t>　 危险化学品</w:t>
      </w:r>
      <w:r>
        <w:rPr>
          <w:rFonts w:hint="eastAsia" w:ascii="宋体" w:hAnsi="宋体" w:cs="宋体"/>
          <w:kern w:val="0"/>
          <w:sz w:val="28"/>
          <w:szCs w:val="28"/>
        </w:rPr>
        <w:t>生产安全事故发生地人民政府应当积极发动和组织群众，开展群防联防，协助公安部门实施治安保卫工作。</w:t>
      </w:r>
    </w:p>
    <w:p w14:paraId="027235FD">
      <w:pPr>
        <w:pStyle w:val="3"/>
        <w:keepNext w:val="0"/>
        <w:keepLines w:val="0"/>
        <w:spacing w:before="0" w:after="0" w:line="360" w:lineRule="auto"/>
        <w:rPr>
          <w:rFonts w:ascii="宋体" w:hAnsi="宋体"/>
          <w:kern w:val="0"/>
          <w:sz w:val="28"/>
          <w:szCs w:val="28"/>
        </w:rPr>
      </w:pPr>
      <w:bookmarkStart w:id="56" w:name="_Toc31261_WPSOffice_Level1"/>
      <w:bookmarkStart w:id="57" w:name="_Toc184287611"/>
      <w:r>
        <w:rPr>
          <w:rFonts w:hint="eastAsia" w:ascii="宋体" w:hAnsi="宋体"/>
          <w:kern w:val="0"/>
          <w:sz w:val="28"/>
          <w:szCs w:val="28"/>
        </w:rPr>
        <w:t>（七）</w:t>
      </w:r>
      <w:bookmarkEnd w:id="56"/>
      <w:bookmarkStart w:id="58" w:name="_Toc6037_WPSOffice_Level1"/>
      <w:r>
        <w:rPr>
          <w:rFonts w:hint="eastAsia" w:ascii="宋体" w:hAnsi="宋体"/>
          <w:kern w:val="0"/>
          <w:sz w:val="28"/>
          <w:szCs w:val="28"/>
        </w:rPr>
        <w:t>资金保障</w:t>
      </w:r>
      <w:bookmarkEnd w:id="57"/>
      <w:bookmarkEnd w:id="58"/>
    </w:p>
    <w:p w14:paraId="5828B87D">
      <w:pPr>
        <w:spacing w:line="360" w:lineRule="auto"/>
        <w:ind w:firstLine="560"/>
        <w:rPr>
          <w:rFonts w:ascii="宋体" w:hAnsi="宋体" w:cs="宋体"/>
          <w:kern w:val="0"/>
          <w:sz w:val="28"/>
          <w:szCs w:val="28"/>
        </w:rPr>
      </w:pPr>
      <w:r>
        <w:rPr>
          <w:rFonts w:hint="eastAsia" w:ascii="宋体" w:hAnsi="宋体" w:cs="宋体"/>
          <w:kern w:val="0"/>
          <w:sz w:val="28"/>
          <w:szCs w:val="28"/>
        </w:rPr>
        <w:t>各危险化学品企业、负有</w:t>
      </w:r>
      <w:r>
        <w:rPr>
          <w:rFonts w:hint="eastAsia" w:ascii="宋体" w:hAnsi="宋体"/>
          <w:kern w:val="0"/>
          <w:sz w:val="28"/>
          <w:szCs w:val="28"/>
        </w:rPr>
        <w:t>危险化学品</w:t>
      </w:r>
      <w:r>
        <w:rPr>
          <w:rFonts w:hint="eastAsia" w:ascii="宋体" w:hAnsi="宋体" w:cs="宋体"/>
          <w:kern w:val="0"/>
          <w:sz w:val="28"/>
          <w:szCs w:val="28"/>
        </w:rPr>
        <w:t>生产安全事故应急响应职责的部门按照有关预案和规定程序保证</w:t>
      </w:r>
      <w:r>
        <w:rPr>
          <w:rFonts w:hint="eastAsia" w:ascii="宋体" w:hAnsi="宋体"/>
          <w:kern w:val="0"/>
          <w:sz w:val="28"/>
          <w:szCs w:val="28"/>
        </w:rPr>
        <w:t>危险化学品</w:t>
      </w:r>
      <w:r>
        <w:rPr>
          <w:rFonts w:hint="eastAsia" w:ascii="宋体" w:hAnsi="宋体" w:cs="宋体"/>
          <w:kern w:val="0"/>
          <w:sz w:val="28"/>
          <w:szCs w:val="28"/>
        </w:rPr>
        <w:t>生产安全事故应急处置所需的经费。生产经营企业按要求进行参加安全生产保险。</w:t>
      </w:r>
    </w:p>
    <w:p w14:paraId="20FD051F">
      <w:pPr>
        <w:spacing w:line="360" w:lineRule="auto"/>
        <w:ind w:firstLine="560" w:firstLineChars="200"/>
        <w:jc w:val="left"/>
        <w:rPr>
          <w:rFonts w:ascii="宋体" w:hAnsi="宋体"/>
          <w:kern w:val="0"/>
          <w:sz w:val="28"/>
          <w:szCs w:val="28"/>
        </w:rPr>
      </w:pPr>
      <w:r>
        <w:rPr>
          <w:rFonts w:hint="eastAsia" w:ascii="宋体" w:hAnsi="宋体" w:cs="宋体"/>
          <w:kern w:val="0"/>
          <w:sz w:val="28"/>
          <w:szCs w:val="28"/>
        </w:rPr>
        <w:t>必要时，财政局</w:t>
      </w:r>
      <w:r>
        <w:rPr>
          <w:rFonts w:hint="eastAsia" w:ascii="宋体" w:hAnsi="宋体"/>
          <w:kern w:val="0"/>
          <w:sz w:val="28"/>
          <w:szCs w:val="28"/>
        </w:rPr>
        <w:t>及时启用财政预备费，保障危险化学品生产安全事故应急救援所需经费。</w:t>
      </w:r>
    </w:p>
    <w:p w14:paraId="222F65AA">
      <w:pPr>
        <w:pStyle w:val="3"/>
        <w:keepNext w:val="0"/>
        <w:keepLines w:val="0"/>
        <w:spacing w:before="0" w:after="0" w:line="360" w:lineRule="auto"/>
        <w:rPr>
          <w:rFonts w:ascii="宋体" w:hAnsi="宋体"/>
          <w:kern w:val="0"/>
          <w:sz w:val="28"/>
          <w:szCs w:val="28"/>
        </w:rPr>
      </w:pPr>
      <w:bookmarkStart w:id="59" w:name="_Toc184287612"/>
      <w:bookmarkStart w:id="60" w:name="_Toc27585_WPSOffice_Level1"/>
      <w:r>
        <w:rPr>
          <w:rFonts w:hint="eastAsia" w:ascii="宋体" w:hAnsi="宋体"/>
          <w:kern w:val="0"/>
          <w:sz w:val="28"/>
          <w:szCs w:val="28"/>
        </w:rPr>
        <w:t>（八）社会动员保障</w:t>
      </w:r>
      <w:bookmarkEnd w:id="59"/>
      <w:bookmarkEnd w:id="60"/>
    </w:p>
    <w:p w14:paraId="157CE8E5">
      <w:pPr>
        <w:spacing w:line="360" w:lineRule="auto"/>
        <w:ind w:firstLine="570"/>
        <w:jc w:val="left"/>
        <w:rPr>
          <w:rFonts w:ascii="宋体" w:hAnsi="宋体" w:cs="宋体"/>
          <w:kern w:val="0"/>
          <w:sz w:val="28"/>
          <w:szCs w:val="28"/>
        </w:rPr>
      </w:pPr>
      <w:r>
        <w:rPr>
          <w:rFonts w:hint="eastAsia" w:ascii="宋体" w:hAnsi="宋体" w:cs="宋体"/>
          <w:kern w:val="0"/>
          <w:sz w:val="28"/>
          <w:szCs w:val="28"/>
        </w:rPr>
        <w:t>各级政府根据需要动员社会力量参与应急救援，并负责协调保障组织。</w:t>
      </w:r>
    </w:p>
    <w:p w14:paraId="2CDABAA4">
      <w:pPr>
        <w:spacing w:line="360" w:lineRule="auto"/>
        <w:ind w:firstLine="570"/>
        <w:jc w:val="left"/>
        <w:rPr>
          <w:rFonts w:ascii="宋体" w:hAnsi="宋体" w:cs="宋体"/>
          <w:kern w:val="0"/>
          <w:sz w:val="28"/>
          <w:szCs w:val="28"/>
        </w:rPr>
      </w:pPr>
      <w:r>
        <w:rPr>
          <w:rFonts w:hint="eastAsia" w:ascii="宋体" w:hAnsi="宋体" w:cs="宋体"/>
          <w:kern w:val="0"/>
          <w:sz w:val="28"/>
          <w:szCs w:val="28"/>
        </w:rPr>
        <w:t>应急指挥部协调调用事发地以外的社会力量参与增援，有关部门、单位提供必要保障。</w:t>
      </w:r>
    </w:p>
    <w:p w14:paraId="6059278B">
      <w:pPr>
        <w:pStyle w:val="3"/>
        <w:keepNext w:val="0"/>
        <w:keepLines w:val="0"/>
        <w:spacing w:before="0" w:after="0" w:line="360" w:lineRule="auto"/>
        <w:rPr>
          <w:rFonts w:ascii="宋体" w:hAnsi="宋体"/>
          <w:kern w:val="0"/>
          <w:sz w:val="28"/>
          <w:szCs w:val="28"/>
        </w:rPr>
      </w:pPr>
      <w:bookmarkStart w:id="61" w:name="_Toc184287613"/>
      <w:bookmarkStart w:id="62" w:name="_Toc16052_WPSOffice_Level1"/>
      <w:r>
        <w:rPr>
          <w:rFonts w:hint="eastAsia" w:ascii="宋体" w:hAnsi="宋体"/>
          <w:kern w:val="0"/>
          <w:sz w:val="28"/>
          <w:szCs w:val="28"/>
        </w:rPr>
        <w:t>（九）应急避难场所保障</w:t>
      </w:r>
      <w:bookmarkEnd w:id="61"/>
      <w:bookmarkEnd w:id="62"/>
    </w:p>
    <w:p w14:paraId="28B00CAE">
      <w:pPr>
        <w:spacing w:line="360" w:lineRule="auto"/>
        <w:ind w:firstLine="560"/>
        <w:rPr>
          <w:rFonts w:ascii="宋体" w:hAnsi="宋体"/>
          <w:kern w:val="0"/>
          <w:sz w:val="28"/>
          <w:szCs w:val="28"/>
        </w:rPr>
      </w:pPr>
      <w:r>
        <w:rPr>
          <w:rFonts w:hint="eastAsia" w:ascii="宋体" w:hAnsi="宋体"/>
          <w:kern w:val="0"/>
          <w:sz w:val="28"/>
          <w:szCs w:val="28"/>
        </w:rPr>
        <w:t>有关部门、各乡镇人民政府、社区办、社区管委会、经开区管委会按照实际情况设立与本地人口密度、规模相适应的紧急避难场所。紧急状态下可以设置临时避难场所。</w:t>
      </w:r>
    </w:p>
    <w:p w14:paraId="62EA728F">
      <w:pPr>
        <w:pStyle w:val="3"/>
        <w:keepNext w:val="0"/>
        <w:keepLines w:val="0"/>
        <w:spacing w:before="0" w:after="0" w:line="360" w:lineRule="auto"/>
        <w:rPr>
          <w:rFonts w:ascii="宋体" w:hAnsi="宋体"/>
          <w:kern w:val="0"/>
          <w:sz w:val="28"/>
          <w:szCs w:val="28"/>
        </w:rPr>
      </w:pPr>
      <w:bookmarkStart w:id="63" w:name="_Toc6121_WPSOffice_Level1"/>
      <w:bookmarkStart w:id="64" w:name="_Toc184287614"/>
      <w:r>
        <w:rPr>
          <w:rFonts w:hint="eastAsia" w:ascii="宋体" w:hAnsi="宋体"/>
          <w:kern w:val="0"/>
          <w:sz w:val="28"/>
          <w:szCs w:val="28"/>
        </w:rPr>
        <w:t>（十）公共基础设施保障</w:t>
      </w:r>
      <w:bookmarkEnd w:id="63"/>
      <w:bookmarkEnd w:id="64"/>
    </w:p>
    <w:p w14:paraId="6C1F0516">
      <w:pPr>
        <w:spacing w:line="360" w:lineRule="auto"/>
        <w:jc w:val="left"/>
        <w:rPr>
          <w:rFonts w:ascii="宋体" w:hAnsi="宋体" w:cs="Arial"/>
          <w:kern w:val="0"/>
          <w:sz w:val="28"/>
          <w:szCs w:val="28"/>
        </w:rPr>
      </w:pPr>
      <w:r>
        <w:rPr>
          <w:rFonts w:hint="eastAsia" w:ascii="宋体" w:hAnsi="宋体"/>
          <w:kern w:val="0"/>
          <w:sz w:val="28"/>
          <w:szCs w:val="28"/>
        </w:rPr>
        <w:t>　　发改、住建等部门按照职责做好事故区域电、油、气、水、热等公共设施的恢复工作。</w:t>
      </w:r>
    </w:p>
    <w:p w14:paraId="1A77B177">
      <w:pPr>
        <w:pStyle w:val="2"/>
        <w:keepNext w:val="0"/>
        <w:keepLines w:val="0"/>
        <w:spacing w:before="0" w:after="0" w:line="360" w:lineRule="auto"/>
        <w:rPr>
          <w:rFonts w:ascii="宋体" w:hAnsi="宋体"/>
          <w:kern w:val="0"/>
          <w:sz w:val="28"/>
          <w:szCs w:val="28"/>
        </w:rPr>
      </w:pPr>
      <w:bookmarkStart w:id="65" w:name="_Toc184287615"/>
      <w:r>
        <w:rPr>
          <w:rFonts w:hint="eastAsia" w:ascii="宋体" w:hAnsi="宋体"/>
          <w:kern w:val="0"/>
          <w:sz w:val="28"/>
          <w:szCs w:val="28"/>
        </w:rPr>
        <w:t>十、监督</w:t>
      </w:r>
      <w:r>
        <w:rPr>
          <w:rFonts w:ascii="宋体" w:hAnsi="宋体"/>
          <w:kern w:val="0"/>
          <w:sz w:val="28"/>
          <w:szCs w:val="28"/>
        </w:rPr>
        <w:t>管理</w:t>
      </w:r>
      <w:bookmarkEnd w:id="65"/>
    </w:p>
    <w:p w14:paraId="504C33CC">
      <w:pPr>
        <w:pStyle w:val="3"/>
        <w:keepNext w:val="0"/>
        <w:keepLines w:val="0"/>
        <w:spacing w:before="0" w:after="0" w:line="360" w:lineRule="auto"/>
        <w:rPr>
          <w:rFonts w:ascii="宋体" w:hAnsi="宋体" w:cs="宋体"/>
          <w:sz w:val="28"/>
          <w:szCs w:val="28"/>
        </w:rPr>
      </w:pPr>
      <w:bookmarkStart w:id="66" w:name="_Toc184287616"/>
      <w:r>
        <w:rPr>
          <w:rFonts w:hint="eastAsia" w:ascii="宋体" w:hAnsi="宋体" w:cs="宋体"/>
          <w:sz w:val="28"/>
          <w:szCs w:val="28"/>
        </w:rPr>
        <w:t>（一）宣传教育</w:t>
      </w:r>
      <w:bookmarkEnd w:id="66"/>
    </w:p>
    <w:p w14:paraId="09A3E3E3">
      <w:pPr>
        <w:pStyle w:val="17"/>
        <w:numPr>
          <w:ilvl w:val="2"/>
          <w:numId w:val="41"/>
        </w:numPr>
        <w:spacing w:line="360" w:lineRule="auto"/>
        <w:ind w:left="574" w:hanging="560" w:firstLineChars="0"/>
        <w:jc w:val="left"/>
        <w:rPr>
          <w:rFonts w:ascii="宋体" w:hAnsi="宋体"/>
          <w:kern w:val="0"/>
          <w:sz w:val="28"/>
          <w:szCs w:val="28"/>
        </w:rPr>
      </w:pPr>
      <w:r>
        <w:rPr>
          <w:rFonts w:hint="eastAsia" w:ascii="宋体" w:hAnsi="宋体"/>
          <w:kern w:val="0"/>
          <w:sz w:val="28"/>
          <w:szCs w:val="28"/>
        </w:rPr>
        <w:t>各级政府负责本地的危险化学品生产安全事故应急救援宣传、教育工作，提高全民安全防范意识。</w:t>
      </w:r>
    </w:p>
    <w:p w14:paraId="2F365744">
      <w:pPr>
        <w:pStyle w:val="17"/>
        <w:numPr>
          <w:ilvl w:val="2"/>
          <w:numId w:val="41"/>
        </w:numPr>
        <w:spacing w:line="360" w:lineRule="auto"/>
        <w:ind w:left="574" w:hanging="560" w:firstLineChars="0"/>
        <w:jc w:val="left"/>
        <w:rPr>
          <w:rFonts w:ascii="宋体" w:hAnsi="宋体"/>
          <w:kern w:val="0"/>
          <w:sz w:val="28"/>
          <w:szCs w:val="28"/>
        </w:rPr>
      </w:pPr>
      <w:r>
        <w:rPr>
          <w:rFonts w:hint="eastAsia" w:ascii="宋体" w:hAnsi="宋体"/>
          <w:kern w:val="0"/>
          <w:sz w:val="28"/>
          <w:szCs w:val="28"/>
        </w:rPr>
        <w:t>危险化学品企业与所在地政府建立互动机制，向周边群众宣传相关应急知识。</w:t>
      </w:r>
    </w:p>
    <w:p w14:paraId="5472608B">
      <w:pPr>
        <w:pStyle w:val="17"/>
        <w:numPr>
          <w:ilvl w:val="2"/>
          <w:numId w:val="41"/>
        </w:numPr>
        <w:spacing w:line="360" w:lineRule="auto"/>
        <w:ind w:left="574" w:hanging="560" w:firstLineChars="0"/>
        <w:jc w:val="left"/>
        <w:rPr>
          <w:rFonts w:ascii="宋体" w:hAnsi="宋体" w:cs="宋体"/>
          <w:kern w:val="0"/>
          <w:sz w:val="28"/>
          <w:szCs w:val="28"/>
        </w:rPr>
      </w:pPr>
      <w:r>
        <w:rPr>
          <w:rFonts w:hint="eastAsia" w:ascii="宋体" w:hAnsi="宋体" w:cs="宋体"/>
          <w:kern w:val="0"/>
          <w:sz w:val="28"/>
          <w:szCs w:val="28"/>
        </w:rPr>
        <w:t>县应急管理局及有关部门做好危险化学品生产、经验、使用单位安全监督，落实基层通过媒体将应急指挥中心报警电话、自救互救常识告知公众。</w:t>
      </w:r>
    </w:p>
    <w:p w14:paraId="221D6EED">
      <w:pPr>
        <w:pStyle w:val="3"/>
        <w:keepNext w:val="0"/>
        <w:keepLines w:val="0"/>
        <w:spacing w:before="0" w:after="0" w:line="360" w:lineRule="auto"/>
        <w:rPr>
          <w:rFonts w:ascii="宋体" w:hAnsi="宋体" w:cs="宋体"/>
          <w:sz w:val="28"/>
          <w:szCs w:val="28"/>
        </w:rPr>
      </w:pPr>
      <w:bookmarkStart w:id="67" w:name="_Toc39051749"/>
      <w:bookmarkStart w:id="68" w:name="_Toc184287617"/>
      <w:r>
        <w:rPr>
          <w:rFonts w:hint="eastAsia" w:ascii="宋体" w:hAnsi="宋体" w:cs="宋体"/>
          <w:sz w:val="28"/>
          <w:szCs w:val="28"/>
        </w:rPr>
        <w:t>（二）培训</w:t>
      </w:r>
      <w:bookmarkEnd w:id="67"/>
      <w:bookmarkEnd w:id="68"/>
    </w:p>
    <w:p w14:paraId="2C985956">
      <w:pPr>
        <w:pStyle w:val="17"/>
        <w:numPr>
          <w:ilvl w:val="0"/>
          <w:numId w:val="42"/>
        </w:numPr>
        <w:spacing w:line="360" w:lineRule="auto"/>
        <w:ind w:firstLineChars="0"/>
        <w:jc w:val="left"/>
        <w:rPr>
          <w:rFonts w:ascii="宋体" w:hAnsi="宋体" w:cs="宋体"/>
          <w:kern w:val="0"/>
          <w:sz w:val="28"/>
          <w:szCs w:val="28"/>
        </w:rPr>
      </w:pPr>
      <w:r>
        <w:rPr>
          <w:rFonts w:hint="eastAsia" w:ascii="宋体" w:hAnsi="宋体" w:cs="宋体"/>
          <w:kern w:val="0"/>
          <w:sz w:val="28"/>
          <w:szCs w:val="28"/>
        </w:rPr>
        <w:t>按照“分级管理”的原则，政府有关部门组织各专业应急机构及救援队伍人员进行上岗前培训和在岗定期复训，应急指挥部办公室负责指导。</w:t>
      </w:r>
    </w:p>
    <w:p w14:paraId="197B8C08">
      <w:pPr>
        <w:pStyle w:val="17"/>
        <w:numPr>
          <w:ilvl w:val="0"/>
          <w:numId w:val="42"/>
        </w:numPr>
        <w:spacing w:line="360" w:lineRule="auto"/>
        <w:ind w:firstLineChars="0"/>
        <w:jc w:val="left"/>
        <w:rPr>
          <w:rFonts w:ascii="宋体" w:hAnsi="宋体" w:cs="宋体"/>
          <w:kern w:val="0"/>
          <w:sz w:val="28"/>
          <w:szCs w:val="28"/>
        </w:rPr>
      </w:pPr>
      <w:r>
        <w:rPr>
          <w:rFonts w:hint="eastAsia" w:ascii="宋体" w:hAnsi="宋体" w:cs="宋体"/>
          <w:kern w:val="0"/>
          <w:sz w:val="28"/>
          <w:szCs w:val="28"/>
        </w:rPr>
        <w:t>有关部门和单位结合自身实际，搞好兼职应急救援队伍的培训，组织社会志愿者的培训，提高公众自救、互救能力。</w:t>
      </w:r>
    </w:p>
    <w:p w14:paraId="5A3F15FF">
      <w:pPr>
        <w:pStyle w:val="3"/>
        <w:keepNext w:val="0"/>
        <w:keepLines w:val="0"/>
        <w:spacing w:before="0" w:after="0" w:line="360" w:lineRule="auto"/>
        <w:rPr>
          <w:rFonts w:ascii="宋体" w:hAnsi="宋体" w:cs="宋体"/>
          <w:sz w:val="28"/>
          <w:szCs w:val="28"/>
        </w:rPr>
      </w:pPr>
      <w:bookmarkStart w:id="69" w:name="_Toc39051750"/>
      <w:bookmarkStart w:id="70" w:name="_Toc184287618"/>
      <w:r>
        <w:rPr>
          <w:rFonts w:hint="eastAsia" w:ascii="宋体" w:hAnsi="宋体" w:cs="宋体"/>
          <w:sz w:val="28"/>
          <w:szCs w:val="28"/>
        </w:rPr>
        <w:t>（三）演练</w:t>
      </w:r>
      <w:bookmarkEnd w:id="69"/>
      <w:bookmarkEnd w:id="70"/>
    </w:p>
    <w:p w14:paraId="0B8B6663">
      <w:pPr>
        <w:pStyle w:val="17"/>
        <w:numPr>
          <w:ilvl w:val="0"/>
          <w:numId w:val="43"/>
        </w:numPr>
        <w:spacing w:line="360" w:lineRule="auto"/>
        <w:ind w:firstLineChars="0"/>
        <w:jc w:val="left"/>
        <w:rPr>
          <w:rFonts w:ascii="宋体" w:hAnsi="宋体" w:cs="宋体"/>
          <w:kern w:val="0"/>
          <w:sz w:val="28"/>
          <w:szCs w:val="28"/>
        </w:rPr>
      </w:pPr>
      <w:r>
        <w:rPr>
          <w:rFonts w:hint="eastAsia" w:ascii="宋体" w:hAnsi="宋体" w:cs="宋体"/>
          <w:kern w:val="0"/>
          <w:sz w:val="28"/>
          <w:szCs w:val="28"/>
        </w:rPr>
        <w:t>危险化学品单位主管部门至少每2年组织一次危险化学品生产安全事故应急救援预案演练。</w:t>
      </w:r>
    </w:p>
    <w:p w14:paraId="2EEF48F7">
      <w:pPr>
        <w:pStyle w:val="17"/>
        <w:numPr>
          <w:ilvl w:val="0"/>
          <w:numId w:val="43"/>
        </w:numPr>
        <w:spacing w:line="360" w:lineRule="auto"/>
        <w:ind w:firstLineChars="0"/>
        <w:jc w:val="left"/>
        <w:rPr>
          <w:rFonts w:ascii="宋体" w:hAnsi="宋体" w:cs="宋体"/>
          <w:kern w:val="0"/>
          <w:sz w:val="28"/>
          <w:szCs w:val="28"/>
        </w:rPr>
      </w:pPr>
      <w:r>
        <w:rPr>
          <w:rFonts w:hint="eastAsia" w:ascii="宋体" w:hAnsi="宋体" w:cs="宋体"/>
          <w:kern w:val="0"/>
          <w:sz w:val="28"/>
          <w:szCs w:val="28"/>
        </w:rPr>
        <w:t>易燃易爆物品、化学品、放射性物品等危险物品生产、经营、使用、储存、运输、废弃处置单位，应当至少每半年组织一次</w:t>
      </w:r>
      <w:r>
        <w:rPr>
          <w:rFonts w:hint="eastAsia" w:ascii="宋体" w:hAnsi="宋体"/>
          <w:kern w:val="0"/>
          <w:sz w:val="28"/>
          <w:szCs w:val="28"/>
        </w:rPr>
        <w:t>危险化学品</w:t>
      </w:r>
      <w:r>
        <w:rPr>
          <w:rFonts w:hint="eastAsia" w:ascii="宋体" w:hAnsi="宋体" w:cs="宋体"/>
          <w:kern w:val="0"/>
          <w:sz w:val="28"/>
          <w:szCs w:val="28"/>
        </w:rPr>
        <w:t>生产安全事故应急救援预案演练。</w:t>
      </w:r>
    </w:p>
    <w:p w14:paraId="0B2291A0">
      <w:pPr>
        <w:pStyle w:val="17"/>
        <w:numPr>
          <w:ilvl w:val="0"/>
          <w:numId w:val="43"/>
        </w:numPr>
        <w:spacing w:line="360" w:lineRule="auto"/>
        <w:ind w:firstLineChars="0"/>
        <w:jc w:val="left"/>
        <w:rPr>
          <w:rFonts w:ascii="宋体" w:hAnsi="宋体" w:cs="宋体"/>
          <w:kern w:val="0"/>
          <w:sz w:val="28"/>
          <w:szCs w:val="28"/>
        </w:rPr>
      </w:pPr>
      <w:r>
        <w:rPr>
          <w:rFonts w:hint="eastAsia" w:ascii="宋体" w:hAnsi="宋体" w:cs="宋体"/>
          <w:kern w:val="0"/>
          <w:sz w:val="28"/>
          <w:szCs w:val="28"/>
        </w:rPr>
        <w:t>应急救援</w:t>
      </w:r>
      <w:r>
        <w:rPr>
          <w:rFonts w:hint="eastAsia" w:ascii="宋体" w:hAnsi="宋体"/>
          <w:kern w:val="0"/>
          <w:sz w:val="28"/>
          <w:szCs w:val="28"/>
        </w:rPr>
        <w:t>演练结束后应及时进行评估、总结，</w:t>
      </w:r>
      <w:r>
        <w:rPr>
          <w:rFonts w:hint="eastAsia" w:ascii="宋体" w:hAnsi="宋体" w:cs="宋体"/>
          <w:kern w:val="0"/>
          <w:sz w:val="28"/>
          <w:szCs w:val="28"/>
        </w:rPr>
        <w:t>验证应急预案的适用性，并及时修订和完善应急预案，提高应急处置能力。演练评估报告在演练结束20个工作日内</w:t>
      </w:r>
      <w:r>
        <w:rPr>
          <w:rFonts w:hint="eastAsia" w:ascii="宋体" w:hAnsi="宋体"/>
          <w:kern w:val="0"/>
          <w:sz w:val="28"/>
          <w:szCs w:val="28"/>
        </w:rPr>
        <w:t>上报县政府和县应急管理局。</w:t>
      </w:r>
    </w:p>
    <w:p w14:paraId="3499ED55">
      <w:pPr>
        <w:pStyle w:val="3"/>
        <w:keepNext w:val="0"/>
        <w:keepLines w:val="0"/>
        <w:spacing w:before="0" w:after="0" w:line="360" w:lineRule="auto"/>
        <w:rPr>
          <w:rFonts w:ascii="宋体" w:hAnsi="宋体" w:cs="宋体"/>
          <w:sz w:val="28"/>
          <w:szCs w:val="28"/>
        </w:rPr>
      </w:pPr>
      <w:bookmarkStart w:id="71" w:name="_Toc39051751"/>
      <w:bookmarkStart w:id="72" w:name="_Toc184287619"/>
      <w:r>
        <w:rPr>
          <w:rFonts w:hint="eastAsia" w:ascii="宋体" w:hAnsi="宋体" w:cs="宋体"/>
          <w:sz w:val="28"/>
          <w:szCs w:val="28"/>
        </w:rPr>
        <w:t>（四）监督检查与奖惩</w:t>
      </w:r>
      <w:bookmarkEnd w:id="71"/>
      <w:bookmarkEnd w:id="72"/>
    </w:p>
    <w:p w14:paraId="1185E0DF">
      <w:pPr>
        <w:spacing w:line="360" w:lineRule="auto"/>
        <w:ind w:firstLine="560" w:firstLineChars="200"/>
        <w:jc w:val="left"/>
        <w:rPr>
          <w:rFonts w:ascii="宋体" w:hAnsi="宋体" w:cs="宋体"/>
          <w:kern w:val="0"/>
          <w:sz w:val="28"/>
          <w:szCs w:val="28"/>
        </w:rPr>
      </w:pPr>
      <w:r>
        <w:rPr>
          <w:rFonts w:hint="eastAsia" w:ascii="宋体" w:hAnsi="宋体" w:cs="宋体"/>
          <w:kern w:val="0"/>
          <w:sz w:val="28"/>
          <w:szCs w:val="28"/>
        </w:rPr>
        <w:t>县应急管理局对本预案的实施过程进行监督检查，保障应急措施到位。</w:t>
      </w:r>
    </w:p>
    <w:p w14:paraId="5D01CA5A">
      <w:pPr>
        <w:spacing w:line="360" w:lineRule="auto"/>
        <w:ind w:firstLine="560" w:firstLineChars="200"/>
        <w:jc w:val="left"/>
        <w:rPr>
          <w:rFonts w:ascii="宋体" w:hAnsi="宋体" w:cs="宋体"/>
          <w:kern w:val="0"/>
          <w:sz w:val="28"/>
          <w:szCs w:val="28"/>
        </w:rPr>
      </w:pPr>
      <w:r>
        <w:rPr>
          <w:rFonts w:hint="eastAsia" w:ascii="宋体" w:hAnsi="宋体"/>
          <w:kern w:val="0"/>
          <w:sz w:val="28"/>
          <w:szCs w:val="28"/>
        </w:rPr>
        <w:t>危险化学品</w:t>
      </w:r>
      <w:r>
        <w:rPr>
          <w:rFonts w:hint="eastAsia" w:ascii="宋体" w:hAnsi="宋体" w:cs="宋体"/>
          <w:kern w:val="0"/>
          <w:sz w:val="28"/>
          <w:szCs w:val="28"/>
        </w:rPr>
        <w:t>生产安全事故应急处置，实行党政领导共同负责制和责任追究制。对在应急处置中作出突出贡献的集体和个人给予表彰和奖励。对迟报、瞒报、漏报和谎报重要情况、事故救援不力及其他失职、渎职行为，依法对有关责任人给予行政处分；构成犯罪的，依法追究刑事责任。</w:t>
      </w:r>
    </w:p>
    <w:p w14:paraId="1A5BD192">
      <w:pPr>
        <w:pStyle w:val="3"/>
        <w:keepNext w:val="0"/>
        <w:keepLines w:val="0"/>
        <w:spacing w:before="0" w:after="0" w:line="360" w:lineRule="auto"/>
        <w:rPr>
          <w:rFonts w:ascii="宋体" w:hAnsi="宋体" w:cs="宋体"/>
          <w:sz w:val="28"/>
          <w:szCs w:val="28"/>
        </w:rPr>
      </w:pPr>
      <w:bookmarkStart w:id="73" w:name="_Toc184287620"/>
      <w:r>
        <w:rPr>
          <w:rFonts w:hint="eastAsia" w:ascii="宋体" w:hAnsi="宋体" w:cs="宋体"/>
          <w:sz w:val="28"/>
          <w:szCs w:val="28"/>
        </w:rPr>
        <w:t>（五）修订与更新</w:t>
      </w:r>
      <w:bookmarkEnd w:id="73"/>
    </w:p>
    <w:p w14:paraId="6E47173F">
      <w:pPr>
        <w:spacing w:line="360" w:lineRule="auto"/>
        <w:ind w:firstLine="560"/>
        <w:jc w:val="left"/>
        <w:rPr>
          <w:rFonts w:ascii="宋体" w:hAnsi="宋体" w:cs="宋体"/>
          <w:kern w:val="0"/>
          <w:sz w:val="28"/>
          <w:szCs w:val="28"/>
        </w:rPr>
      </w:pPr>
      <w:r>
        <w:rPr>
          <w:rFonts w:hint="eastAsia" w:ascii="宋体" w:hAnsi="宋体" w:cs="宋体"/>
          <w:kern w:val="0"/>
          <w:sz w:val="28"/>
          <w:szCs w:val="28"/>
        </w:rPr>
        <w:t>县应急指挥部办公室每三年组织一次预案评估，评估内容包括：本预案</w:t>
      </w:r>
      <w:r>
        <w:rPr>
          <w:rFonts w:ascii="宋体" w:hAnsi="宋体" w:cs="宋体"/>
          <w:color w:val="000000"/>
          <w:kern w:val="0"/>
          <w:sz w:val="28"/>
          <w:szCs w:val="28"/>
        </w:rPr>
        <w:t>内容的针对性、实用性和可操作性</w:t>
      </w:r>
      <w:r>
        <w:rPr>
          <w:rFonts w:hint="eastAsia" w:ascii="宋体" w:hAnsi="宋体" w:cs="宋体"/>
          <w:kern w:val="0"/>
          <w:sz w:val="28"/>
          <w:szCs w:val="28"/>
        </w:rPr>
        <w:t>。</w:t>
      </w:r>
    </w:p>
    <w:p w14:paraId="363448B3">
      <w:pPr>
        <w:spacing w:line="360" w:lineRule="auto"/>
        <w:ind w:firstLine="560"/>
        <w:jc w:val="left"/>
        <w:rPr>
          <w:rFonts w:ascii="宋体" w:hAnsi="宋体" w:cs="宋体"/>
          <w:kern w:val="0"/>
          <w:sz w:val="28"/>
          <w:szCs w:val="28"/>
        </w:rPr>
      </w:pPr>
      <w:r>
        <w:rPr>
          <w:rFonts w:hint="eastAsia" w:ascii="宋体" w:hAnsi="宋体" w:cs="宋体"/>
          <w:kern w:val="0"/>
          <w:sz w:val="28"/>
          <w:szCs w:val="28"/>
        </w:rPr>
        <w:t>当以下情形发生时，</w:t>
      </w:r>
      <w:r>
        <w:rPr>
          <w:rFonts w:hint="eastAsia" w:ascii="宋体" w:hAnsi="宋体"/>
          <w:kern w:val="0"/>
          <w:sz w:val="28"/>
          <w:szCs w:val="28"/>
        </w:rPr>
        <w:t>指挥部</w:t>
      </w:r>
      <w:r>
        <w:rPr>
          <w:rFonts w:hint="eastAsia" w:ascii="宋体" w:hAnsi="宋体" w:cs="宋体"/>
          <w:kern w:val="0"/>
          <w:sz w:val="28"/>
          <w:szCs w:val="28"/>
        </w:rPr>
        <w:t>办公室</w:t>
      </w:r>
      <w:r>
        <w:rPr>
          <w:rFonts w:hint="eastAsia" w:ascii="宋体" w:hAnsi="宋体"/>
          <w:kern w:val="0"/>
          <w:sz w:val="28"/>
          <w:szCs w:val="28"/>
        </w:rPr>
        <w:t>应邀请专家及时修订、完善本预案</w:t>
      </w:r>
      <w:r>
        <w:rPr>
          <w:rFonts w:hint="eastAsia" w:ascii="宋体" w:hAnsi="宋体" w:cs="宋体"/>
          <w:kern w:val="0"/>
          <w:sz w:val="28"/>
          <w:szCs w:val="28"/>
        </w:rPr>
        <w:t>：</w:t>
      </w:r>
    </w:p>
    <w:p w14:paraId="19ADF7B2">
      <w:pPr>
        <w:numPr>
          <w:ilvl w:val="0"/>
          <w:numId w:val="44"/>
        </w:numPr>
        <w:spacing w:line="360" w:lineRule="auto"/>
        <w:ind w:left="1025" w:hanging="465"/>
        <w:jc w:val="left"/>
        <w:rPr>
          <w:rFonts w:ascii="宋体" w:hAnsi="宋体"/>
          <w:kern w:val="0"/>
          <w:sz w:val="28"/>
          <w:szCs w:val="28"/>
        </w:rPr>
      </w:pPr>
      <w:r>
        <w:rPr>
          <w:rFonts w:hint="eastAsia" w:ascii="宋体" w:hAnsi="宋体"/>
          <w:kern w:val="0"/>
          <w:sz w:val="28"/>
          <w:szCs w:val="28"/>
        </w:rPr>
        <w:t>依据的法律、法规、规章、标准及上位预案中的有关规定发生重大变化的；</w:t>
      </w:r>
    </w:p>
    <w:p w14:paraId="427C7B69">
      <w:pPr>
        <w:numPr>
          <w:ilvl w:val="0"/>
          <w:numId w:val="44"/>
        </w:numPr>
        <w:spacing w:line="360" w:lineRule="auto"/>
        <w:ind w:left="1025" w:hanging="465"/>
        <w:jc w:val="left"/>
        <w:rPr>
          <w:rFonts w:ascii="宋体" w:hAnsi="宋体"/>
          <w:kern w:val="0"/>
          <w:sz w:val="28"/>
          <w:szCs w:val="28"/>
        </w:rPr>
      </w:pPr>
      <w:r>
        <w:rPr>
          <w:rFonts w:hint="eastAsia" w:ascii="宋体" w:hAnsi="宋体"/>
          <w:kern w:val="0"/>
          <w:sz w:val="28"/>
          <w:szCs w:val="28"/>
        </w:rPr>
        <w:t>应急指挥机构及职责发生重大调整的；</w:t>
      </w:r>
    </w:p>
    <w:p w14:paraId="4EDDBA69">
      <w:pPr>
        <w:numPr>
          <w:ilvl w:val="0"/>
          <w:numId w:val="44"/>
        </w:numPr>
        <w:spacing w:line="360" w:lineRule="auto"/>
        <w:ind w:left="1025" w:hanging="465"/>
        <w:jc w:val="left"/>
        <w:rPr>
          <w:rFonts w:ascii="宋体" w:hAnsi="宋体"/>
          <w:kern w:val="0"/>
          <w:sz w:val="28"/>
          <w:szCs w:val="28"/>
        </w:rPr>
      </w:pPr>
      <w:r>
        <w:rPr>
          <w:rFonts w:hint="eastAsia" w:ascii="宋体" w:hAnsi="宋体"/>
          <w:kern w:val="0"/>
          <w:sz w:val="28"/>
          <w:szCs w:val="28"/>
        </w:rPr>
        <w:t>面临的风险发生重大变化；</w:t>
      </w:r>
    </w:p>
    <w:p w14:paraId="548027B3">
      <w:pPr>
        <w:numPr>
          <w:ilvl w:val="0"/>
          <w:numId w:val="44"/>
        </w:numPr>
        <w:spacing w:line="360" w:lineRule="auto"/>
        <w:ind w:left="1025" w:hanging="465"/>
        <w:jc w:val="left"/>
        <w:rPr>
          <w:rFonts w:ascii="宋体" w:hAnsi="宋体"/>
          <w:kern w:val="0"/>
          <w:sz w:val="28"/>
          <w:szCs w:val="28"/>
        </w:rPr>
      </w:pPr>
      <w:r>
        <w:rPr>
          <w:rFonts w:hint="eastAsia" w:ascii="宋体" w:hAnsi="宋体"/>
          <w:kern w:val="0"/>
          <w:sz w:val="28"/>
          <w:szCs w:val="28"/>
        </w:rPr>
        <w:t>重要应急资源发生重大变化；</w:t>
      </w:r>
    </w:p>
    <w:p w14:paraId="0F2BC9DD">
      <w:pPr>
        <w:numPr>
          <w:ilvl w:val="0"/>
          <w:numId w:val="44"/>
        </w:numPr>
        <w:spacing w:line="360" w:lineRule="auto"/>
        <w:ind w:left="1025" w:hanging="465"/>
        <w:jc w:val="left"/>
        <w:rPr>
          <w:rFonts w:ascii="宋体" w:hAnsi="宋体"/>
          <w:kern w:val="0"/>
          <w:sz w:val="28"/>
          <w:szCs w:val="28"/>
        </w:rPr>
      </w:pPr>
      <w:r>
        <w:rPr>
          <w:rFonts w:hint="eastAsia" w:ascii="宋体" w:hAnsi="宋体"/>
          <w:kern w:val="0"/>
          <w:sz w:val="28"/>
          <w:szCs w:val="28"/>
        </w:rPr>
        <w:t>在应急演练和事故应急救援中发现需要修订预案的重大问题；</w:t>
      </w:r>
    </w:p>
    <w:p w14:paraId="4C8F259F">
      <w:pPr>
        <w:numPr>
          <w:ilvl w:val="0"/>
          <w:numId w:val="44"/>
        </w:numPr>
        <w:spacing w:line="360" w:lineRule="auto"/>
        <w:ind w:left="1025" w:hanging="465"/>
        <w:jc w:val="left"/>
        <w:rPr>
          <w:rFonts w:ascii="宋体" w:hAnsi="宋体"/>
          <w:kern w:val="0"/>
          <w:sz w:val="28"/>
          <w:szCs w:val="28"/>
        </w:rPr>
      </w:pPr>
      <w:r>
        <w:rPr>
          <w:rFonts w:hint="eastAsia" w:ascii="宋体" w:hAnsi="宋体"/>
          <w:kern w:val="0"/>
          <w:sz w:val="28"/>
          <w:szCs w:val="28"/>
        </w:rPr>
        <w:t>编制单位认为应当修订的其他情况。</w:t>
      </w:r>
    </w:p>
    <w:p w14:paraId="1BB1986B">
      <w:pPr>
        <w:spacing w:line="360" w:lineRule="auto"/>
        <w:ind w:firstLine="560" w:firstLineChars="200"/>
        <w:jc w:val="left"/>
        <w:rPr>
          <w:rFonts w:ascii="宋体" w:hAnsi="宋体"/>
          <w:kern w:val="0"/>
          <w:sz w:val="28"/>
          <w:szCs w:val="28"/>
        </w:rPr>
      </w:pPr>
      <w:r>
        <w:rPr>
          <w:rFonts w:hint="eastAsia" w:ascii="宋体" w:hAnsi="宋体"/>
          <w:kern w:val="0"/>
          <w:sz w:val="28"/>
          <w:szCs w:val="28"/>
        </w:rPr>
        <w:t>应急预案修订涉及组织指挥体系与职责、应急处置程序、主要处置措施、应急响应分级等内容变更的，修订工作应按照有关应急预案报备程序重新备案。</w:t>
      </w:r>
    </w:p>
    <w:p w14:paraId="506B0EB7">
      <w:pPr>
        <w:pStyle w:val="3"/>
        <w:keepNext w:val="0"/>
        <w:keepLines w:val="0"/>
        <w:spacing w:before="0" w:after="0" w:line="360" w:lineRule="auto"/>
        <w:rPr>
          <w:rFonts w:ascii="宋体" w:hAnsi="宋体" w:cs="宋体"/>
          <w:sz w:val="28"/>
          <w:szCs w:val="28"/>
        </w:rPr>
      </w:pPr>
      <w:bookmarkStart w:id="74" w:name="_Toc184287621"/>
      <w:r>
        <w:rPr>
          <w:rFonts w:hint="eastAsia" w:ascii="宋体" w:hAnsi="宋体" w:cs="宋体"/>
          <w:sz w:val="28"/>
          <w:szCs w:val="28"/>
        </w:rPr>
        <w:t>（六）审批与备案</w:t>
      </w:r>
      <w:bookmarkEnd w:id="74"/>
    </w:p>
    <w:p w14:paraId="31D387C5">
      <w:pPr>
        <w:spacing w:line="360" w:lineRule="auto"/>
        <w:ind w:firstLine="560" w:firstLineChars="200"/>
        <w:jc w:val="left"/>
        <w:rPr>
          <w:rFonts w:ascii="宋体" w:hAnsi="宋体" w:cs="宋体"/>
          <w:kern w:val="0"/>
          <w:sz w:val="28"/>
          <w:szCs w:val="28"/>
        </w:rPr>
      </w:pPr>
      <w:r>
        <w:rPr>
          <w:rFonts w:ascii="宋体" w:hAnsi="宋体" w:cs="宋体"/>
          <w:kern w:val="0"/>
          <w:sz w:val="28"/>
          <w:szCs w:val="28"/>
        </w:rPr>
        <w:t>本预案</w:t>
      </w:r>
      <w:r>
        <w:rPr>
          <w:rFonts w:hint="eastAsia" w:ascii="宋体" w:hAnsi="宋体"/>
          <w:kern w:val="0"/>
          <w:sz w:val="28"/>
          <w:szCs w:val="28"/>
        </w:rPr>
        <w:t>经县政府批准实施。</w:t>
      </w:r>
      <w:r>
        <w:rPr>
          <w:rFonts w:ascii="宋体" w:hAnsi="宋体" w:cs="宋体"/>
          <w:kern w:val="0"/>
          <w:sz w:val="28"/>
          <w:szCs w:val="28"/>
        </w:rPr>
        <w:t>自</w:t>
      </w:r>
      <w:r>
        <w:rPr>
          <w:rFonts w:hint="eastAsia" w:ascii="宋体" w:hAnsi="宋体" w:cs="宋体"/>
          <w:kern w:val="0"/>
          <w:sz w:val="28"/>
          <w:szCs w:val="28"/>
        </w:rPr>
        <w:t>发布后20个工作日内，报市应急管理局备案。</w:t>
      </w:r>
    </w:p>
    <w:p w14:paraId="22377953">
      <w:pPr>
        <w:pStyle w:val="3"/>
        <w:keepNext w:val="0"/>
        <w:keepLines w:val="0"/>
        <w:spacing w:before="0" w:after="0" w:line="360" w:lineRule="auto"/>
        <w:rPr>
          <w:rFonts w:ascii="宋体" w:hAnsi="宋体" w:cs="宋体"/>
          <w:sz w:val="28"/>
          <w:szCs w:val="28"/>
        </w:rPr>
      </w:pPr>
      <w:bookmarkStart w:id="75" w:name="_Toc3306_WPSOffice_Level2"/>
      <w:bookmarkStart w:id="76" w:name="_Toc184287622"/>
      <w:r>
        <w:rPr>
          <w:rFonts w:hint="eastAsia" w:ascii="宋体" w:hAnsi="宋体" w:cs="宋体"/>
          <w:sz w:val="28"/>
          <w:szCs w:val="28"/>
        </w:rPr>
        <w:t>（七）解释</w:t>
      </w:r>
      <w:bookmarkEnd w:id="75"/>
      <w:r>
        <w:rPr>
          <w:rFonts w:hint="eastAsia" w:ascii="宋体" w:hAnsi="宋体" w:cs="宋体"/>
          <w:sz w:val="28"/>
          <w:szCs w:val="28"/>
        </w:rPr>
        <w:t>与批准</w:t>
      </w:r>
      <w:bookmarkEnd w:id="76"/>
    </w:p>
    <w:p w14:paraId="79235553">
      <w:pPr>
        <w:spacing w:line="360" w:lineRule="auto"/>
        <w:jc w:val="left"/>
        <w:rPr>
          <w:rFonts w:ascii="宋体" w:hAnsi="宋体" w:cs="宋体"/>
          <w:kern w:val="0"/>
          <w:sz w:val="28"/>
          <w:szCs w:val="28"/>
        </w:rPr>
      </w:pPr>
      <w:r>
        <w:rPr>
          <w:rFonts w:hint="eastAsia" w:ascii="宋体" w:hAnsi="宋体" w:cs="宋体"/>
          <w:kern w:val="0"/>
          <w:sz w:val="28"/>
          <w:szCs w:val="28"/>
        </w:rPr>
        <w:t>　　本预案由县危险化学品生产安全事故应急指挥部办公室负责编制与解释。</w:t>
      </w:r>
    </w:p>
    <w:p w14:paraId="6114D3F3">
      <w:pPr>
        <w:pStyle w:val="3"/>
        <w:keepNext w:val="0"/>
        <w:keepLines w:val="0"/>
        <w:spacing w:before="0" w:after="0" w:line="360" w:lineRule="auto"/>
        <w:rPr>
          <w:rFonts w:ascii="宋体" w:hAnsi="宋体" w:cs="宋体"/>
          <w:sz w:val="28"/>
          <w:szCs w:val="28"/>
        </w:rPr>
      </w:pPr>
      <w:bookmarkStart w:id="77" w:name="_Toc276_WPSOffice_Level2"/>
      <w:bookmarkStart w:id="78" w:name="_Toc184287623"/>
      <w:r>
        <w:rPr>
          <w:rFonts w:hint="eastAsia" w:ascii="宋体" w:hAnsi="宋体" w:cs="宋体"/>
          <w:sz w:val="28"/>
          <w:szCs w:val="28"/>
        </w:rPr>
        <w:t>（八）预案</w:t>
      </w:r>
      <w:bookmarkEnd w:id="77"/>
      <w:r>
        <w:rPr>
          <w:rFonts w:hint="eastAsia" w:ascii="宋体" w:hAnsi="宋体" w:cs="宋体"/>
          <w:sz w:val="28"/>
          <w:szCs w:val="28"/>
        </w:rPr>
        <w:t>施行</w:t>
      </w:r>
      <w:bookmarkEnd w:id="78"/>
    </w:p>
    <w:p w14:paraId="3C8F4326">
      <w:pPr>
        <w:spacing w:line="360" w:lineRule="auto"/>
        <w:ind w:firstLine="555"/>
        <w:jc w:val="left"/>
        <w:rPr>
          <w:rFonts w:ascii="宋体" w:hAnsi="宋体"/>
          <w:kern w:val="0"/>
          <w:sz w:val="28"/>
          <w:szCs w:val="28"/>
        </w:rPr>
      </w:pPr>
      <w:r>
        <w:rPr>
          <w:rFonts w:hint="eastAsia" w:ascii="宋体" w:hAnsi="宋体"/>
          <w:kern w:val="0"/>
          <w:sz w:val="28"/>
          <w:szCs w:val="28"/>
        </w:rPr>
        <w:t>本预案自印发之日起施行</w:t>
      </w:r>
      <w:r>
        <w:rPr>
          <w:rFonts w:hint="eastAsia" w:ascii="宋体" w:hAnsi="宋体" w:cs="宋体"/>
          <w:kern w:val="0"/>
          <w:sz w:val="28"/>
          <w:szCs w:val="28"/>
        </w:rPr>
        <w:t>。</w:t>
      </w:r>
    </w:p>
    <w:p w14:paraId="4FE4CF64">
      <w:pPr>
        <w:pStyle w:val="2"/>
        <w:keepNext w:val="0"/>
        <w:keepLines w:val="0"/>
        <w:spacing w:before="0" w:after="0" w:line="360" w:lineRule="auto"/>
        <w:rPr>
          <w:rFonts w:ascii="宋体" w:hAnsi="宋体"/>
          <w:kern w:val="0"/>
          <w:sz w:val="28"/>
          <w:szCs w:val="28"/>
        </w:rPr>
      </w:pPr>
      <w:bookmarkStart w:id="79" w:name="_Toc184287624"/>
      <w:r>
        <w:rPr>
          <w:rFonts w:hint="eastAsia" w:ascii="宋体" w:hAnsi="宋体"/>
          <w:kern w:val="0"/>
          <w:sz w:val="28"/>
          <w:szCs w:val="28"/>
        </w:rPr>
        <w:t>十一、</w:t>
      </w:r>
      <w:r>
        <w:rPr>
          <w:rFonts w:ascii="宋体" w:hAnsi="宋体"/>
          <w:kern w:val="0"/>
          <w:sz w:val="28"/>
          <w:szCs w:val="28"/>
        </w:rPr>
        <w:t>附件</w:t>
      </w:r>
      <w:bookmarkEnd w:id="79"/>
    </w:p>
    <w:p w14:paraId="01C0E311">
      <w:pPr>
        <w:pStyle w:val="3"/>
        <w:keepNext w:val="0"/>
        <w:keepLines w:val="0"/>
        <w:spacing w:before="0" w:after="0" w:line="360" w:lineRule="auto"/>
        <w:rPr>
          <w:rFonts w:ascii="宋体" w:hAnsi="宋体"/>
          <w:kern w:val="0"/>
          <w:sz w:val="28"/>
          <w:szCs w:val="28"/>
        </w:rPr>
      </w:pPr>
      <w:bookmarkStart w:id="80" w:name="_Toc184287625"/>
      <w:r>
        <w:rPr>
          <w:rFonts w:ascii="宋体" w:hAnsi="宋体"/>
          <w:kern w:val="0"/>
          <w:sz w:val="28"/>
          <w:szCs w:val="28"/>
        </w:rPr>
        <w:t>附件</w:t>
      </w:r>
      <w:r>
        <w:rPr>
          <w:rFonts w:hint="eastAsia" w:ascii="宋体" w:hAnsi="宋体"/>
          <w:kern w:val="0"/>
          <w:sz w:val="28"/>
          <w:szCs w:val="28"/>
        </w:rPr>
        <w:t>1：</w:t>
      </w:r>
      <w:r>
        <w:rPr>
          <w:rFonts w:ascii="宋体" w:hAnsi="宋体" w:cs="宋体"/>
          <w:kern w:val="0"/>
          <w:sz w:val="28"/>
          <w:szCs w:val="28"/>
        </w:rPr>
        <w:t>危险化学品生产安全事故分级</w:t>
      </w:r>
      <w:bookmarkEnd w:id="80"/>
    </w:p>
    <w:p w14:paraId="3A9B028A">
      <w:pPr>
        <w:spacing w:line="360" w:lineRule="auto"/>
        <w:jc w:val="left"/>
        <w:rPr>
          <w:rFonts w:ascii="宋体" w:hAnsi="宋体" w:cs="宋体"/>
          <w:kern w:val="0"/>
          <w:sz w:val="28"/>
          <w:szCs w:val="28"/>
        </w:rPr>
      </w:pPr>
      <w:r>
        <w:rPr>
          <w:rFonts w:ascii="宋体" w:hAnsi="宋体" w:cs="宋体"/>
          <w:kern w:val="0"/>
          <w:sz w:val="28"/>
          <w:szCs w:val="28"/>
        </w:rPr>
        <w:t>　　根据事故的性质、危害程度、涉及范围，将危险化学品生产安全事故划分为四级：特别重大（Ⅰ级)、重大（Ⅱ级)、较大（Ⅲ级)和一般（Ⅳ级)。</w:t>
      </w:r>
    </w:p>
    <w:p w14:paraId="70DE7038">
      <w:pPr>
        <w:spacing w:line="360" w:lineRule="auto"/>
        <w:jc w:val="left"/>
        <w:rPr>
          <w:rFonts w:ascii="宋体" w:hAnsi="宋体" w:cs="宋体"/>
          <w:kern w:val="0"/>
          <w:sz w:val="28"/>
          <w:szCs w:val="28"/>
        </w:rPr>
      </w:pPr>
      <w:r>
        <w:rPr>
          <w:rFonts w:ascii="宋体" w:hAnsi="宋体" w:cs="宋体"/>
          <w:kern w:val="0"/>
          <w:sz w:val="28"/>
          <w:szCs w:val="28"/>
        </w:rPr>
        <w:t>　　1）特别重大事故（Ⅰ级）</w:t>
      </w:r>
    </w:p>
    <w:p w14:paraId="76A4642A">
      <w:pPr>
        <w:pStyle w:val="17"/>
        <w:numPr>
          <w:ilvl w:val="2"/>
          <w:numId w:val="45"/>
        </w:numPr>
        <w:spacing w:line="360" w:lineRule="auto"/>
        <w:ind w:left="1302" w:hanging="602" w:firstLineChars="0"/>
        <w:jc w:val="left"/>
        <w:rPr>
          <w:rFonts w:ascii="宋体" w:hAnsi="宋体" w:cs="宋体"/>
          <w:kern w:val="0"/>
          <w:sz w:val="28"/>
          <w:szCs w:val="28"/>
        </w:rPr>
      </w:pPr>
      <w:r>
        <w:rPr>
          <w:rFonts w:ascii="宋体" w:hAnsi="宋体" w:cs="宋体"/>
          <w:kern w:val="0"/>
          <w:sz w:val="28"/>
          <w:szCs w:val="28"/>
        </w:rPr>
        <w:t>造成30人以上死亡（含失踪），或者危及30人以上生命安全，或者100人以上中毒（重伤），或者直接经济损失1亿元以上的特别重大事故；</w:t>
      </w:r>
    </w:p>
    <w:p w14:paraId="6E41202B">
      <w:pPr>
        <w:pStyle w:val="17"/>
        <w:numPr>
          <w:ilvl w:val="2"/>
          <w:numId w:val="45"/>
        </w:numPr>
        <w:spacing w:line="360" w:lineRule="auto"/>
        <w:ind w:left="1302" w:hanging="602" w:firstLineChars="0"/>
        <w:jc w:val="left"/>
        <w:rPr>
          <w:rFonts w:ascii="宋体" w:hAnsi="宋体" w:cs="宋体"/>
          <w:kern w:val="0"/>
          <w:sz w:val="28"/>
          <w:szCs w:val="28"/>
        </w:rPr>
      </w:pPr>
      <w:r>
        <w:rPr>
          <w:rFonts w:ascii="宋体" w:hAnsi="宋体" w:cs="宋体"/>
          <w:kern w:val="0"/>
          <w:sz w:val="28"/>
          <w:szCs w:val="28"/>
        </w:rPr>
        <w:t>需要紧急转移安置10万人以上的事故；</w:t>
      </w:r>
    </w:p>
    <w:p w14:paraId="0597FE60">
      <w:pPr>
        <w:pStyle w:val="17"/>
        <w:numPr>
          <w:ilvl w:val="2"/>
          <w:numId w:val="45"/>
        </w:numPr>
        <w:spacing w:line="360" w:lineRule="auto"/>
        <w:ind w:left="1302" w:hanging="602" w:firstLineChars="0"/>
        <w:jc w:val="left"/>
        <w:rPr>
          <w:rFonts w:ascii="宋体" w:hAnsi="宋体" w:cs="宋体"/>
          <w:kern w:val="0"/>
          <w:sz w:val="28"/>
          <w:szCs w:val="28"/>
        </w:rPr>
      </w:pPr>
      <w:r>
        <w:rPr>
          <w:rFonts w:ascii="宋体" w:hAnsi="宋体" w:cs="宋体"/>
          <w:kern w:val="0"/>
          <w:sz w:val="28"/>
          <w:szCs w:val="28"/>
        </w:rPr>
        <w:t>跨省级行政区的事故；</w:t>
      </w:r>
    </w:p>
    <w:p w14:paraId="6AEB616B">
      <w:pPr>
        <w:pStyle w:val="17"/>
        <w:numPr>
          <w:ilvl w:val="2"/>
          <w:numId w:val="45"/>
        </w:numPr>
        <w:spacing w:line="360" w:lineRule="auto"/>
        <w:ind w:left="1302" w:hanging="602" w:firstLineChars="0"/>
        <w:jc w:val="left"/>
        <w:rPr>
          <w:rFonts w:ascii="宋体" w:hAnsi="宋体" w:cs="宋体"/>
          <w:kern w:val="0"/>
          <w:sz w:val="28"/>
          <w:szCs w:val="28"/>
        </w:rPr>
      </w:pPr>
      <w:r>
        <w:rPr>
          <w:rFonts w:ascii="宋体" w:hAnsi="宋体" w:cs="宋体"/>
          <w:kern w:val="0"/>
          <w:sz w:val="28"/>
          <w:szCs w:val="28"/>
        </w:rPr>
        <w:t>超出省政府应急处置能力的事故；</w:t>
      </w:r>
    </w:p>
    <w:p w14:paraId="2EA565DB">
      <w:pPr>
        <w:pStyle w:val="17"/>
        <w:numPr>
          <w:ilvl w:val="2"/>
          <w:numId w:val="45"/>
        </w:numPr>
        <w:spacing w:line="360" w:lineRule="auto"/>
        <w:ind w:left="1302" w:hanging="602" w:firstLineChars="0"/>
        <w:jc w:val="left"/>
        <w:rPr>
          <w:rFonts w:ascii="宋体" w:hAnsi="宋体" w:cs="宋体"/>
          <w:kern w:val="0"/>
          <w:sz w:val="28"/>
          <w:szCs w:val="28"/>
        </w:rPr>
      </w:pPr>
      <w:r>
        <w:rPr>
          <w:rFonts w:ascii="宋体" w:hAnsi="宋体" w:cs="宋体"/>
          <w:kern w:val="0"/>
          <w:sz w:val="28"/>
          <w:szCs w:val="28"/>
        </w:rPr>
        <w:t>国务院认为需要启动I级应急响应的事故。</w:t>
      </w:r>
    </w:p>
    <w:p w14:paraId="7B89E049">
      <w:pPr>
        <w:spacing w:line="360" w:lineRule="auto"/>
        <w:jc w:val="left"/>
        <w:rPr>
          <w:rFonts w:ascii="宋体" w:hAnsi="宋体" w:cs="宋体"/>
          <w:kern w:val="0"/>
          <w:sz w:val="28"/>
          <w:szCs w:val="28"/>
        </w:rPr>
      </w:pPr>
      <w:r>
        <w:rPr>
          <w:rFonts w:ascii="宋体" w:hAnsi="宋体" w:cs="宋体"/>
          <w:kern w:val="0"/>
          <w:sz w:val="28"/>
          <w:szCs w:val="28"/>
        </w:rPr>
        <w:t>　　2）重大事故（Ⅱ级）</w:t>
      </w:r>
    </w:p>
    <w:p w14:paraId="005F1F48">
      <w:pPr>
        <w:pStyle w:val="17"/>
        <w:numPr>
          <w:ilvl w:val="2"/>
          <w:numId w:val="46"/>
        </w:numPr>
        <w:spacing w:line="360" w:lineRule="auto"/>
        <w:ind w:left="1302" w:hanging="560" w:firstLineChars="0"/>
        <w:jc w:val="left"/>
        <w:rPr>
          <w:rFonts w:ascii="宋体" w:hAnsi="宋体" w:cs="宋体"/>
          <w:kern w:val="0"/>
          <w:sz w:val="28"/>
          <w:szCs w:val="28"/>
        </w:rPr>
      </w:pPr>
      <w:r>
        <w:rPr>
          <w:rFonts w:ascii="宋体" w:hAnsi="宋体" w:cs="宋体"/>
          <w:kern w:val="0"/>
          <w:sz w:val="28"/>
          <w:szCs w:val="28"/>
        </w:rPr>
        <w:t>造成10人以上、30人以下死亡（含失踪），或者50人以上、100人以下中毒（重伤），或者直接经济损失5000万元以上、l亿元以下的重大事故；</w:t>
      </w:r>
    </w:p>
    <w:p w14:paraId="70A09A08">
      <w:pPr>
        <w:pStyle w:val="17"/>
        <w:numPr>
          <w:ilvl w:val="2"/>
          <w:numId w:val="46"/>
        </w:numPr>
        <w:spacing w:line="360" w:lineRule="auto"/>
        <w:ind w:left="1302" w:hanging="560" w:firstLineChars="0"/>
        <w:jc w:val="left"/>
        <w:rPr>
          <w:rFonts w:ascii="宋体" w:hAnsi="宋体" w:cs="宋体"/>
          <w:kern w:val="0"/>
          <w:sz w:val="28"/>
          <w:szCs w:val="28"/>
        </w:rPr>
      </w:pPr>
      <w:r>
        <w:rPr>
          <w:rFonts w:ascii="宋体" w:hAnsi="宋体" w:cs="宋体"/>
          <w:kern w:val="0"/>
          <w:sz w:val="28"/>
          <w:szCs w:val="28"/>
        </w:rPr>
        <w:t>需要紧急转移安置1万人以上、10万人以下的事故；</w:t>
      </w:r>
    </w:p>
    <w:p w14:paraId="2CA27373">
      <w:pPr>
        <w:pStyle w:val="17"/>
        <w:numPr>
          <w:ilvl w:val="2"/>
          <w:numId w:val="46"/>
        </w:numPr>
        <w:spacing w:line="360" w:lineRule="auto"/>
        <w:ind w:left="1302" w:hanging="560" w:firstLineChars="0"/>
        <w:jc w:val="left"/>
        <w:rPr>
          <w:rFonts w:ascii="宋体" w:hAnsi="宋体" w:cs="宋体"/>
          <w:kern w:val="0"/>
          <w:sz w:val="28"/>
          <w:szCs w:val="28"/>
        </w:rPr>
      </w:pPr>
      <w:r>
        <w:rPr>
          <w:rFonts w:ascii="宋体" w:hAnsi="宋体" w:cs="宋体"/>
          <w:kern w:val="0"/>
          <w:sz w:val="28"/>
          <w:szCs w:val="28"/>
        </w:rPr>
        <w:t>跨</w:t>
      </w:r>
      <w:r>
        <w:rPr>
          <w:rFonts w:hint="eastAsia" w:ascii="宋体" w:hAnsi="宋体" w:cs="宋体"/>
          <w:kern w:val="0"/>
          <w:sz w:val="28"/>
          <w:szCs w:val="28"/>
        </w:rPr>
        <w:t>市级</w:t>
      </w:r>
      <w:r>
        <w:rPr>
          <w:rFonts w:ascii="宋体" w:hAnsi="宋体" w:cs="宋体"/>
          <w:kern w:val="0"/>
          <w:sz w:val="28"/>
          <w:szCs w:val="28"/>
        </w:rPr>
        <w:t>行政区的事故；</w:t>
      </w:r>
    </w:p>
    <w:p w14:paraId="1AF36AB4">
      <w:pPr>
        <w:pStyle w:val="17"/>
        <w:numPr>
          <w:ilvl w:val="2"/>
          <w:numId w:val="46"/>
        </w:numPr>
        <w:spacing w:line="360" w:lineRule="auto"/>
        <w:ind w:left="1302" w:hanging="560" w:firstLineChars="0"/>
        <w:jc w:val="left"/>
        <w:rPr>
          <w:rFonts w:ascii="宋体" w:hAnsi="宋体" w:cs="宋体"/>
          <w:kern w:val="0"/>
          <w:sz w:val="28"/>
          <w:szCs w:val="28"/>
        </w:rPr>
      </w:pPr>
      <w:r>
        <w:rPr>
          <w:rFonts w:ascii="宋体" w:hAnsi="宋体" w:cs="宋体"/>
          <w:kern w:val="0"/>
          <w:sz w:val="28"/>
          <w:szCs w:val="28"/>
        </w:rPr>
        <w:t>超出</w:t>
      </w:r>
      <w:r>
        <w:rPr>
          <w:rFonts w:hint="eastAsia" w:ascii="宋体" w:hAnsi="宋体" w:cs="宋体"/>
          <w:kern w:val="0"/>
          <w:sz w:val="28"/>
          <w:szCs w:val="28"/>
        </w:rPr>
        <w:t>市</w:t>
      </w:r>
      <w:r>
        <w:rPr>
          <w:rFonts w:ascii="宋体" w:hAnsi="宋体" w:cs="宋体"/>
          <w:kern w:val="0"/>
          <w:sz w:val="28"/>
          <w:szCs w:val="28"/>
        </w:rPr>
        <w:t>人民政府应急处置能力的事故；</w:t>
      </w:r>
    </w:p>
    <w:p w14:paraId="45E4EED3">
      <w:pPr>
        <w:pStyle w:val="17"/>
        <w:numPr>
          <w:ilvl w:val="2"/>
          <w:numId w:val="46"/>
        </w:numPr>
        <w:spacing w:line="360" w:lineRule="auto"/>
        <w:ind w:left="1302" w:hanging="560" w:firstLineChars="0"/>
        <w:jc w:val="left"/>
        <w:rPr>
          <w:rFonts w:ascii="宋体" w:hAnsi="宋体" w:cs="宋体"/>
          <w:kern w:val="0"/>
          <w:sz w:val="28"/>
          <w:szCs w:val="28"/>
        </w:rPr>
      </w:pPr>
      <w:r>
        <w:rPr>
          <w:rFonts w:ascii="宋体" w:hAnsi="宋体" w:cs="宋体"/>
          <w:kern w:val="0"/>
          <w:sz w:val="28"/>
          <w:szCs w:val="28"/>
        </w:rPr>
        <w:t>省政府认为有必要启动Ⅱ级应急响应的事故。</w:t>
      </w:r>
    </w:p>
    <w:p w14:paraId="397868C1">
      <w:pPr>
        <w:spacing w:line="360" w:lineRule="auto"/>
        <w:jc w:val="left"/>
        <w:rPr>
          <w:rFonts w:ascii="宋体" w:hAnsi="宋体" w:cs="宋体"/>
          <w:kern w:val="0"/>
          <w:sz w:val="28"/>
          <w:szCs w:val="28"/>
        </w:rPr>
      </w:pPr>
      <w:r>
        <w:rPr>
          <w:rFonts w:ascii="宋体" w:hAnsi="宋体" w:cs="宋体"/>
          <w:kern w:val="0"/>
          <w:sz w:val="28"/>
          <w:szCs w:val="28"/>
        </w:rPr>
        <w:t>　　3）较大事故（Ⅲ级）</w:t>
      </w:r>
    </w:p>
    <w:p w14:paraId="10B0144A">
      <w:pPr>
        <w:pStyle w:val="17"/>
        <w:numPr>
          <w:ilvl w:val="2"/>
          <w:numId w:val="47"/>
        </w:numPr>
        <w:spacing w:line="360" w:lineRule="auto"/>
        <w:ind w:left="1680" w:hanging="840" w:firstLineChars="0"/>
        <w:jc w:val="left"/>
        <w:rPr>
          <w:rFonts w:ascii="宋体" w:hAnsi="宋体" w:cs="宋体"/>
          <w:kern w:val="0"/>
          <w:sz w:val="28"/>
          <w:szCs w:val="28"/>
        </w:rPr>
      </w:pPr>
      <w:r>
        <w:rPr>
          <w:rFonts w:ascii="宋体" w:hAnsi="宋体" w:cs="宋体"/>
          <w:kern w:val="0"/>
          <w:sz w:val="28"/>
          <w:szCs w:val="28"/>
        </w:rPr>
        <w:t>造成3人以上、10人以下死亡（含失踪），或者10人以上、50人以下中毒（重伤），或者直接经济损失1000万元以上、5000万元以下的较大事故；</w:t>
      </w:r>
    </w:p>
    <w:p w14:paraId="5B0EEEC5">
      <w:pPr>
        <w:pStyle w:val="17"/>
        <w:numPr>
          <w:ilvl w:val="2"/>
          <w:numId w:val="47"/>
        </w:numPr>
        <w:spacing w:line="360" w:lineRule="auto"/>
        <w:ind w:left="1680" w:hanging="840" w:firstLineChars="0"/>
        <w:jc w:val="left"/>
        <w:rPr>
          <w:rFonts w:ascii="宋体" w:hAnsi="宋体" w:cs="宋体"/>
          <w:kern w:val="0"/>
          <w:sz w:val="28"/>
          <w:szCs w:val="28"/>
        </w:rPr>
      </w:pPr>
      <w:r>
        <w:rPr>
          <w:rFonts w:ascii="宋体" w:hAnsi="宋体" w:cs="宋体"/>
          <w:kern w:val="0"/>
          <w:sz w:val="28"/>
          <w:szCs w:val="28"/>
        </w:rPr>
        <w:t>需要紧急转移安置1千人以上、1万人以下的事故；</w:t>
      </w:r>
    </w:p>
    <w:p w14:paraId="7C35E245">
      <w:pPr>
        <w:pStyle w:val="17"/>
        <w:numPr>
          <w:ilvl w:val="2"/>
          <w:numId w:val="47"/>
        </w:numPr>
        <w:spacing w:line="360" w:lineRule="auto"/>
        <w:ind w:left="1680" w:hanging="840" w:firstLineChars="0"/>
        <w:jc w:val="left"/>
        <w:rPr>
          <w:rFonts w:ascii="宋体" w:hAnsi="宋体" w:cs="宋体"/>
          <w:kern w:val="0"/>
          <w:sz w:val="28"/>
          <w:szCs w:val="28"/>
        </w:rPr>
      </w:pPr>
      <w:r>
        <w:rPr>
          <w:rFonts w:ascii="宋体" w:hAnsi="宋体" w:cs="宋体"/>
          <w:kern w:val="0"/>
          <w:sz w:val="28"/>
          <w:szCs w:val="28"/>
        </w:rPr>
        <w:t>发生跨</w:t>
      </w:r>
      <w:r>
        <w:rPr>
          <w:rFonts w:hint="eastAsia" w:ascii="宋体" w:hAnsi="宋体" w:cs="宋体"/>
          <w:kern w:val="0"/>
          <w:sz w:val="28"/>
          <w:szCs w:val="28"/>
        </w:rPr>
        <w:t>区</w:t>
      </w:r>
      <w:r>
        <w:rPr>
          <w:rFonts w:ascii="宋体" w:hAnsi="宋体" w:cs="宋体"/>
          <w:kern w:val="0"/>
          <w:sz w:val="28"/>
          <w:szCs w:val="28"/>
        </w:rPr>
        <w:t>级行政区的事故；</w:t>
      </w:r>
    </w:p>
    <w:p w14:paraId="473B0E76">
      <w:pPr>
        <w:pStyle w:val="17"/>
        <w:numPr>
          <w:ilvl w:val="2"/>
          <w:numId w:val="47"/>
        </w:numPr>
        <w:spacing w:line="360" w:lineRule="auto"/>
        <w:ind w:left="1680" w:hanging="840" w:firstLineChars="0"/>
        <w:jc w:val="left"/>
        <w:rPr>
          <w:rFonts w:ascii="宋体" w:hAnsi="宋体" w:cs="宋体"/>
          <w:kern w:val="0"/>
          <w:sz w:val="28"/>
          <w:szCs w:val="28"/>
        </w:rPr>
      </w:pPr>
      <w:r>
        <w:rPr>
          <w:rFonts w:ascii="宋体" w:hAnsi="宋体" w:cs="宋体"/>
          <w:kern w:val="0"/>
          <w:sz w:val="28"/>
          <w:szCs w:val="28"/>
        </w:rPr>
        <w:t>超出</w:t>
      </w:r>
      <w:r>
        <w:rPr>
          <w:rFonts w:hint="eastAsia" w:ascii="宋体" w:hAnsi="宋体" w:cs="宋体"/>
          <w:kern w:val="0"/>
          <w:sz w:val="28"/>
          <w:szCs w:val="28"/>
        </w:rPr>
        <w:t>市政府</w:t>
      </w:r>
      <w:r>
        <w:rPr>
          <w:rFonts w:ascii="宋体" w:hAnsi="宋体" w:cs="宋体"/>
          <w:kern w:val="0"/>
          <w:sz w:val="28"/>
          <w:szCs w:val="28"/>
        </w:rPr>
        <w:t>应急处置能力的事故；</w:t>
      </w:r>
    </w:p>
    <w:p w14:paraId="17131084">
      <w:pPr>
        <w:pStyle w:val="17"/>
        <w:numPr>
          <w:ilvl w:val="2"/>
          <w:numId w:val="47"/>
        </w:numPr>
        <w:spacing w:line="360" w:lineRule="auto"/>
        <w:ind w:left="1680" w:hanging="840" w:firstLineChars="0"/>
        <w:jc w:val="left"/>
        <w:rPr>
          <w:rFonts w:ascii="宋体" w:hAnsi="宋体" w:cs="宋体"/>
          <w:kern w:val="0"/>
          <w:sz w:val="28"/>
          <w:szCs w:val="28"/>
        </w:rPr>
      </w:pPr>
      <w:r>
        <w:rPr>
          <w:rFonts w:ascii="宋体" w:hAnsi="宋体" w:cs="宋体"/>
          <w:kern w:val="0"/>
          <w:sz w:val="28"/>
          <w:szCs w:val="28"/>
        </w:rPr>
        <w:t>市人民政府认为有必要启动Ⅲ级应急响应的事故。</w:t>
      </w:r>
    </w:p>
    <w:p w14:paraId="4F9D9D37">
      <w:pPr>
        <w:tabs>
          <w:tab w:val="left" w:pos="567"/>
        </w:tabs>
        <w:spacing w:line="360" w:lineRule="auto"/>
        <w:jc w:val="left"/>
        <w:rPr>
          <w:rFonts w:ascii="宋体" w:hAnsi="宋体" w:cs="宋体"/>
          <w:kern w:val="0"/>
          <w:sz w:val="28"/>
          <w:szCs w:val="28"/>
        </w:rPr>
      </w:pPr>
      <w:r>
        <w:rPr>
          <w:rFonts w:ascii="宋体" w:hAnsi="宋体" w:cs="宋体"/>
          <w:kern w:val="0"/>
          <w:sz w:val="28"/>
          <w:szCs w:val="28"/>
        </w:rPr>
        <w:t>　　4）一般事故（Ⅳ级）</w:t>
      </w:r>
    </w:p>
    <w:p w14:paraId="7B4A43FD">
      <w:pPr>
        <w:pStyle w:val="17"/>
        <w:numPr>
          <w:ilvl w:val="2"/>
          <w:numId w:val="48"/>
        </w:numPr>
        <w:spacing w:line="360" w:lineRule="auto"/>
        <w:ind w:left="1701" w:hanging="861" w:firstLineChars="0"/>
        <w:jc w:val="left"/>
        <w:rPr>
          <w:rFonts w:ascii="宋体" w:hAnsi="宋体" w:cs="宋体"/>
          <w:kern w:val="0"/>
          <w:sz w:val="28"/>
          <w:szCs w:val="28"/>
        </w:rPr>
      </w:pPr>
      <w:r>
        <w:rPr>
          <w:rFonts w:ascii="宋体" w:hAnsi="宋体" w:cs="宋体"/>
          <w:kern w:val="0"/>
          <w:sz w:val="28"/>
          <w:szCs w:val="28"/>
        </w:rPr>
        <w:t>造成3人以下死亡（含失踪），或者10人以下中毒（重伤），或者1000万元以下直接经济损失的事故；</w:t>
      </w:r>
    </w:p>
    <w:p w14:paraId="182C9E9D">
      <w:pPr>
        <w:pStyle w:val="17"/>
        <w:numPr>
          <w:ilvl w:val="2"/>
          <w:numId w:val="48"/>
        </w:numPr>
        <w:spacing w:line="360" w:lineRule="auto"/>
        <w:ind w:left="1701" w:hanging="861" w:firstLineChars="0"/>
        <w:jc w:val="left"/>
        <w:rPr>
          <w:rFonts w:ascii="宋体" w:hAnsi="宋体" w:cs="宋体"/>
          <w:kern w:val="0"/>
          <w:sz w:val="28"/>
          <w:szCs w:val="28"/>
        </w:rPr>
      </w:pPr>
      <w:r>
        <w:rPr>
          <w:rFonts w:hint="eastAsia" w:ascii="宋体" w:hAnsi="宋体" w:cs="宋体"/>
          <w:kern w:val="0"/>
          <w:sz w:val="28"/>
          <w:szCs w:val="28"/>
        </w:rPr>
        <w:t>县政府</w:t>
      </w:r>
      <w:r>
        <w:rPr>
          <w:rFonts w:ascii="宋体" w:hAnsi="宋体" w:cs="宋体"/>
          <w:kern w:val="0"/>
          <w:sz w:val="28"/>
          <w:szCs w:val="28"/>
        </w:rPr>
        <w:t>认为有必要启动Ⅳ级应急响应的事故。</w:t>
      </w:r>
    </w:p>
    <w:p w14:paraId="346684AA">
      <w:pPr>
        <w:spacing w:line="360" w:lineRule="auto"/>
        <w:rPr>
          <w:sz w:val="28"/>
          <w:szCs w:val="28"/>
        </w:rPr>
      </w:pPr>
      <w:r>
        <w:rPr>
          <w:rFonts w:ascii="宋体" w:hAnsi="宋体" w:cs="宋体"/>
          <w:kern w:val="0"/>
          <w:sz w:val="28"/>
          <w:szCs w:val="28"/>
        </w:rPr>
        <w:t>　　本预案所称的“以上”包括本数，所称的“以下”不包括本数。</w:t>
      </w:r>
    </w:p>
    <w:p w14:paraId="2177B184">
      <w:pPr>
        <w:pStyle w:val="3"/>
        <w:keepNext w:val="0"/>
        <w:keepLines w:val="0"/>
        <w:spacing w:before="0" w:after="0" w:line="360" w:lineRule="auto"/>
        <w:rPr>
          <w:kern w:val="0"/>
          <w:sz w:val="30"/>
          <w:szCs w:val="30"/>
        </w:rPr>
        <w:sectPr>
          <w:footerReference r:id="rId5" w:type="default"/>
          <w:pgSz w:w="11906" w:h="16838"/>
          <w:pgMar w:top="1276" w:right="1800" w:bottom="1440" w:left="1800" w:header="851" w:footer="992" w:gutter="0"/>
          <w:cols w:space="720" w:num="1"/>
          <w:titlePg/>
          <w:docGrid w:type="lines" w:linePitch="312" w:charSpace="0"/>
        </w:sectPr>
      </w:pPr>
      <w:r>
        <w:rPr>
          <w:kern w:val="0"/>
          <w:sz w:val="30"/>
          <w:szCs w:val="30"/>
        </w:rPr>
        <w:br w:type="page"/>
      </w:r>
    </w:p>
    <w:p w14:paraId="29591DE3">
      <w:pPr>
        <w:pStyle w:val="3"/>
        <w:keepNext w:val="0"/>
        <w:keepLines w:val="0"/>
        <w:spacing w:before="0" w:after="0" w:line="360" w:lineRule="auto"/>
        <w:rPr>
          <w:kern w:val="0"/>
          <w:sz w:val="30"/>
          <w:szCs w:val="30"/>
        </w:rPr>
      </w:pPr>
      <w:bookmarkStart w:id="81" w:name="_Toc184287626"/>
      <w:r>
        <w:rPr>
          <w:rFonts w:ascii="宋体" w:hAnsi="宋体"/>
          <w:kern w:val="0"/>
          <w:sz w:val="28"/>
          <w:szCs w:val="28"/>
        </w:rPr>
        <w:t>附件</w:t>
      </w:r>
      <w:r>
        <w:rPr>
          <w:rFonts w:hint="eastAsia" w:ascii="宋体" w:hAnsi="宋体"/>
          <w:kern w:val="0"/>
          <w:sz w:val="28"/>
          <w:szCs w:val="28"/>
        </w:rPr>
        <w:t>2：</w:t>
      </w:r>
      <w:commentRangeStart w:id="1"/>
      <w:r>
        <w:rPr>
          <w:rFonts w:hint="eastAsia" w:ascii="宋体" w:hAnsi="宋体"/>
          <w:kern w:val="0"/>
          <w:sz w:val="28"/>
          <w:szCs w:val="28"/>
        </w:rPr>
        <w:t>危险化学品</w:t>
      </w:r>
      <w:r>
        <w:rPr>
          <w:rFonts w:ascii="宋体" w:hAnsi="宋体"/>
          <w:kern w:val="0"/>
          <w:sz w:val="28"/>
          <w:szCs w:val="28"/>
        </w:rPr>
        <w:t>相关单位统计表</w:t>
      </w:r>
      <w:bookmarkEnd w:id="81"/>
      <w:commentRangeEnd w:id="1"/>
      <w:r>
        <w:rPr>
          <w:rStyle w:val="16"/>
          <w:rFonts w:ascii="Calibri" w:hAnsi="Calibri"/>
          <w:b w:val="0"/>
          <w:bCs w:val="0"/>
        </w:rPr>
        <w:commentReference w:id="1"/>
      </w:r>
    </w:p>
    <w:tbl>
      <w:tblPr>
        <w:tblStyle w:val="13"/>
        <w:tblW w:w="14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3497"/>
        <w:gridCol w:w="2693"/>
        <w:gridCol w:w="5670"/>
        <w:gridCol w:w="1701"/>
      </w:tblGrid>
      <w:tr w14:paraId="10F82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22" w:type="dxa"/>
            <w:tcBorders>
              <w:top w:val="single" w:color="auto" w:sz="4" w:space="0"/>
              <w:left w:val="single" w:color="auto" w:sz="4" w:space="0"/>
              <w:bottom w:val="single" w:color="auto" w:sz="4" w:space="0"/>
              <w:right w:val="single" w:color="auto" w:sz="4" w:space="0"/>
            </w:tcBorders>
            <w:vAlign w:val="center"/>
          </w:tcPr>
          <w:p w14:paraId="1CC7BCCA">
            <w:pPr>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序号</w:t>
            </w:r>
          </w:p>
        </w:tc>
        <w:tc>
          <w:tcPr>
            <w:tcW w:w="3497" w:type="dxa"/>
            <w:tcBorders>
              <w:top w:val="single" w:color="auto" w:sz="4" w:space="0"/>
              <w:left w:val="nil"/>
              <w:bottom w:val="single" w:color="auto" w:sz="4" w:space="0"/>
              <w:right w:val="single" w:color="auto" w:sz="4" w:space="0"/>
            </w:tcBorders>
            <w:vAlign w:val="center"/>
          </w:tcPr>
          <w:p w14:paraId="53C7516F">
            <w:pPr>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单位名称</w:t>
            </w:r>
          </w:p>
        </w:tc>
        <w:tc>
          <w:tcPr>
            <w:tcW w:w="2693" w:type="dxa"/>
            <w:tcBorders>
              <w:top w:val="single" w:color="auto" w:sz="4" w:space="0"/>
              <w:left w:val="nil"/>
              <w:bottom w:val="single" w:color="auto" w:sz="4" w:space="0"/>
              <w:right w:val="single" w:color="auto" w:sz="4" w:space="0"/>
            </w:tcBorders>
            <w:vAlign w:val="center"/>
          </w:tcPr>
          <w:p w14:paraId="2078E8C5">
            <w:pPr>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位置</w:t>
            </w:r>
          </w:p>
        </w:tc>
        <w:tc>
          <w:tcPr>
            <w:tcW w:w="5670" w:type="dxa"/>
            <w:tcBorders>
              <w:top w:val="single" w:color="auto" w:sz="4" w:space="0"/>
              <w:left w:val="nil"/>
              <w:bottom w:val="single" w:color="auto" w:sz="4" w:space="0"/>
              <w:right w:val="single" w:color="auto" w:sz="4" w:space="0"/>
            </w:tcBorders>
            <w:vAlign w:val="center"/>
          </w:tcPr>
          <w:p w14:paraId="4C887682">
            <w:pPr>
              <w:jc w:val="center"/>
              <w:rPr>
                <w:rFonts w:asciiTheme="minorEastAsia" w:hAnsiTheme="minorEastAsia" w:eastAsiaTheme="minorEastAsia"/>
                <w:b/>
                <w:bCs/>
                <w:sz w:val="24"/>
                <w:szCs w:val="24"/>
              </w:rPr>
            </w:pPr>
            <w:r>
              <w:rPr>
                <w:rFonts w:asciiTheme="minorEastAsia" w:hAnsiTheme="minorEastAsia" w:eastAsiaTheme="minorEastAsia"/>
                <w:b/>
                <w:bCs/>
                <w:sz w:val="24"/>
                <w:szCs w:val="24"/>
              </w:rPr>
              <w:t>危险化学品名称及数量</w:t>
            </w:r>
          </w:p>
        </w:tc>
        <w:tc>
          <w:tcPr>
            <w:tcW w:w="1701" w:type="dxa"/>
            <w:tcBorders>
              <w:top w:val="single" w:color="auto" w:sz="4" w:space="0"/>
              <w:left w:val="nil"/>
              <w:bottom w:val="single" w:color="auto" w:sz="4" w:space="0"/>
              <w:right w:val="single" w:color="auto" w:sz="4" w:space="0"/>
            </w:tcBorders>
            <w:vAlign w:val="center"/>
          </w:tcPr>
          <w:p w14:paraId="196D61A0">
            <w:pPr>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备注</w:t>
            </w:r>
          </w:p>
        </w:tc>
      </w:tr>
      <w:tr w14:paraId="566A0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722" w:type="dxa"/>
            <w:tcBorders>
              <w:top w:val="single" w:color="auto" w:sz="4" w:space="0"/>
              <w:left w:val="single" w:color="auto" w:sz="4" w:space="0"/>
              <w:bottom w:val="single" w:color="auto" w:sz="4" w:space="0"/>
              <w:right w:val="single" w:color="auto" w:sz="4" w:space="0"/>
            </w:tcBorders>
            <w:vAlign w:val="center"/>
          </w:tcPr>
          <w:p w14:paraId="156E2A63">
            <w:pPr>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3497" w:type="dxa"/>
            <w:tcBorders>
              <w:top w:val="single" w:color="auto" w:sz="4" w:space="0"/>
              <w:left w:val="nil"/>
              <w:bottom w:val="single" w:color="auto" w:sz="4" w:space="0"/>
              <w:right w:val="single" w:color="auto" w:sz="4" w:space="0"/>
            </w:tcBorders>
            <w:vAlign w:val="bottom"/>
          </w:tcPr>
          <w:p w14:paraId="179A4C27">
            <w:pPr>
              <w:widowControl/>
              <w:jc w:val="left"/>
              <w:textAlignment w:val="bottom"/>
              <w:rPr>
                <w:rFonts w:cs="Calibri"/>
                <w:color w:val="000000"/>
                <w:sz w:val="22"/>
              </w:rPr>
            </w:pPr>
            <w:r>
              <w:rPr>
                <w:rFonts w:cs="Calibri"/>
                <w:color w:val="000000"/>
                <w:kern w:val="0"/>
                <w:sz w:val="22"/>
                <w:lang w:bidi="ar"/>
              </w:rPr>
              <w:t>桦南县桃源农机加油站</w:t>
            </w:r>
          </w:p>
        </w:tc>
        <w:tc>
          <w:tcPr>
            <w:tcW w:w="2693" w:type="dxa"/>
            <w:tcBorders>
              <w:top w:val="single" w:color="auto" w:sz="4" w:space="0"/>
              <w:left w:val="nil"/>
              <w:bottom w:val="single" w:color="auto" w:sz="4" w:space="0"/>
              <w:right w:val="single" w:color="auto" w:sz="4" w:space="0"/>
            </w:tcBorders>
            <w:vAlign w:val="bottom"/>
          </w:tcPr>
          <w:p w14:paraId="5C62FF9A">
            <w:pPr>
              <w:widowControl/>
              <w:jc w:val="left"/>
              <w:textAlignment w:val="bottom"/>
              <w:rPr>
                <w:rFonts w:asciiTheme="minorEastAsia" w:hAnsiTheme="minorEastAsia" w:eastAsiaTheme="minorEastAsia" w:cstheme="minorEastAsia"/>
                <w:color w:val="000000"/>
                <w:szCs w:val="21"/>
              </w:rPr>
            </w:pPr>
            <w:r>
              <w:rPr>
                <w:rFonts w:cs="Calibri"/>
                <w:color w:val="000000"/>
                <w:kern w:val="0"/>
                <w:sz w:val="22"/>
                <w:lang w:bidi="ar"/>
              </w:rPr>
              <w:t>五道岗乡桃源村</w:t>
            </w:r>
          </w:p>
        </w:tc>
        <w:tc>
          <w:tcPr>
            <w:tcW w:w="5670" w:type="dxa"/>
            <w:tcBorders>
              <w:top w:val="single" w:color="auto" w:sz="4" w:space="0"/>
              <w:left w:val="nil"/>
              <w:bottom w:val="single" w:color="auto" w:sz="4" w:space="0"/>
              <w:right w:val="single" w:color="auto" w:sz="4" w:space="0"/>
            </w:tcBorders>
            <w:vAlign w:val="bottom"/>
          </w:tcPr>
          <w:p w14:paraId="3CEBABFB">
            <w:pPr>
              <w:widowControl/>
              <w:jc w:val="left"/>
              <w:textAlignment w:val="bottom"/>
              <w:rPr>
                <w:rFonts w:asciiTheme="minorEastAsia" w:hAnsiTheme="minorEastAsia" w:eastAsiaTheme="minorEastAsia" w:cstheme="minorEastAsia"/>
                <w:color w:val="000000"/>
                <w:kern w:val="0"/>
                <w:szCs w:val="21"/>
              </w:rPr>
            </w:pPr>
            <w:r>
              <w:rPr>
                <w:rFonts w:cs="Calibri"/>
                <w:color w:val="000000"/>
                <w:kern w:val="0"/>
                <w:sz w:val="22"/>
                <w:lang w:bidi="ar"/>
              </w:rPr>
              <w:t>乙醇汽油、柴油</w:t>
            </w:r>
          </w:p>
        </w:tc>
        <w:tc>
          <w:tcPr>
            <w:tcW w:w="1701" w:type="dxa"/>
            <w:tcBorders>
              <w:top w:val="single" w:color="auto" w:sz="4" w:space="0"/>
              <w:left w:val="nil"/>
              <w:bottom w:val="single" w:color="auto" w:sz="4" w:space="0"/>
              <w:right w:val="single" w:color="auto" w:sz="4" w:space="0"/>
            </w:tcBorders>
            <w:vAlign w:val="center"/>
          </w:tcPr>
          <w:p w14:paraId="3FA343EE">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加油站</w:t>
            </w:r>
          </w:p>
        </w:tc>
      </w:tr>
      <w:tr w14:paraId="2803D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22" w:type="dxa"/>
            <w:tcBorders>
              <w:top w:val="single" w:color="auto" w:sz="4" w:space="0"/>
              <w:left w:val="single" w:color="auto" w:sz="4" w:space="0"/>
              <w:bottom w:val="single" w:color="auto" w:sz="4" w:space="0"/>
              <w:right w:val="single" w:color="auto" w:sz="4" w:space="0"/>
            </w:tcBorders>
            <w:vAlign w:val="center"/>
          </w:tcPr>
          <w:p w14:paraId="5BD3A6DA">
            <w:pPr>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3497" w:type="dxa"/>
            <w:tcBorders>
              <w:top w:val="single" w:color="auto" w:sz="4" w:space="0"/>
              <w:left w:val="nil"/>
              <w:bottom w:val="single" w:color="auto" w:sz="4" w:space="0"/>
              <w:right w:val="single" w:color="auto" w:sz="4" w:space="0"/>
            </w:tcBorders>
            <w:vAlign w:val="bottom"/>
          </w:tcPr>
          <w:p w14:paraId="3EDFF6D2">
            <w:pPr>
              <w:widowControl/>
              <w:jc w:val="left"/>
              <w:textAlignment w:val="bottom"/>
              <w:rPr>
                <w:rFonts w:asciiTheme="minorEastAsia" w:hAnsiTheme="minorEastAsia" w:eastAsiaTheme="minorEastAsia" w:cstheme="minorEastAsia"/>
                <w:szCs w:val="21"/>
              </w:rPr>
            </w:pPr>
            <w:r>
              <w:rPr>
                <w:rFonts w:cs="Calibri"/>
                <w:color w:val="000000"/>
                <w:kern w:val="0"/>
                <w:sz w:val="22"/>
                <w:lang w:bidi="ar"/>
              </w:rPr>
              <w:t>黑龙江省石化交投能源科技有限责任公司桦南罗泉二加油站</w:t>
            </w:r>
          </w:p>
        </w:tc>
        <w:tc>
          <w:tcPr>
            <w:tcW w:w="2693" w:type="dxa"/>
            <w:tcBorders>
              <w:top w:val="single" w:color="auto" w:sz="4" w:space="0"/>
              <w:left w:val="nil"/>
              <w:bottom w:val="single" w:color="auto" w:sz="4" w:space="0"/>
              <w:right w:val="single" w:color="auto" w:sz="4" w:space="0"/>
            </w:tcBorders>
            <w:vAlign w:val="bottom"/>
          </w:tcPr>
          <w:p w14:paraId="34A2FCE4">
            <w:pPr>
              <w:widowControl/>
              <w:jc w:val="left"/>
              <w:textAlignment w:val="bottom"/>
              <w:rPr>
                <w:rFonts w:asciiTheme="minorEastAsia" w:hAnsiTheme="minorEastAsia" w:eastAsiaTheme="minorEastAsia" w:cstheme="minorEastAsia"/>
                <w:color w:val="000000"/>
                <w:kern w:val="0"/>
                <w:szCs w:val="21"/>
              </w:rPr>
            </w:pPr>
            <w:r>
              <w:rPr>
                <w:rFonts w:cs="Calibri"/>
                <w:color w:val="000000"/>
                <w:kern w:val="0"/>
                <w:sz w:val="22"/>
                <w:lang w:bidi="ar"/>
              </w:rPr>
              <w:t>大八浪乡</w:t>
            </w:r>
          </w:p>
        </w:tc>
        <w:tc>
          <w:tcPr>
            <w:tcW w:w="5670" w:type="dxa"/>
            <w:tcBorders>
              <w:top w:val="single" w:color="auto" w:sz="4" w:space="0"/>
              <w:left w:val="nil"/>
              <w:bottom w:val="single" w:color="auto" w:sz="4" w:space="0"/>
              <w:right w:val="single" w:color="auto" w:sz="4" w:space="0"/>
            </w:tcBorders>
            <w:vAlign w:val="bottom"/>
          </w:tcPr>
          <w:p w14:paraId="2028886B">
            <w:pPr>
              <w:widowControl/>
              <w:jc w:val="left"/>
              <w:textAlignment w:val="bottom"/>
              <w:rPr>
                <w:rFonts w:asciiTheme="minorEastAsia" w:hAnsiTheme="minorEastAsia" w:eastAsiaTheme="minorEastAsia" w:cstheme="minorEastAsia"/>
                <w:color w:val="000000"/>
                <w:kern w:val="0"/>
                <w:szCs w:val="21"/>
              </w:rPr>
            </w:pPr>
            <w:r>
              <w:rPr>
                <w:rFonts w:cs="Calibri"/>
                <w:color w:val="000000"/>
                <w:kern w:val="0"/>
                <w:sz w:val="22"/>
                <w:lang w:bidi="ar"/>
              </w:rPr>
              <w:t>乙醇汽油、柴油</w:t>
            </w:r>
          </w:p>
        </w:tc>
        <w:tc>
          <w:tcPr>
            <w:tcW w:w="1701" w:type="dxa"/>
            <w:tcBorders>
              <w:top w:val="single" w:color="auto" w:sz="4" w:space="0"/>
              <w:left w:val="nil"/>
              <w:bottom w:val="single" w:color="auto" w:sz="4" w:space="0"/>
              <w:right w:val="single" w:color="auto" w:sz="4" w:space="0"/>
            </w:tcBorders>
            <w:vAlign w:val="center"/>
          </w:tcPr>
          <w:p w14:paraId="0D4E760A">
            <w:pPr>
              <w:widowControl/>
              <w:jc w:val="center"/>
              <w:rPr>
                <w:rFonts w:cs="宋体" w:asciiTheme="minorEastAsia" w:hAnsiTheme="minorEastAsia" w:eastAsiaTheme="minorEastAsia"/>
                <w:color w:val="000000"/>
                <w:kern w:val="0"/>
                <w:sz w:val="24"/>
                <w:szCs w:val="24"/>
              </w:rPr>
            </w:pPr>
            <w:r>
              <w:rPr>
                <w:rFonts w:hint="eastAsia" w:asciiTheme="minorEastAsia" w:hAnsiTheme="minorEastAsia" w:eastAsiaTheme="minorEastAsia"/>
                <w:sz w:val="24"/>
                <w:szCs w:val="24"/>
              </w:rPr>
              <w:t>加油站</w:t>
            </w:r>
          </w:p>
        </w:tc>
      </w:tr>
      <w:tr w14:paraId="3D514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22" w:type="dxa"/>
            <w:tcBorders>
              <w:top w:val="single" w:color="auto" w:sz="4" w:space="0"/>
              <w:left w:val="single" w:color="auto" w:sz="4" w:space="0"/>
              <w:bottom w:val="single" w:color="auto" w:sz="4" w:space="0"/>
              <w:right w:val="single" w:color="auto" w:sz="4" w:space="0"/>
            </w:tcBorders>
            <w:vAlign w:val="center"/>
          </w:tcPr>
          <w:p w14:paraId="016831C6">
            <w:pPr>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3497" w:type="dxa"/>
            <w:tcBorders>
              <w:top w:val="single" w:color="auto" w:sz="4" w:space="0"/>
              <w:left w:val="nil"/>
              <w:bottom w:val="single" w:color="auto" w:sz="4" w:space="0"/>
              <w:right w:val="single" w:color="auto" w:sz="4" w:space="0"/>
            </w:tcBorders>
            <w:vAlign w:val="bottom"/>
          </w:tcPr>
          <w:p w14:paraId="40E659C0">
            <w:pPr>
              <w:widowControl/>
              <w:jc w:val="left"/>
              <w:textAlignment w:val="bottom"/>
              <w:rPr>
                <w:rFonts w:asciiTheme="minorEastAsia" w:hAnsiTheme="minorEastAsia" w:eastAsiaTheme="minorEastAsia" w:cstheme="minorEastAsia"/>
                <w:szCs w:val="21"/>
              </w:rPr>
            </w:pPr>
            <w:r>
              <w:rPr>
                <w:rFonts w:cs="Calibri"/>
                <w:color w:val="000000"/>
                <w:kern w:val="0"/>
                <w:sz w:val="22"/>
                <w:lang w:bidi="ar"/>
              </w:rPr>
              <w:t>黑龙江省石化交投能源科技有限责任公司桦南罗泉一加油站</w:t>
            </w:r>
          </w:p>
        </w:tc>
        <w:tc>
          <w:tcPr>
            <w:tcW w:w="2693" w:type="dxa"/>
            <w:tcBorders>
              <w:top w:val="single" w:color="auto" w:sz="4" w:space="0"/>
              <w:left w:val="nil"/>
              <w:bottom w:val="single" w:color="auto" w:sz="4" w:space="0"/>
              <w:right w:val="single" w:color="auto" w:sz="4" w:space="0"/>
            </w:tcBorders>
            <w:vAlign w:val="bottom"/>
          </w:tcPr>
          <w:p w14:paraId="2D93B736">
            <w:pPr>
              <w:widowControl/>
              <w:jc w:val="left"/>
              <w:textAlignment w:val="bottom"/>
              <w:rPr>
                <w:rFonts w:asciiTheme="minorEastAsia" w:hAnsiTheme="minorEastAsia" w:eastAsiaTheme="minorEastAsia" w:cstheme="minorEastAsia"/>
                <w:color w:val="000000"/>
                <w:kern w:val="0"/>
                <w:szCs w:val="21"/>
              </w:rPr>
            </w:pPr>
            <w:r>
              <w:rPr>
                <w:rFonts w:cs="Calibri"/>
                <w:color w:val="000000"/>
                <w:kern w:val="0"/>
                <w:sz w:val="22"/>
                <w:lang w:bidi="ar"/>
              </w:rPr>
              <w:t>大八浪乡</w:t>
            </w:r>
          </w:p>
        </w:tc>
        <w:tc>
          <w:tcPr>
            <w:tcW w:w="5670" w:type="dxa"/>
            <w:tcBorders>
              <w:top w:val="single" w:color="auto" w:sz="4" w:space="0"/>
              <w:left w:val="nil"/>
              <w:bottom w:val="single" w:color="auto" w:sz="4" w:space="0"/>
              <w:right w:val="single" w:color="auto" w:sz="4" w:space="0"/>
            </w:tcBorders>
            <w:vAlign w:val="bottom"/>
          </w:tcPr>
          <w:p w14:paraId="09D33F63">
            <w:pPr>
              <w:widowControl/>
              <w:jc w:val="left"/>
              <w:textAlignment w:val="bottom"/>
              <w:rPr>
                <w:rFonts w:asciiTheme="minorEastAsia" w:hAnsiTheme="minorEastAsia" w:eastAsiaTheme="minorEastAsia" w:cstheme="minorEastAsia"/>
                <w:color w:val="000000"/>
                <w:kern w:val="0"/>
                <w:szCs w:val="21"/>
              </w:rPr>
            </w:pPr>
            <w:r>
              <w:rPr>
                <w:rFonts w:cs="Calibri"/>
                <w:color w:val="000000"/>
                <w:kern w:val="0"/>
                <w:sz w:val="22"/>
                <w:lang w:bidi="ar"/>
              </w:rPr>
              <w:t>乙醇汽油、柴油</w:t>
            </w:r>
          </w:p>
        </w:tc>
        <w:tc>
          <w:tcPr>
            <w:tcW w:w="1701" w:type="dxa"/>
            <w:tcBorders>
              <w:top w:val="single" w:color="auto" w:sz="4" w:space="0"/>
              <w:left w:val="nil"/>
              <w:bottom w:val="single" w:color="auto" w:sz="4" w:space="0"/>
              <w:right w:val="single" w:color="auto" w:sz="4" w:space="0"/>
            </w:tcBorders>
            <w:vAlign w:val="center"/>
          </w:tcPr>
          <w:p w14:paraId="30724701">
            <w:pPr>
              <w:widowControl/>
              <w:jc w:val="center"/>
              <w:rPr>
                <w:rFonts w:cs="宋体" w:asciiTheme="minorEastAsia" w:hAnsiTheme="minorEastAsia" w:eastAsiaTheme="minorEastAsia"/>
                <w:color w:val="000000"/>
                <w:kern w:val="0"/>
                <w:sz w:val="24"/>
                <w:szCs w:val="24"/>
              </w:rPr>
            </w:pPr>
            <w:r>
              <w:rPr>
                <w:rFonts w:hint="eastAsia" w:asciiTheme="minorEastAsia" w:hAnsiTheme="minorEastAsia" w:eastAsiaTheme="minorEastAsia"/>
                <w:sz w:val="24"/>
                <w:szCs w:val="24"/>
              </w:rPr>
              <w:t>加油站</w:t>
            </w:r>
          </w:p>
        </w:tc>
      </w:tr>
      <w:tr w14:paraId="3025E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22" w:type="dxa"/>
            <w:tcBorders>
              <w:top w:val="single" w:color="auto" w:sz="4" w:space="0"/>
              <w:left w:val="single" w:color="auto" w:sz="4" w:space="0"/>
              <w:bottom w:val="single" w:color="auto" w:sz="4" w:space="0"/>
              <w:right w:val="single" w:color="auto" w:sz="4" w:space="0"/>
            </w:tcBorders>
            <w:vAlign w:val="center"/>
          </w:tcPr>
          <w:p w14:paraId="08C9FAD0">
            <w:pPr>
              <w:jc w:val="center"/>
              <w:rPr>
                <w:rFonts w:asciiTheme="minorEastAsia" w:hAnsiTheme="minorEastAsia" w:eastAsiaTheme="minorEastAsia"/>
                <w:szCs w:val="21"/>
              </w:rPr>
            </w:pPr>
            <w:r>
              <w:rPr>
                <w:rFonts w:hint="eastAsia" w:asciiTheme="minorEastAsia" w:hAnsiTheme="minorEastAsia" w:eastAsiaTheme="minorEastAsia"/>
                <w:szCs w:val="21"/>
              </w:rPr>
              <w:t>4</w:t>
            </w:r>
          </w:p>
        </w:tc>
        <w:tc>
          <w:tcPr>
            <w:tcW w:w="3497" w:type="dxa"/>
            <w:tcBorders>
              <w:top w:val="single" w:color="auto" w:sz="4" w:space="0"/>
              <w:left w:val="nil"/>
              <w:bottom w:val="single" w:color="auto" w:sz="4" w:space="0"/>
              <w:right w:val="single" w:color="auto" w:sz="4" w:space="0"/>
            </w:tcBorders>
            <w:vAlign w:val="bottom"/>
          </w:tcPr>
          <w:p w14:paraId="4B0EE6C4">
            <w:pPr>
              <w:widowControl/>
              <w:jc w:val="left"/>
              <w:textAlignment w:val="bottom"/>
              <w:rPr>
                <w:rFonts w:asciiTheme="minorEastAsia" w:hAnsiTheme="minorEastAsia" w:eastAsiaTheme="minorEastAsia" w:cstheme="minorEastAsia"/>
                <w:szCs w:val="21"/>
              </w:rPr>
            </w:pPr>
            <w:r>
              <w:rPr>
                <w:rFonts w:cs="Calibri"/>
                <w:color w:val="000000"/>
                <w:kern w:val="0"/>
                <w:sz w:val="22"/>
                <w:lang w:bidi="ar"/>
              </w:rPr>
              <w:t>黑龙江省石化交投能源科技有限责任公司桦南第一加油站</w:t>
            </w:r>
          </w:p>
        </w:tc>
        <w:tc>
          <w:tcPr>
            <w:tcW w:w="2693" w:type="dxa"/>
            <w:tcBorders>
              <w:top w:val="single" w:color="auto" w:sz="4" w:space="0"/>
              <w:left w:val="nil"/>
              <w:bottom w:val="single" w:color="auto" w:sz="4" w:space="0"/>
              <w:right w:val="single" w:color="auto" w:sz="4" w:space="0"/>
            </w:tcBorders>
            <w:vAlign w:val="bottom"/>
          </w:tcPr>
          <w:p w14:paraId="40B7557D">
            <w:pPr>
              <w:widowControl/>
              <w:jc w:val="left"/>
              <w:textAlignment w:val="bottom"/>
              <w:rPr>
                <w:rFonts w:asciiTheme="minorEastAsia" w:hAnsiTheme="minorEastAsia" w:eastAsiaTheme="minorEastAsia" w:cstheme="minorEastAsia"/>
                <w:color w:val="000000"/>
                <w:kern w:val="0"/>
                <w:szCs w:val="21"/>
              </w:rPr>
            </w:pPr>
            <w:r>
              <w:rPr>
                <w:rFonts w:cs="Calibri"/>
                <w:color w:val="000000"/>
                <w:kern w:val="0"/>
                <w:sz w:val="22"/>
                <w:lang w:bidi="ar"/>
              </w:rPr>
              <w:t>明义乡</w:t>
            </w:r>
          </w:p>
        </w:tc>
        <w:tc>
          <w:tcPr>
            <w:tcW w:w="5670" w:type="dxa"/>
            <w:tcBorders>
              <w:top w:val="single" w:color="auto" w:sz="4" w:space="0"/>
              <w:left w:val="nil"/>
              <w:bottom w:val="single" w:color="auto" w:sz="4" w:space="0"/>
              <w:right w:val="single" w:color="auto" w:sz="4" w:space="0"/>
            </w:tcBorders>
            <w:vAlign w:val="bottom"/>
          </w:tcPr>
          <w:p w14:paraId="7E51B3E4">
            <w:pPr>
              <w:widowControl/>
              <w:jc w:val="left"/>
              <w:textAlignment w:val="bottom"/>
              <w:rPr>
                <w:rFonts w:asciiTheme="minorEastAsia" w:hAnsiTheme="minorEastAsia" w:eastAsiaTheme="minorEastAsia" w:cstheme="minorEastAsia"/>
                <w:color w:val="000000"/>
                <w:kern w:val="0"/>
                <w:szCs w:val="21"/>
              </w:rPr>
            </w:pPr>
            <w:r>
              <w:rPr>
                <w:rFonts w:cs="Calibri"/>
                <w:color w:val="000000"/>
                <w:kern w:val="0"/>
                <w:sz w:val="22"/>
                <w:lang w:bidi="ar"/>
              </w:rPr>
              <w:t>乙醇汽油、柴油</w:t>
            </w:r>
          </w:p>
        </w:tc>
        <w:tc>
          <w:tcPr>
            <w:tcW w:w="1701" w:type="dxa"/>
            <w:tcBorders>
              <w:top w:val="single" w:color="auto" w:sz="4" w:space="0"/>
              <w:left w:val="nil"/>
              <w:bottom w:val="single" w:color="auto" w:sz="4" w:space="0"/>
              <w:right w:val="single" w:color="auto" w:sz="4" w:space="0"/>
            </w:tcBorders>
            <w:vAlign w:val="center"/>
          </w:tcPr>
          <w:p w14:paraId="0475B3E1">
            <w:pPr>
              <w:widowControl/>
              <w:jc w:val="center"/>
              <w:rPr>
                <w:rFonts w:cs="宋体" w:asciiTheme="minorEastAsia" w:hAnsiTheme="minorEastAsia" w:eastAsiaTheme="minorEastAsia"/>
                <w:color w:val="000000"/>
                <w:kern w:val="0"/>
                <w:sz w:val="24"/>
                <w:szCs w:val="24"/>
              </w:rPr>
            </w:pPr>
            <w:r>
              <w:rPr>
                <w:rFonts w:hint="eastAsia" w:asciiTheme="minorEastAsia" w:hAnsiTheme="minorEastAsia" w:eastAsiaTheme="minorEastAsia"/>
                <w:sz w:val="24"/>
                <w:szCs w:val="24"/>
              </w:rPr>
              <w:t>加油站</w:t>
            </w:r>
          </w:p>
        </w:tc>
      </w:tr>
      <w:tr w14:paraId="6614A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722" w:type="dxa"/>
            <w:tcBorders>
              <w:top w:val="single" w:color="auto" w:sz="4" w:space="0"/>
              <w:left w:val="single" w:color="auto" w:sz="4" w:space="0"/>
              <w:bottom w:val="single" w:color="auto" w:sz="4" w:space="0"/>
              <w:right w:val="single" w:color="auto" w:sz="4" w:space="0"/>
            </w:tcBorders>
            <w:vAlign w:val="center"/>
          </w:tcPr>
          <w:p w14:paraId="7AE44604">
            <w:pPr>
              <w:jc w:val="center"/>
              <w:rPr>
                <w:rFonts w:asciiTheme="minorEastAsia" w:hAnsiTheme="minorEastAsia" w:eastAsiaTheme="minorEastAsia"/>
                <w:szCs w:val="21"/>
              </w:rPr>
            </w:pPr>
            <w:r>
              <w:rPr>
                <w:rFonts w:hint="eastAsia" w:asciiTheme="minorEastAsia" w:hAnsiTheme="minorEastAsia" w:eastAsiaTheme="minorEastAsia"/>
                <w:szCs w:val="21"/>
              </w:rPr>
              <w:t>5</w:t>
            </w:r>
          </w:p>
        </w:tc>
        <w:tc>
          <w:tcPr>
            <w:tcW w:w="3497" w:type="dxa"/>
            <w:tcBorders>
              <w:top w:val="single" w:color="auto" w:sz="4" w:space="0"/>
              <w:left w:val="nil"/>
              <w:bottom w:val="single" w:color="auto" w:sz="4" w:space="0"/>
              <w:right w:val="single" w:color="auto" w:sz="4" w:space="0"/>
            </w:tcBorders>
            <w:vAlign w:val="bottom"/>
          </w:tcPr>
          <w:p w14:paraId="789FA0DF">
            <w:pPr>
              <w:widowControl/>
              <w:jc w:val="left"/>
              <w:textAlignment w:val="bottom"/>
              <w:rPr>
                <w:rFonts w:asciiTheme="minorEastAsia" w:hAnsiTheme="minorEastAsia" w:eastAsiaTheme="minorEastAsia" w:cstheme="minorEastAsia"/>
                <w:szCs w:val="21"/>
              </w:rPr>
            </w:pPr>
            <w:r>
              <w:rPr>
                <w:rFonts w:cs="Calibri"/>
                <w:color w:val="000000"/>
                <w:kern w:val="0"/>
                <w:sz w:val="22"/>
                <w:lang w:bidi="ar"/>
              </w:rPr>
              <w:t>黑龙江省石化交投能源科技有限责任公司桦南第二加油站</w:t>
            </w:r>
          </w:p>
        </w:tc>
        <w:tc>
          <w:tcPr>
            <w:tcW w:w="2693" w:type="dxa"/>
            <w:tcBorders>
              <w:top w:val="single" w:color="auto" w:sz="4" w:space="0"/>
              <w:left w:val="nil"/>
              <w:bottom w:val="single" w:color="auto" w:sz="4" w:space="0"/>
              <w:right w:val="single" w:color="auto" w:sz="4" w:space="0"/>
            </w:tcBorders>
            <w:vAlign w:val="bottom"/>
          </w:tcPr>
          <w:p w14:paraId="6D62D27E">
            <w:pPr>
              <w:widowControl/>
              <w:jc w:val="left"/>
              <w:textAlignment w:val="bottom"/>
              <w:rPr>
                <w:rFonts w:asciiTheme="minorEastAsia" w:hAnsiTheme="minorEastAsia" w:eastAsiaTheme="minorEastAsia" w:cstheme="minorEastAsia"/>
                <w:color w:val="000000"/>
                <w:kern w:val="0"/>
                <w:szCs w:val="21"/>
              </w:rPr>
            </w:pPr>
            <w:r>
              <w:rPr>
                <w:rFonts w:cs="Calibri"/>
                <w:color w:val="000000"/>
                <w:kern w:val="0"/>
                <w:sz w:val="22"/>
                <w:lang w:bidi="ar"/>
              </w:rPr>
              <w:t>明义乡</w:t>
            </w:r>
          </w:p>
        </w:tc>
        <w:tc>
          <w:tcPr>
            <w:tcW w:w="5670" w:type="dxa"/>
            <w:tcBorders>
              <w:top w:val="single" w:color="auto" w:sz="4" w:space="0"/>
              <w:left w:val="nil"/>
              <w:bottom w:val="single" w:color="auto" w:sz="4" w:space="0"/>
              <w:right w:val="single" w:color="auto" w:sz="4" w:space="0"/>
            </w:tcBorders>
            <w:vAlign w:val="bottom"/>
          </w:tcPr>
          <w:p w14:paraId="2E1755B2">
            <w:pPr>
              <w:widowControl/>
              <w:jc w:val="left"/>
              <w:textAlignment w:val="bottom"/>
              <w:rPr>
                <w:rFonts w:asciiTheme="minorEastAsia" w:hAnsiTheme="minorEastAsia" w:eastAsiaTheme="minorEastAsia" w:cstheme="minorEastAsia"/>
                <w:color w:val="000000"/>
                <w:kern w:val="0"/>
                <w:szCs w:val="21"/>
              </w:rPr>
            </w:pPr>
            <w:r>
              <w:rPr>
                <w:rFonts w:cs="Calibri"/>
                <w:color w:val="000000"/>
                <w:kern w:val="0"/>
                <w:sz w:val="22"/>
                <w:lang w:bidi="ar"/>
              </w:rPr>
              <w:t>乙醇汽油、柴油</w:t>
            </w:r>
          </w:p>
        </w:tc>
        <w:tc>
          <w:tcPr>
            <w:tcW w:w="1701" w:type="dxa"/>
            <w:tcBorders>
              <w:top w:val="single" w:color="auto" w:sz="4" w:space="0"/>
              <w:left w:val="nil"/>
              <w:bottom w:val="single" w:color="auto" w:sz="4" w:space="0"/>
              <w:right w:val="single" w:color="auto" w:sz="4" w:space="0"/>
            </w:tcBorders>
            <w:vAlign w:val="center"/>
          </w:tcPr>
          <w:p w14:paraId="2F52CBFE">
            <w:pPr>
              <w:widowControl/>
              <w:jc w:val="center"/>
              <w:rPr>
                <w:rFonts w:cs="宋体" w:asciiTheme="minorEastAsia" w:hAnsiTheme="minorEastAsia" w:eastAsiaTheme="minorEastAsia"/>
                <w:color w:val="000000"/>
                <w:kern w:val="0"/>
                <w:sz w:val="24"/>
                <w:szCs w:val="24"/>
              </w:rPr>
            </w:pPr>
            <w:r>
              <w:rPr>
                <w:rFonts w:hint="eastAsia" w:asciiTheme="minorEastAsia" w:hAnsiTheme="minorEastAsia" w:eastAsiaTheme="minorEastAsia"/>
                <w:sz w:val="24"/>
                <w:szCs w:val="24"/>
              </w:rPr>
              <w:t>加油站</w:t>
            </w:r>
          </w:p>
        </w:tc>
      </w:tr>
      <w:tr w14:paraId="14F53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22" w:type="dxa"/>
            <w:tcBorders>
              <w:top w:val="single" w:color="auto" w:sz="4" w:space="0"/>
              <w:left w:val="single" w:color="auto" w:sz="4" w:space="0"/>
              <w:bottom w:val="single" w:color="auto" w:sz="4" w:space="0"/>
              <w:right w:val="single" w:color="auto" w:sz="4" w:space="0"/>
            </w:tcBorders>
            <w:vAlign w:val="center"/>
          </w:tcPr>
          <w:p w14:paraId="0080D93C">
            <w:pPr>
              <w:jc w:val="center"/>
              <w:rPr>
                <w:rFonts w:asciiTheme="minorEastAsia" w:hAnsiTheme="minorEastAsia" w:eastAsiaTheme="minorEastAsia"/>
                <w:szCs w:val="21"/>
              </w:rPr>
            </w:pPr>
            <w:r>
              <w:rPr>
                <w:rFonts w:hint="eastAsia" w:asciiTheme="minorEastAsia" w:hAnsiTheme="minorEastAsia" w:eastAsiaTheme="minorEastAsia"/>
                <w:szCs w:val="21"/>
              </w:rPr>
              <w:t>6</w:t>
            </w:r>
          </w:p>
        </w:tc>
        <w:tc>
          <w:tcPr>
            <w:tcW w:w="3497" w:type="dxa"/>
            <w:tcBorders>
              <w:top w:val="single" w:color="auto" w:sz="4" w:space="0"/>
              <w:left w:val="nil"/>
              <w:bottom w:val="single" w:color="auto" w:sz="4" w:space="0"/>
              <w:right w:val="single" w:color="auto" w:sz="4" w:space="0"/>
            </w:tcBorders>
            <w:vAlign w:val="bottom"/>
          </w:tcPr>
          <w:p w14:paraId="48A848F5">
            <w:pPr>
              <w:widowControl/>
              <w:jc w:val="left"/>
              <w:textAlignment w:val="bottom"/>
              <w:rPr>
                <w:rFonts w:asciiTheme="minorEastAsia" w:hAnsiTheme="minorEastAsia" w:eastAsiaTheme="minorEastAsia" w:cstheme="minorEastAsia"/>
                <w:szCs w:val="21"/>
              </w:rPr>
            </w:pPr>
            <w:r>
              <w:rPr>
                <w:rFonts w:cs="Calibri"/>
                <w:color w:val="000000"/>
                <w:kern w:val="0"/>
                <w:sz w:val="22"/>
                <w:lang w:bidi="ar"/>
              </w:rPr>
              <w:t>黑龙江省桦南林业局有限公司第一加油站</w:t>
            </w:r>
          </w:p>
        </w:tc>
        <w:tc>
          <w:tcPr>
            <w:tcW w:w="2693" w:type="dxa"/>
            <w:tcBorders>
              <w:top w:val="single" w:color="auto" w:sz="4" w:space="0"/>
              <w:left w:val="nil"/>
              <w:bottom w:val="single" w:color="auto" w:sz="4" w:space="0"/>
              <w:right w:val="single" w:color="auto" w:sz="4" w:space="0"/>
            </w:tcBorders>
            <w:vAlign w:val="bottom"/>
          </w:tcPr>
          <w:p w14:paraId="2C48796E">
            <w:pPr>
              <w:widowControl/>
              <w:jc w:val="left"/>
              <w:textAlignment w:val="bottom"/>
              <w:rPr>
                <w:rFonts w:asciiTheme="minorEastAsia" w:hAnsiTheme="minorEastAsia" w:eastAsiaTheme="minorEastAsia" w:cstheme="minorEastAsia"/>
                <w:color w:val="000000"/>
                <w:kern w:val="0"/>
                <w:szCs w:val="21"/>
              </w:rPr>
            </w:pPr>
            <w:r>
              <w:rPr>
                <w:rFonts w:cs="Calibri"/>
                <w:color w:val="000000"/>
                <w:kern w:val="0"/>
                <w:sz w:val="22"/>
                <w:lang w:bidi="ar"/>
              </w:rPr>
              <w:t>柳毛河乡</w:t>
            </w:r>
          </w:p>
        </w:tc>
        <w:tc>
          <w:tcPr>
            <w:tcW w:w="5670" w:type="dxa"/>
            <w:tcBorders>
              <w:top w:val="single" w:color="auto" w:sz="4" w:space="0"/>
              <w:left w:val="nil"/>
              <w:bottom w:val="single" w:color="auto" w:sz="4" w:space="0"/>
              <w:right w:val="single" w:color="auto" w:sz="4" w:space="0"/>
            </w:tcBorders>
            <w:vAlign w:val="bottom"/>
          </w:tcPr>
          <w:p w14:paraId="424569F0">
            <w:pPr>
              <w:widowControl/>
              <w:jc w:val="left"/>
              <w:textAlignment w:val="bottom"/>
              <w:rPr>
                <w:rFonts w:asciiTheme="minorEastAsia" w:hAnsiTheme="minorEastAsia" w:eastAsiaTheme="minorEastAsia" w:cstheme="minorEastAsia"/>
                <w:color w:val="000000"/>
                <w:kern w:val="0"/>
                <w:szCs w:val="21"/>
              </w:rPr>
            </w:pPr>
            <w:r>
              <w:rPr>
                <w:rFonts w:cs="Calibri"/>
                <w:color w:val="000000"/>
                <w:kern w:val="0"/>
                <w:sz w:val="22"/>
                <w:lang w:bidi="ar"/>
              </w:rPr>
              <w:t>乙醇汽油、柴油</w:t>
            </w:r>
          </w:p>
        </w:tc>
        <w:tc>
          <w:tcPr>
            <w:tcW w:w="1701" w:type="dxa"/>
            <w:tcBorders>
              <w:top w:val="single" w:color="auto" w:sz="4" w:space="0"/>
              <w:left w:val="nil"/>
              <w:bottom w:val="single" w:color="auto" w:sz="4" w:space="0"/>
              <w:right w:val="single" w:color="auto" w:sz="4" w:space="0"/>
            </w:tcBorders>
            <w:vAlign w:val="center"/>
          </w:tcPr>
          <w:p w14:paraId="63732483">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加油站</w:t>
            </w:r>
          </w:p>
        </w:tc>
      </w:tr>
      <w:tr w14:paraId="3F720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22" w:type="dxa"/>
            <w:tcBorders>
              <w:top w:val="single" w:color="auto" w:sz="4" w:space="0"/>
              <w:left w:val="single" w:color="auto" w:sz="4" w:space="0"/>
              <w:bottom w:val="single" w:color="auto" w:sz="4" w:space="0"/>
              <w:right w:val="single" w:color="auto" w:sz="4" w:space="0"/>
            </w:tcBorders>
            <w:vAlign w:val="center"/>
          </w:tcPr>
          <w:p w14:paraId="40CF7457">
            <w:pPr>
              <w:jc w:val="center"/>
              <w:rPr>
                <w:rFonts w:asciiTheme="minorEastAsia" w:hAnsiTheme="minorEastAsia" w:eastAsiaTheme="minorEastAsia"/>
                <w:szCs w:val="21"/>
              </w:rPr>
            </w:pPr>
            <w:r>
              <w:rPr>
                <w:rFonts w:hint="eastAsia" w:asciiTheme="minorEastAsia" w:hAnsiTheme="minorEastAsia" w:eastAsiaTheme="minorEastAsia"/>
                <w:szCs w:val="21"/>
              </w:rPr>
              <w:t>7</w:t>
            </w:r>
          </w:p>
        </w:tc>
        <w:tc>
          <w:tcPr>
            <w:tcW w:w="3497" w:type="dxa"/>
            <w:tcBorders>
              <w:top w:val="single" w:color="auto" w:sz="4" w:space="0"/>
              <w:left w:val="nil"/>
              <w:bottom w:val="single" w:color="auto" w:sz="4" w:space="0"/>
              <w:right w:val="single" w:color="auto" w:sz="4" w:space="0"/>
            </w:tcBorders>
            <w:vAlign w:val="bottom"/>
          </w:tcPr>
          <w:p w14:paraId="1CA96481">
            <w:pPr>
              <w:widowControl/>
              <w:jc w:val="left"/>
              <w:textAlignment w:val="bottom"/>
              <w:rPr>
                <w:rFonts w:asciiTheme="minorEastAsia" w:hAnsiTheme="minorEastAsia" w:eastAsiaTheme="minorEastAsia" w:cstheme="minorEastAsia"/>
                <w:szCs w:val="21"/>
              </w:rPr>
            </w:pPr>
            <w:r>
              <w:rPr>
                <w:rFonts w:cs="Calibri"/>
                <w:color w:val="000000"/>
                <w:kern w:val="0"/>
                <w:sz w:val="22"/>
                <w:lang w:bidi="ar"/>
              </w:rPr>
              <w:t>桦南县客运总站加油站</w:t>
            </w:r>
          </w:p>
        </w:tc>
        <w:tc>
          <w:tcPr>
            <w:tcW w:w="2693" w:type="dxa"/>
            <w:tcBorders>
              <w:top w:val="single" w:color="auto" w:sz="4" w:space="0"/>
              <w:left w:val="nil"/>
              <w:bottom w:val="single" w:color="auto" w:sz="4" w:space="0"/>
              <w:right w:val="single" w:color="auto" w:sz="4" w:space="0"/>
            </w:tcBorders>
            <w:vAlign w:val="bottom"/>
          </w:tcPr>
          <w:p w14:paraId="1D24D2B0">
            <w:pPr>
              <w:widowControl/>
              <w:jc w:val="left"/>
              <w:textAlignment w:val="bottom"/>
              <w:rPr>
                <w:rFonts w:asciiTheme="minorEastAsia" w:hAnsiTheme="minorEastAsia" w:eastAsiaTheme="minorEastAsia" w:cstheme="minorEastAsia"/>
                <w:color w:val="000000"/>
                <w:kern w:val="0"/>
                <w:szCs w:val="21"/>
              </w:rPr>
            </w:pPr>
            <w:r>
              <w:rPr>
                <w:rFonts w:cs="Calibri"/>
                <w:color w:val="000000"/>
                <w:kern w:val="0"/>
                <w:sz w:val="22"/>
                <w:lang w:bidi="ar"/>
              </w:rPr>
              <w:t>铁东街</w:t>
            </w:r>
          </w:p>
        </w:tc>
        <w:tc>
          <w:tcPr>
            <w:tcW w:w="5670" w:type="dxa"/>
            <w:tcBorders>
              <w:top w:val="single" w:color="auto" w:sz="4" w:space="0"/>
              <w:left w:val="nil"/>
              <w:bottom w:val="single" w:color="auto" w:sz="4" w:space="0"/>
              <w:right w:val="single" w:color="auto" w:sz="4" w:space="0"/>
            </w:tcBorders>
            <w:vAlign w:val="bottom"/>
          </w:tcPr>
          <w:p w14:paraId="3F6A96B5">
            <w:pPr>
              <w:widowControl/>
              <w:jc w:val="left"/>
              <w:textAlignment w:val="bottom"/>
              <w:rPr>
                <w:rFonts w:asciiTheme="minorEastAsia" w:hAnsiTheme="minorEastAsia" w:eastAsiaTheme="minorEastAsia" w:cstheme="minorEastAsia"/>
                <w:color w:val="000000"/>
                <w:kern w:val="0"/>
                <w:szCs w:val="21"/>
              </w:rPr>
            </w:pPr>
            <w:r>
              <w:rPr>
                <w:rFonts w:cs="Calibri"/>
                <w:color w:val="000000"/>
                <w:kern w:val="0"/>
                <w:sz w:val="22"/>
                <w:lang w:bidi="ar"/>
              </w:rPr>
              <w:t>乙醇汽油、柴油</w:t>
            </w:r>
          </w:p>
        </w:tc>
        <w:tc>
          <w:tcPr>
            <w:tcW w:w="1701" w:type="dxa"/>
            <w:tcBorders>
              <w:top w:val="single" w:color="auto" w:sz="4" w:space="0"/>
              <w:left w:val="nil"/>
              <w:bottom w:val="single" w:color="auto" w:sz="4" w:space="0"/>
              <w:right w:val="single" w:color="auto" w:sz="4" w:space="0"/>
            </w:tcBorders>
            <w:vAlign w:val="center"/>
          </w:tcPr>
          <w:p w14:paraId="5A08A53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加油站</w:t>
            </w:r>
          </w:p>
        </w:tc>
      </w:tr>
      <w:tr w14:paraId="13DB0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722" w:type="dxa"/>
            <w:tcBorders>
              <w:top w:val="single" w:color="auto" w:sz="4" w:space="0"/>
              <w:left w:val="single" w:color="auto" w:sz="4" w:space="0"/>
              <w:bottom w:val="single" w:color="auto" w:sz="4" w:space="0"/>
              <w:right w:val="single" w:color="auto" w:sz="4" w:space="0"/>
            </w:tcBorders>
            <w:vAlign w:val="center"/>
          </w:tcPr>
          <w:p w14:paraId="50850A9D">
            <w:pPr>
              <w:jc w:val="center"/>
              <w:rPr>
                <w:rFonts w:asciiTheme="minorEastAsia" w:hAnsiTheme="minorEastAsia" w:eastAsiaTheme="minorEastAsia"/>
                <w:szCs w:val="21"/>
              </w:rPr>
            </w:pPr>
            <w:r>
              <w:rPr>
                <w:rFonts w:hint="eastAsia" w:asciiTheme="minorEastAsia" w:hAnsiTheme="minorEastAsia" w:eastAsiaTheme="minorEastAsia"/>
                <w:szCs w:val="21"/>
              </w:rPr>
              <w:t>8</w:t>
            </w:r>
          </w:p>
        </w:tc>
        <w:tc>
          <w:tcPr>
            <w:tcW w:w="3497" w:type="dxa"/>
            <w:tcBorders>
              <w:top w:val="single" w:color="auto" w:sz="4" w:space="0"/>
              <w:left w:val="nil"/>
              <w:bottom w:val="single" w:color="auto" w:sz="4" w:space="0"/>
              <w:right w:val="single" w:color="auto" w:sz="4" w:space="0"/>
            </w:tcBorders>
            <w:vAlign w:val="bottom"/>
          </w:tcPr>
          <w:p w14:paraId="07F8DCE4">
            <w:pPr>
              <w:widowControl/>
              <w:jc w:val="left"/>
              <w:textAlignment w:val="bottom"/>
              <w:rPr>
                <w:rFonts w:asciiTheme="minorEastAsia" w:hAnsiTheme="minorEastAsia" w:eastAsiaTheme="minorEastAsia" w:cstheme="minorEastAsia"/>
                <w:szCs w:val="21"/>
              </w:rPr>
            </w:pPr>
            <w:r>
              <w:rPr>
                <w:rFonts w:cs="Calibri"/>
                <w:color w:val="000000"/>
                <w:kern w:val="0"/>
                <w:sz w:val="22"/>
                <w:lang w:bidi="ar"/>
              </w:rPr>
              <w:t>中油黑龙江农垦石油有限公司曙光加油站</w:t>
            </w:r>
          </w:p>
        </w:tc>
        <w:tc>
          <w:tcPr>
            <w:tcW w:w="2693" w:type="dxa"/>
            <w:tcBorders>
              <w:top w:val="single" w:color="auto" w:sz="4" w:space="0"/>
              <w:left w:val="nil"/>
              <w:bottom w:val="single" w:color="auto" w:sz="4" w:space="0"/>
              <w:right w:val="single" w:color="auto" w:sz="4" w:space="0"/>
            </w:tcBorders>
            <w:vAlign w:val="bottom"/>
          </w:tcPr>
          <w:p w14:paraId="526AD315">
            <w:pPr>
              <w:widowControl/>
              <w:jc w:val="left"/>
              <w:textAlignment w:val="bottom"/>
              <w:rPr>
                <w:rFonts w:asciiTheme="minorEastAsia" w:hAnsiTheme="minorEastAsia" w:eastAsiaTheme="minorEastAsia" w:cstheme="minorEastAsia"/>
                <w:color w:val="000000"/>
                <w:kern w:val="0"/>
                <w:szCs w:val="21"/>
              </w:rPr>
            </w:pPr>
            <w:r>
              <w:rPr>
                <w:rFonts w:cs="Calibri"/>
                <w:color w:val="000000"/>
                <w:kern w:val="0"/>
                <w:sz w:val="22"/>
                <w:lang w:bidi="ar"/>
              </w:rPr>
              <w:t>曙光农场场直五委</w:t>
            </w:r>
          </w:p>
        </w:tc>
        <w:tc>
          <w:tcPr>
            <w:tcW w:w="5670" w:type="dxa"/>
            <w:tcBorders>
              <w:top w:val="single" w:color="auto" w:sz="4" w:space="0"/>
              <w:left w:val="nil"/>
              <w:bottom w:val="single" w:color="auto" w:sz="4" w:space="0"/>
              <w:right w:val="single" w:color="auto" w:sz="4" w:space="0"/>
            </w:tcBorders>
            <w:vAlign w:val="bottom"/>
          </w:tcPr>
          <w:p w14:paraId="17FE80AE">
            <w:pPr>
              <w:widowControl/>
              <w:jc w:val="left"/>
              <w:textAlignment w:val="bottom"/>
              <w:rPr>
                <w:rFonts w:asciiTheme="minorEastAsia" w:hAnsiTheme="minorEastAsia" w:eastAsiaTheme="minorEastAsia" w:cstheme="minorEastAsia"/>
                <w:color w:val="000000"/>
                <w:kern w:val="0"/>
                <w:szCs w:val="21"/>
              </w:rPr>
            </w:pPr>
            <w:r>
              <w:rPr>
                <w:rFonts w:cs="Calibri"/>
                <w:color w:val="000000"/>
                <w:kern w:val="0"/>
                <w:sz w:val="22"/>
                <w:lang w:bidi="ar"/>
              </w:rPr>
              <w:t>乙醇汽油、柴油</w:t>
            </w:r>
          </w:p>
        </w:tc>
        <w:tc>
          <w:tcPr>
            <w:tcW w:w="1701" w:type="dxa"/>
            <w:tcBorders>
              <w:top w:val="single" w:color="auto" w:sz="4" w:space="0"/>
              <w:left w:val="nil"/>
              <w:bottom w:val="single" w:color="auto" w:sz="4" w:space="0"/>
              <w:right w:val="single" w:color="auto" w:sz="4" w:space="0"/>
            </w:tcBorders>
            <w:vAlign w:val="center"/>
          </w:tcPr>
          <w:p w14:paraId="499AE949">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加油站</w:t>
            </w:r>
          </w:p>
        </w:tc>
      </w:tr>
      <w:tr w14:paraId="68AC6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722" w:type="dxa"/>
            <w:tcBorders>
              <w:top w:val="single" w:color="auto" w:sz="4" w:space="0"/>
              <w:left w:val="single" w:color="auto" w:sz="4" w:space="0"/>
              <w:bottom w:val="single" w:color="auto" w:sz="4" w:space="0"/>
              <w:right w:val="single" w:color="auto" w:sz="4" w:space="0"/>
            </w:tcBorders>
            <w:vAlign w:val="center"/>
          </w:tcPr>
          <w:p w14:paraId="2A7274CA">
            <w:pPr>
              <w:jc w:val="center"/>
              <w:rPr>
                <w:rFonts w:asciiTheme="minorEastAsia" w:hAnsiTheme="minorEastAsia" w:eastAsiaTheme="minorEastAsia"/>
                <w:szCs w:val="21"/>
              </w:rPr>
            </w:pPr>
            <w:r>
              <w:rPr>
                <w:rFonts w:hint="eastAsia" w:asciiTheme="minorEastAsia" w:hAnsiTheme="minorEastAsia" w:eastAsiaTheme="minorEastAsia"/>
                <w:szCs w:val="21"/>
              </w:rPr>
              <w:t>9</w:t>
            </w:r>
          </w:p>
        </w:tc>
        <w:tc>
          <w:tcPr>
            <w:tcW w:w="3497" w:type="dxa"/>
            <w:tcBorders>
              <w:top w:val="single" w:color="auto" w:sz="4" w:space="0"/>
              <w:left w:val="nil"/>
              <w:bottom w:val="single" w:color="auto" w:sz="4" w:space="0"/>
              <w:right w:val="single" w:color="auto" w:sz="4" w:space="0"/>
            </w:tcBorders>
            <w:vAlign w:val="bottom"/>
          </w:tcPr>
          <w:p w14:paraId="3791AE40">
            <w:pPr>
              <w:widowControl/>
              <w:jc w:val="left"/>
              <w:textAlignment w:val="bottom"/>
              <w:rPr>
                <w:rFonts w:asciiTheme="minorEastAsia" w:hAnsiTheme="minorEastAsia" w:eastAsiaTheme="minorEastAsia" w:cstheme="minorEastAsia"/>
                <w:szCs w:val="21"/>
              </w:rPr>
            </w:pPr>
            <w:r>
              <w:rPr>
                <w:rFonts w:cs="Calibri"/>
                <w:color w:val="000000"/>
                <w:kern w:val="0"/>
                <w:sz w:val="22"/>
                <w:lang w:bidi="ar"/>
              </w:rPr>
              <w:t>桦南大张家加油站</w:t>
            </w:r>
          </w:p>
        </w:tc>
        <w:tc>
          <w:tcPr>
            <w:tcW w:w="2693" w:type="dxa"/>
            <w:tcBorders>
              <w:top w:val="single" w:color="auto" w:sz="4" w:space="0"/>
              <w:left w:val="nil"/>
              <w:bottom w:val="single" w:color="auto" w:sz="4" w:space="0"/>
              <w:right w:val="single" w:color="auto" w:sz="4" w:space="0"/>
            </w:tcBorders>
            <w:vAlign w:val="bottom"/>
          </w:tcPr>
          <w:p w14:paraId="4456D6E5">
            <w:pPr>
              <w:widowControl/>
              <w:jc w:val="left"/>
              <w:textAlignment w:val="bottom"/>
              <w:rPr>
                <w:rFonts w:asciiTheme="minorEastAsia" w:hAnsiTheme="minorEastAsia" w:eastAsiaTheme="minorEastAsia" w:cstheme="minorEastAsia"/>
                <w:color w:val="000000"/>
                <w:kern w:val="0"/>
                <w:szCs w:val="21"/>
              </w:rPr>
            </w:pPr>
            <w:r>
              <w:rPr>
                <w:rFonts w:cs="Calibri"/>
                <w:color w:val="000000"/>
                <w:kern w:val="0"/>
                <w:sz w:val="22"/>
                <w:lang w:bidi="ar"/>
              </w:rPr>
              <w:t>闫家镇大张家村</w:t>
            </w:r>
          </w:p>
        </w:tc>
        <w:tc>
          <w:tcPr>
            <w:tcW w:w="5670" w:type="dxa"/>
            <w:tcBorders>
              <w:top w:val="single" w:color="auto" w:sz="4" w:space="0"/>
              <w:left w:val="nil"/>
              <w:bottom w:val="single" w:color="auto" w:sz="4" w:space="0"/>
              <w:right w:val="single" w:color="auto" w:sz="4" w:space="0"/>
            </w:tcBorders>
            <w:vAlign w:val="bottom"/>
          </w:tcPr>
          <w:p w14:paraId="49EFFC2F">
            <w:pPr>
              <w:widowControl/>
              <w:jc w:val="left"/>
              <w:textAlignment w:val="bottom"/>
              <w:rPr>
                <w:rFonts w:asciiTheme="minorEastAsia" w:hAnsiTheme="minorEastAsia" w:eastAsiaTheme="minorEastAsia" w:cstheme="minorEastAsia"/>
                <w:color w:val="000000"/>
                <w:kern w:val="0"/>
                <w:szCs w:val="21"/>
              </w:rPr>
            </w:pPr>
            <w:r>
              <w:rPr>
                <w:rFonts w:cs="Calibri"/>
                <w:color w:val="000000"/>
                <w:kern w:val="0"/>
                <w:sz w:val="22"/>
                <w:lang w:bidi="ar"/>
              </w:rPr>
              <w:t>乙醇汽油、柴油</w:t>
            </w:r>
          </w:p>
        </w:tc>
        <w:tc>
          <w:tcPr>
            <w:tcW w:w="1701" w:type="dxa"/>
            <w:tcBorders>
              <w:top w:val="single" w:color="auto" w:sz="4" w:space="0"/>
              <w:left w:val="nil"/>
              <w:bottom w:val="single" w:color="auto" w:sz="4" w:space="0"/>
              <w:right w:val="single" w:color="auto" w:sz="4" w:space="0"/>
            </w:tcBorders>
            <w:vAlign w:val="center"/>
          </w:tcPr>
          <w:p w14:paraId="37524DCE">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加油站</w:t>
            </w:r>
          </w:p>
        </w:tc>
      </w:tr>
      <w:tr w14:paraId="63EB8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22" w:type="dxa"/>
            <w:tcBorders>
              <w:top w:val="single" w:color="auto" w:sz="4" w:space="0"/>
              <w:left w:val="single" w:color="auto" w:sz="4" w:space="0"/>
              <w:bottom w:val="single" w:color="auto" w:sz="4" w:space="0"/>
              <w:right w:val="single" w:color="auto" w:sz="4" w:space="0"/>
            </w:tcBorders>
            <w:vAlign w:val="center"/>
          </w:tcPr>
          <w:p w14:paraId="760F1FB3">
            <w:pPr>
              <w:jc w:val="center"/>
              <w:rPr>
                <w:rFonts w:asciiTheme="minorEastAsia" w:hAnsiTheme="minorEastAsia" w:eastAsiaTheme="minorEastAsia"/>
                <w:szCs w:val="21"/>
              </w:rPr>
            </w:pPr>
            <w:r>
              <w:rPr>
                <w:rFonts w:hint="eastAsia" w:asciiTheme="minorEastAsia" w:hAnsiTheme="minorEastAsia" w:eastAsiaTheme="minorEastAsia"/>
                <w:szCs w:val="21"/>
              </w:rPr>
              <w:t>10</w:t>
            </w:r>
          </w:p>
        </w:tc>
        <w:tc>
          <w:tcPr>
            <w:tcW w:w="3497" w:type="dxa"/>
            <w:tcBorders>
              <w:top w:val="single" w:color="auto" w:sz="4" w:space="0"/>
              <w:left w:val="nil"/>
              <w:bottom w:val="single" w:color="auto" w:sz="4" w:space="0"/>
              <w:right w:val="single" w:color="auto" w:sz="4" w:space="0"/>
            </w:tcBorders>
            <w:vAlign w:val="bottom"/>
          </w:tcPr>
          <w:p w14:paraId="2045E613">
            <w:pPr>
              <w:widowControl/>
              <w:jc w:val="left"/>
              <w:textAlignment w:val="bottom"/>
              <w:rPr>
                <w:rFonts w:asciiTheme="minorEastAsia" w:hAnsiTheme="minorEastAsia" w:eastAsiaTheme="minorEastAsia" w:cstheme="minorEastAsia"/>
                <w:szCs w:val="21"/>
              </w:rPr>
            </w:pPr>
            <w:r>
              <w:rPr>
                <w:rFonts w:cs="Calibri"/>
                <w:color w:val="000000"/>
                <w:kern w:val="0"/>
                <w:sz w:val="22"/>
                <w:lang w:bidi="ar"/>
              </w:rPr>
              <w:t>桦南县民主加油站</w:t>
            </w:r>
          </w:p>
        </w:tc>
        <w:tc>
          <w:tcPr>
            <w:tcW w:w="2693" w:type="dxa"/>
            <w:tcBorders>
              <w:top w:val="single" w:color="auto" w:sz="4" w:space="0"/>
              <w:left w:val="nil"/>
              <w:bottom w:val="single" w:color="auto" w:sz="4" w:space="0"/>
              <w:right w:val="single" w:color="auto" w:sz="4" w:space="0"/>
            </w:tcBorders>
            <w:vAlign w:val="bottom"/>
          </w:tcPr>
          <w:p w14:paraId="034A0A52">
            <w:pPr>
              <w:widowControl/>
              <w:jc w:val="left"/>
              <w:textAlignment w:val="bottom"/>
              <w:rPr>
                <w:rFonts w:asciiTheme="minorEastAsia" w:hAnsiTheme="minorEastAsia" w:eastAsiaTheme="minorEastAsia" w:cstheme="minorEastAsia"/>
                <w:color w:val="000000"/>
                <w:kern w:val="0"/>
                <w:szCs w:val="21"/>
              </w:rPr>
            </w:pPr>
            <w:r>
              <w:rPr>
                <w:rFonts w:cs="Calibri"/>
                <w:color w:val="000000"/>
                <w:kern w:val="0"/>
                <w:sz w:val="22"/>
                <w:lang w:bidi="ar"/>
              </w:rPr>
              <w:t>梨树乡永远村</w:t>
            </w:r>
          </w:p>
        </w:tc>
        <w:tc>
          <w:tcPr>
            <w:tcW w:w="5670" w:type="dxa"/>
            <w:tcBorders>
              <w:top w:val="single" w:color="auto" w:sz="4" w:space="0"/>
              <w:left w:val="nil"/>
              <w:bottom w:val="single" w:color="auto" w:sz="4" w:space="0"/>
              <w:right w:val="single" w:color="auto" w:sz="4" w:space="0"/>
            </w:tcBorders>
            <w:vAlign w:val="bottom"/>
          </w:tcPr>
          <w:p w14:paraId="435A7E82">
            <w:pPr>
              <w:widowControl/>
              <w:jc w:val="left"/>
              <w:textAlignment w:val="bottom"/>
              <w:rPr>
                <w:rFonts w:asciiTheme="minorEastAsia" w:hAnsiTheme="minorEastAsia" w:eastAsiaTheme="minorEastAsia" w:cstheme="minorEastAsia"/>
                <w:color w:val="000000"/>
                <w:kern w:val="0"/>
                <w:szCs w:val="21"/>
              </w:rPr>
            </w:pPr>
            <w:r>
              <w:rPr>
                <w:rFonts w:cs="Calibri"/>
                <w:color w:val="000000"/>
                <w:kern w:val="0"/>
                <w:sz w:val="22"/>
                <w:lang w:bidi="ar"/>
              </w:rPr>
              <w:t>乙醇汽油、柴油</w:t>
            </w:r>
          </w:p>
        </w:tc>
        <w:tc>
          <w:tcPr>
            <w:tcW w:w="1701" w:type="dxa"/>
            <w:tcBorders>
              <w:top w:val="single" w:color="auto" w:sz="4" w:space="0"/>
              <w:left w:val="nil"/>
              <w:bottom w:val="single" w:color="auto" w:sz="4" w:space="0"/>
              <w:right w:val="single" w:color="auto" w:sz="4" w:space="0"/>
            </w:tcBorders>
            <w:vAlign w:val="center"/>
          </w:tcPr>
          <w:p w14:paraId="3E5BD79C">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加油站</w:t>
            </w:r>
          </w:p>
        </w:tc>
      </w:tr>
      <w:tr w14:paraId="7A09C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2" w:type="dxa"/>
            <w:tcBorders>
              <w:top w:val="single" w:color="auto" w:sz="4" w:space="0"/>
              <w:left w:val="single" w:color="auto" w:sz="4" w:space="0"/>
              <w:bottom w:val="single" w:color="auto" w:sz="4" w:space="0"/>
              <w:right w:val="single" w:color="auto" w:sz="4" w:space="0"/>
            </w:tcBorders>
            <w:vAlign w:val="center"/>
          </w:tcPr>
          <w:p w14:paraId="766F9FF8">
            <w:pPr>
              <w:jc w:val="center"/>
              <w:rPr>
                <w:rFonts w:asciiTheme="minorEastAsia" w:hAnsiTheme="minorEastAsia" w:eastAsiaTheme="minorEastAsia"/>
                <w:szCs w:val="21"/>
              </w:rPr>
            </w:pPr>
            <w:r>
              <w:rPr>
                <w:rFonts w:hint="eastAsia" w:asciiTheme="minorEastAsia" w:hAnsiTheme="minorEastAsia" w:eastAsiaTheme="minorEastAsia"/>
                <w:szCs w:val="21"/>
              </w:rPr>
              <w:t>11</w:t>
            </w:r>
          </w:p>
        </w:tc>
        <w:tc>
          <w:tcPr>
            <w:tcW w:w="3497" w:type="dxa"/>
            <w:tcBorders>
              <w:top w:val="single" w:color="auto" w:sz="4" w:space="0"/>
              <w:left w:val="nil"/>
              <w:bottom w:val="single" w:color="auto" w:sz="4" w:space="0"/>
              <w:right w:val="single" w:color="auto" w:sz="4" w:space="0"/>
            </w:tcBorders>
            <w:vAlign w:val="bottom"/>
          </w:tcPr>
          <w:p w14:paraId="06C56E26">
            <w:pPr>
              <w:widowControl/>
              <w:jc w:val="left"/>
              <w:textAlignment w:val="bottom"/>
              <w:rPr>
                <w:rFonts w:asciiTheme="minorEastAsia" w:hAnsiTheme="minorEastAsia" w:eastAsiaTheme="minorEastAsia" w:cstheme="minorEastAsia"/>
                <w:szCs w:val="21"/>
              </w:rPr>
            </w:pPr>
            <w:r>
              <w:rPr>
                <w:rFonts w:cs="Calibri"/>
                <w:color w:val="000000"/>
                <w:kern w:val="0"/>
                <w:sz w:val="22"/>
                <w:lang w:bidi="ar"/>
              </w:rPr>
              <w:t>中国石油天然气股份有限公司黑龙江佳木斯桦南销售分公司前进加油站</w:t>
            </w:r>
          </w:p>
        </w:tc>
        <w:tc>
          <w:tcPr>
            <w:tcW w:w="2693" w:type="dxa"/>
            <w:tcBorders>
              <w:top w:val="single" w:color="auto" w:sz="4" w:space="0"/>
              <w:left w:val="nil"/>
              <w:bottom w:val="single" w:color="auto" w:sz="4" w:space="0"/>
              <w:right w:val="single" w:color="auto" w:sz="4" w:space="0"/>
            </w:tcBorders>
            <w:vAlign w:val="bottom"/>
          </w:tcPr>
          <w:p w14:paraId="6281CEA4">
            <w:pPr>
              <w:widowControl/>
              <w:jc w:val="left"/>
              <w:textAlignment w:val="bottom"/>
              <w:rPr>
                <w:rFonts w:asciiTheme="minorEastAsia" w:hAnsiTheme="minorEastAsia" w:eastAsiaTheme="minorEastAsia" w:cstheme="minorEastAsia"/>
                <w:color w:val="000000"/>
                <w:kern w:val="0"/>
                <w:szCs w:val="21"/>
              </w:rPr>
            </w:pPr>
            <w:r>
              <w:rPr>
                <w:rFonts w:cs="Calibri"/>
                <w:color w:val="000000"/>
                <w:kern w:val="0"/>
                <w:sz w:val="22"/>
                <w:lang w:bidi="ar"/>
              </w:rPr>
              <w:t>奋斗街</w:t>
            </w:r>
          </w:p>
        </w:tc>
        <w:tc>
          <w:tcPr>
            <w:tcW w:w="5670" w:type="dxa"/>
            <w:tcBorders>
              <w:top w:val="single" w:color="auto" w:sz="4" w:space="0"/>
              <w:left w:val="nil"/>
              <w:bottom w:val="single" w:color="auto" w:sz="4" w:space="0"/>
              <w:right w:val="single" w:color="auto" w:sz="4" w:space="0"/>
            </w:tcBorders>
            <w:vAlign w:val="bottom"/>
          </w:tcPr>
          <w:p w14:paraId="7248D21A">
            <w:pPr>
              <w:widowControl/>
              <w:jc w:val="left"/>
              <w:textAlignment w:val="bottom"/>
              <w:rPr>
                <w:rFonts w:asciiTheme="minorEastAsia" w:hAnsiTheme="minorEastAsia" w:eastAsiaTheme="minorEastAsia" w:cstheme="minorEastAsia"/>
                <w:color w:val="000000"/>
                <w:kern w:val="0"/>
                <w:szCs w:val="21"/>
              </w:rPr>
            </w:pPr>
            <w:r>
              <w:rPr>
                <w:rFonts w:cs="Calibri"/>
                <w:color w:val="000000"/>
                <w:kern w:val="0"/>
                <w:sz w:val="22"/>
                <w:lang w:bidi="ar"/>
              </w:rPr>
              <w:t>乙醇汽油、柴油</w:t>
            </w:r>
          </w:p>
        </w:tc>
        <w:tc>
          <w:tcPr>
            <w:tcW w:w="1701" w:type="dxa"/>
            <w:tcBorders>
              <w:top w:val="single" w:color="auto" w:sz="4" w:space="0"/>
              <w:left w:val="nil"/>
              <w:bottom w:val="single" w:color="auto" w:sz="4" w:space="0"/>
              <w:right w:val="single" w:color="auto" w:sz="4" w:space="0"/>
            </w:tcBorders>
            <w:vAlign w:val="center"/>
          </w:tcPr>
          <w:p w14:paraId="061F5382">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加油站</w:t>
            </w:r>
          </w:p>
        </w:tc>
      </w:tr>
      <w:tr w14:paraId="2F97B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22" w:type="dxa"/>
            <w:tcBorders>
              <w:top w:val="single" w:color="auto" w:sz="4" w:space="0"/>
              <w:left w:val="single" w:color="auto" w:sz="4" w:space="0"/>
              <w:bottom w:val="single" w:color="auto" w:sz="4" w:space="0"/>
              <w:right w:val="single" w:color="auto" w:sz="4" w:space="0"/>
            </w:tcBorders>
            <w:vAlign w:val="center"/>
          </w:tcPr>
          <w:p w14:paraId="0E1FEF1B">
            <w:pPr>
              <w:jc w:val="center"/>
              <w:rPr>
                <w:rFonts w:asciiTheme="minorEastAsia" w:hAnsiTheme="minorEastAsia" w:eastAsiaTheme="minorEastAsia"/>
                <w:szCs w:val="21"/>
              </w:rPr>
            </w:pPr>
            <w:r>
              <w:rPr>
                <w:rFonts w:hint="eastAsia" w:asciiTheme="minorEastAsia" w:hAnsiTheme="minorEastAsia" w:eastAsiaTheme="minorEastAsia"/>
                <w:szCs w:val="21"/>
              </w:rPr>
              <w:t>12</w:t>
            </w:r>
          </w:p>
        </w:tc>
        <w:tc>
          <w:tcPr>
            <w:tcW w:w="3497" w:type="dxa"/>
            <w:tcBorders>
              <w:top w:val="single" w:color="auto" w:sz="4" w:space="0"/>
              <w:left w:val="nil"/>
              <w:bottom w:val="single" w:color="auto" w:sz="4" w:space="0"/>
              <w:right w:val="single" w:color="auto" w:sz="4" w:space="0"/>
            </w:tcBorders>
            <w:vAlign w:val="bottom"/>
          </w:tcPr>
          <w:p w14:paraId="3D3C4050">
            <w:pPr>
              <w:widowControl/>
              <w:jc w:val="left"/>
              <w:textAlignment w:val="bottom"/>
              <w:rPr>
                <w:rFonts w:asciiTheme="minorEastAsia" w:hAnsiTheme="minorEastAsia" w:eastAsiaTheme="minorEastAsia" w:cstheme="minorEastAsia"/>
                <w:szCs w:val="21"/>
              </w:rPr>
            </w:pPr>
            <w:r>
              <w:rPr>
                <w:rFonts w:cs="Calibri"/>
                <w:color w:val="000000"/>
                <w:kern w:val="0"/>
                <w:sz w:val="22"/>
                <w:lang w:bidi="ar"/>
              </w:rPr>
              <w:t>黑龙江省桦南林业局有限公司第二加油站</w:t>
            </w:r>
          </w:p>
        </w:tc>
        <w:tc>
          <w:tcPr>
            <w:tcW w:w="2693" w:type="dxa"/>
            <w:tcBorders>
              <w:top w:val="single" w:color="auto" w:sz="4" w:space="0"/>
              <w:left w:val="nil"/>
              <w:bottom w:val="single" w:color="auto" w:sz="4" w:space="0"/>
              <w:right w:val="single" w:color="auto" w:sz="4" w:space="0"/>
            </w:tcBorders>
            <w:vAlign w:val="bottom"/>
          </w:tcPr>
          <w:p w14:paraId="1D88A2EF">
            <w:pPr>
              <w:widowControl/>
              <w:jc w:val="left"/>
              <w:textAlignment w:val="bottom"/>
              <w:rPr>
                <w:rFonts w:asciiTheme="minorEastAsia" w:hAnsiTheme="minorEastAsia" w:eastAsiaTheme="minorEastAsia" w:cstheme="minorEastAsia"/>
                <w:color w:val="000000"/>
                <w:kern w:val="0"/>
                <w:szCs w:val="21"/>
              </w:rPr>
            </w:pPr>
            <w:r>
              <w:rPr>
                <w:rFonts w:cs="Calibri"/>
                <w:color w:val="000000"/>
                <w:kern w:val="0"/>
                <w:sz w:val="22"/>
                <w:lang w:bidi="ar"/>
              </w:rPr>
              <w:t>桦南林业局所在地</w:t>
            </w:r>
          </w:p>
        </w:tc>
        <w:tc>
          <w:tcPr>
            <w:tcW w:w="5670" w:type="dxa"/>
            <w:tcBorders>
              <w:top w:val="single" w:color="auto" w:sz="4" w:space="0"/>
              <w:left w:val="nil"/>
              <w:bottom w:val="single" w:color="auto" w:sz="4" w:space="0"/>
              <w:right w:val="single" w:color="auto" w:sz="4" w:space="0"/>
            </w:tcBorders>
            <w:vAlign w:val="bottom"/>
          </w:tcPr>
          <w:p w14:paraId="6A67A294">
            <w:pPr>
              <w:widowControl/>
              <w:jc w:val="left"/>
              <w:textAlignment w:val="bottom"/>
              <w:rPr>
                <w:rFonts w:asciiTheme="minorEastAsia" w:hAnsiTheme="minorEastAsia" w:eastAsiaTheme="minorEastAsia" w:cstheme="minorEastAsia"/>
                <w:color w:val="000000"/>
                <w:kern w:val="0"/>
                <w:szCs w:val="21"/>
              </w:rPr>
            </w:pPr>
            <w:r>
              <w:rPr>
                <w:rFonts w:cs="Calibri"/>
                <w:color w:val="000000"/>
                <w:kern w:val="0"/>
                <w:sz w:val="22"/>
                <w:lang w:bidi="ar"/>
              </w:rPr>
              <w:t>乙醇汽油、柴油</w:t>
            </w:r>
          </w:p>
        </w:tc>
        <w:tc>
          <w:tcPr>
            <w:tcW w:w="1701" w:type="dxa"/>
            <w:tcBorders>
              <w:top w:val="single" w:color="auto" w:sz="4" w:space="0"/>
              <w:left w:val="nil"/>
              <w:bottom w:val="single" w:color="auto" w:sz="4" w:space="0"/>
              <w:right w:val="single" w:color="auto" w:sz="4" w:space="0"/>
            </w:tcBorders>
            <w:vAlign w:val="center"/>
          </w:tcPr>
          <w:p w14:paraId="760D3CA4">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加油站</w:t>
            </w:r>
          </w:p>
        </w:tc>
      </w:tr>
      <w:tr w14:paraId="24C2A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22" w:type="dxa"/>
            <w:tcBorders>
              <w:top w:val="single" w:color="auto" w:sz="4" w:space="0"/>
              <w:left w:val="single" w:color="auto" w:sz="4" w:space="0"/>
              <w:bottom w:val="single" w:color="auto" w:sz="4" w:space="0"/>
              <w:right w:val="single" w:color="auto" w:sz="4" w:space="0"/>
            </w:tcBorders>
            <w:vAlign w:val="center"/>
          </w:tcPr>
          <w:p w14:paraId="72F78882">
            <w:pPr>
              <w:jc w:val="center"/>
              <w:rPr>
                <w:rFonts w:asciiTheme="minorEastAsia" w:hAnsiTheme="minorEastAsia" w:eastAsiaTheme="minorEastAsia"/>
                <w:szCs w:val="21"/>
              </w:rPr>
            </w:pPr>
            <w:r>
              <w:rPr>
                <w:rFonts w:hint="eastAsia" w:asciiTheme="minorEastAsia" w:hAnsiTheme="minorEastAsia" w:eastAsiaTheme="minorEastAsia"/>
                <w:szCs w:val="21"/>
              </w:rPr>
              <w:t>13</w:t>
            </w:r>
          </w:p>
        </w:tc>
        <w:tc>
          <w:tcPr>
            <w:tcW w:w="3497" w:type="dxa"/>
            <w:tcBorders>
              <w:top w:val="single" w:color="auto" w:sz="4" w:space="0"/>
              <w:left w:val="nil"/>
              <w:bottom w:val="single" w:color="auto" w:sz="4" w:space="0"/>
              <w:right w:val="single" w:color="auto" w:sz="4" w:space="0"/>
            </w:tcBorders>
            <w:vAlign w:val="bottom"/>
          </w:tcPr>
          <w:p w14:paraId="1332E671">
            <w:pPr>
              <w:widowControl/>
              <w:jc w:val="left"/>
              <w:textAlignment w:val="bottom"/>
              <w:rPr>
                <w:rFonts w:asciiTheme="minorEastAsia" w:hAnsiTheme="minorEastAsia" w:eastAsiaTheme="minorEastAsia" w:cstheme="minorEastAsia"/>
                <w:szCs w:val="21"/>
              </w:rPr>
            </w:pPr>
            <w:r>
              <w:rPr>
                <w:rFonts w:cs="Calibri"/>
                <w:color w:val="000000"/>
                <w:kern w:val="0"/>
                <w:sz w:val="22"/>
                <w:lang w:bidi="ar"/>
              </w:rPr>
              <w:t>桦南县金沙农机加油站</w:t>
            </w:r>
          </w:p>
        </w:tc>
        <w:tc>
          <w:tcPr>
            <w:tcW w:w="2693" w:type="dxa"/>
            <w:tcBorders>
              <w:top w:val="single" w:color="auto" w:sz="4" w:space="0"/>
              <w:left w:val="nil"/>
              <w:bottom w:val="single" w:color="auto" w:sz="4" w:space="0"/>
              <w:right w:val="single" w:color="auto" w:sz="4" w:space="0"/>
            </w:tcBorders>
            <w:vAlign w:val="bottom"/>
          </w:tcPr>
          <w:p w14:paraId="6ACB5774">
            <w:pPr>
              <w:widowControl/>
              <w:jc w:val="left"/>
              <w:textAlignment w:val="bottom"/>
              <w:rPr>
                <w:rFonts w:asciiTheme="minorEastAsia" w:hAnsiTheme="minorEastAsia" w:eastAsiaTheme="minorEastAsia" w:cstheme="minorEastAsia"/>
                <w:color w:val="000000"/>
                <w:kern w:val="0"/>
                <w:szCs w:val="21"/>
              </w:rPr>
            </w:pPr>
            <w:r>
              <w:rPr>
                <w:rFonts w:cs="Calibri"/>
                <w:color w:val="000000"/>
                <w:kern w:val="0"/>
                <w:sz w:val="22"/>
                <w:lang w:bidi="ar"/>
              </w:rPr>
              <w:t>金沙乡红丰村</w:t>
            </w:r>
          </w:p>
        </w:tc>
        <w:tc>
          <w:tcPr>
            <w:tcW w:w="5670" w:type="dxa"/>
            <w:tcBorders>
              <w:top w:val="single" w:color="auto" w:sz="4" w:space="0"/>
              <w:left w:val="nil"/>
              <w:bottom w:val="single" w:color="auto" w:sz="4" w:space="0"/>
              <w:right w:val="single" w:color="auto" w:sz="4" w:space="0"/>
            </w:tcBorders>
            <w:vAlign w:val="bottom"/>
          </w:tcPr>
          <w:p w14:paraId="149CF770">
            <w:pPr>
              <w:widowControl/>
              <w:jc w:val="left"/>
              <w:textAlignment w:val="bottom"/>
              <w:rPr>
                <w:rFonts w:asciiTheme="minorEastAsia" w:hAnsiTheme="minorEastAsia" w:eastAsiaTheme="minorEastAsia" w:cstheme="minorEastAsia"/>
                <w:color w:val="000000"/>
                <w:kern w:val="0"/>
                <w:szCs w:val="21"/>
              </w:rPr>
            </w:pPr>
            <w:r>
              <w:rPr>
                <w:rFonts w:cs="Calibri"/>
                <w:color w:val="000000"/>
                <w:kern w:val="0"/>
                <w:sz w:val="22"/>
                <w:lang w:bidi="ar"/>
              </w:rPr>
              <w:t>乙醇汽油、柴油</w:t>
            </w:r>
          </w:p>
        </w:tc>
        <w:tc>
          <w:tcPr>
            <w:tcW w:w="1701" w:type="dxa"/>
            <w:tcBorders>
              <w:top w:val="single" w:color="auto" w:sz="4" w:space="0"/>
              <w:left w:val="nil"/>
              <w:bottom w:val="single" w:color="auto" w:sz="4" w:space="0"/>
              <w:right w:val="single" w:color="auto" w:sz="4" w:space="0"/>
            </w:tcBorders>
            <w:vAlign w:val="center"/>
          </w:tcPr>
          <w:p w14:paraId="3A326A64">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加油站</w:t>
            </w:r>
          </w:p>
        </w:tc>
      </w:tr>
      <w:tr w14:paraId="08F4A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22" w:type="dxa"/>
            <w:tcBorders>
              <w:top w:val="single" w:color="auto" w:sz="4" w:space="0"/>
              <w:left w:val="single" w:color="auto" w:sz="4" w:space="0"/>
              <w:bottom w:val="single" w:color="auto" w:sz="4" w:space="0"/>
              <w:right w:val="single" w:color="auto" w:sz="4" w:space="0"/>
            </w:tcBorders>
            <w:vAlign w:val="center"/>
          </w:tcPr>
          <w:p w14:paraId="0260E578">
            <w:pPr>
              <w:jc w:val="center"/>
              <w:rPr>
                <w:rFonts w:asciiTheme="minorEastAsia" w:hAnsiTheme="minorEastAsia" w:eastAsiaTheme="minorEastAsia"/>
                <w:szCs w:val="21"/>
              </w:rPr>
            </w:pPr>
            <w:r>
              <w:rPr>
                <w:rFonts w:hint="eastAsia" w:asciiTheme="minorEastAsia" w:hAnsiTheme="minorEastAsia" w:eastAsiaTheme="minorEastAsia"/>
                <w:szCs w:val="21"/>
              </w:rPr>
              <w:t>14</w:t>
            </w:r>
          </w:p>
        </w:tc>
        <w:tc>
          <w:tcPr>
            <w:tcW w:w="3497" w:type="dxa"/>
            <w:tcBorders>
              <w:top w:val="single" w:color="auto" w:sz="4" w:space="0"/>
              <w:left w:val="nil"/>
              <w:bottom w:val="single" w:color="auto" w:sz="4" w:space="0"/>
              <w:right w:val="single" w:color="auto" w:sz="4" w:space="0"/>
            </w:tcBorders>
            <w:vAlign w:val="bottom"/>
          </w:tcPr>
          <w:p w14:paraId="1E60A1C7">
            <w:pPr>
              <w:widowControl/>
              <w:jc w:val="left"/>
              <w:textAlignment w:val="bottom"/>
              <w:rPr>
                <w:rFonts w:asciiTheme="minorEastAsia" w:hAnsiTheme="minorEastAsia" w:eastAsiaTheme="minorEastAsia" w:cstheme="minorEastAsia"/>
                <w:szCs w:val="21"/>
              </w:rPr>
            </w:pPr>
            <w:r>
              <w:rPr>
                <w:rFonts w:cs="Calibri"/>
                <w:color w:val="000000"/>
                <w:kern w:val="0"/>
                <w:sz w:val="22"/>
                <w:lang w:bidi="ar"/>
              </w:rPr>
              <w:t>桦南县土龙山镇农机石油供应站</w:t>
            </w:r>
          </w:p>
        </w:tc>
        <w:tc>
          <w:tcPr>
            <w:tcW w:w="2693" w:type="dxa"/>
            <w:tcBorders>
              <w:top w:val="single" w:color="auto" w:sz="4" w:space="0"/>
              <w:left w:val="nil"/>
              <w:bottom w:val="single" w:color="auto" w:sz="4" w:space="0"/>
              <w:right w:val="single" w:color="auto" w:sz="4" w:space="0"/>
            </w:tcBorders>
            <w:vAlign w:val="bottom"/>
          </w:tcPr>
          <w:p w14:paraId="70EFAD87">
            <w:pPr>
              <w:widowControl/>
              <w:jc w:val="left"/>
              <w:textAlignment w:val="bottom"/>
              <w:rPr>
                <w:rFonts w:asciiTheme="minorEastAsia" w:hAnsiTheme="minorEastAsia" w:eastAsiaTheme="minorEastAsia" w:cstheme="minorEastAsia"/>
                <w:szCs w:val="21"/>
              </w:rPr>
            </w:pPr>
            <w:r>
              <w:rPr>
                <w:rFonts w:cs="Calibri"/>
                <w:color w:val="000000"/>
                <w:kern w:val="0"/>
                <w:sz w:val="22"/>
                <w:lang w:bidi="ar"/>
              </w:rPr>
              <w:t>土龙山镇</w:t>
            </w:r>
          </w:p>
        </w:tc>
        <w:tc>
          <w:tcPr>
            <w:tcW w:w="5670" w:type="dxa"/>
            <w:tcBorders>
              <w:top w:val="single" w:color="auto" w:sz="4" w:space="0"/>
              <w:left w:val="nil"/>
              <w:bottom w:val="single" w:color="auto" w:sz="4" w:space="0"/>
              <w:right w:val="single" w:color="auto" w:sz="4" w:space="0"/>
            </w:tcBorders>
            <w:vAlign w:val="bottom"/>
          </w:tcPr>
          <w:p w14:paraId="7450DFC8">
            <w:pPr>
              <w:widowControl/>
              <w:jc w:val="left"/>
              <w:textAlignment w:val="bottom"/>
              <w:rPr>
                <w:rFonts w:asciiTheme="minorEastAsia" w:hAnsiTheme="minorEastAsia" w:eastAsiaTheme="minorEastAsia" w:cstheme="minorEastAsia"/>
                <w:color w:val="000000"/>
                <w:kern w:val="0"/>
                <w:szCs w:val="21"/>
              </w:rPr>
            </w:pPr>
            <w:r>
              <w:rPr>
                <w:rFonts w:cs="Calibri"/>
                <w:color w:val="000000"/>
                <w:kern w:val="0"/>
                <w:sz w:val="22"/>
                <w:lang w:bidi="ar"/>
              </w:rPr>
              <w:t>乙醇汽油、柴油</w:t>
            </w:r>
          </w:p>
        </w:tc>
        <w:tc>
          <w:tcPr>
            <w:tcW w:w="1701" w:type="dxa"/>
            <w:tcBorders>
              <w:top w:val="single" w:color="auto" w:sz="4" w:space="0"/>
              <w:left w:val="nil"/>
              <w:bottom w:val="single" w:color="auto" w:sz="4" w:space="0"/>
              <w:right w:val="single" w:color="auto" w:sz="4" w:space="0"/>
            </w:tcBorders>
            <w:vAlign w:val="center"/>
          </w:tcPr>
          <w:p w14:paraId="5F11D61B">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加油站</w:t>
            </w:r>
          </w:p>
        </w:tc>
      </w:tr>
      <w:tr w14:paraId="40FFA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22" w:type="dxa"/>
            <w:tcBorders>
              <w:top w:val="single" w:color="auto" w:sz="4" w:space="0"/>
              <w:left w:val="single" w:color="auto" w:sz="4" w:space="0"/>
              <w:bottom w:val="single" w:color="auto" w:sz="4" w:space="0"/>
              <w:right w:val="single" w:color="auto" w:sz="4" w:space="0"/>
            </w:tcBorders>
            <w:vAlign w:val="center"/>
          </w:tcPr>
          <w:p w14:paraId="51315337">
            <w:pPr>
              <w:jc w:val="center"/>
              <w:rPr>
                <w:rFonts w:asciiTheme="minorEastAsia" w:hAnsiTheme="minorEastAsia" w:eastAsiaTheme="minorEastAsia"/>
                <w:szCs w:val="21"/>
              </w:rPr>
            </w:pPr>
            <w:r>
              <w:rPr>
                <w:rFonts w:hint="eastAsia" w:asciiTheme="minorEastAsia" w:hAnsiTheme="minorEastAsia" w:eastAsiaTheme="minorEastAsia"/>
                <w:szCs w:val="21"/>
              </w:rPr>
              <w:t>15</w:t>
            </w:r>
          </w:p>
        </w:tc>
        <w:tc>
          <w:tcPr>
            <w:tcW w:w="3497" w:type="dxa"/>
            <w:tcBorders>
              <w:top w:val="single" w:color="auto" w:sz="4" w:space="0"/>
              <w:left w:val="nil"/>
              <w:bottom w:val="single" w:color="auto" w:sz="4" w:space="0"/>
              <w:right w:val="single" w:color="auto" w:sz="4" w:space="0"/>
            </w:tcBorders>
            <w:vAlign w:val="bottom"/>
          </w:tcPr>
          <w:p w14:paraId="5F4D1386">
            <w:pPr>
              <w:widowControl/>
              <w:jc w:val="left"/>
              <w:textAlignment w:val="bottom"/>
              <w:rPr>
                <w:rFonts w:asciiTheme="minorEastAsia" w:hAnsiTheme="minorEastAsia" w:eastAsiaTheme="minorEastAsia" w:cstheme="minorEastAsia"/>
                <w:szCs w:val="21"/>
              </w:rPr>
            </w:pPr>
            <w:r>
              <w:rPr>
                <w:rFonts w:cs="Calibri"/>
                <w:color w:val="000000"/>
                <w:kern w:val="0"/>
                <w:sz w:val="22"/>
                <w:lang w:bidi="ar"/>
              </w:rPr>
              <w:t>桦南县桦石加油站</w:t>
            </w:r>
          </w:p>
        </w:tc>
        <w:tc>
          <w:tcPr>
            <w:tcW w:w="2693" w:type="dxa"/>
            <w:tcBorders>
              <w:top w:val="single" w:color="auto" w:sz="4" w:space="0"/>
              <w:left w:val="nil"/>
              <w:bottom w:val="single" w:color="auto" w:sz="4" w:space="0"/>
              <w:right w:val="single" w:color="auto" w:sz="4" w:space="0"/>
            </w:tcBorders>
            <w:vAlign w:val="bottom"/>
          </w:tcPr>
          <w:p w14:paraId="7DB4AF1B">
            <w:pPr>
              <w:widowControl/>
              <w:jc w:val="left"/>
              <w:textAlignment w:val="bottom"/>
              <w:rPr>
                <w:rFonts w:asciiTheme="minorEastAsia" w:hAnsiTheme="minorEastAsia" w:eastAsiaTheme="minorEastAsia" w:cstheme="minorEastAsia"/>
                <w:color w:val="000000"/>
                <w:szCs w:val="21"/>
              </w:rPr>
            </w:pPr>
            <w:r>
              <w:rPr>
                <w:rFonts w:cs="Calibri"/>
                <w:color w:val="000000"/>
                <w:kern w:val="0"/>
                <w:sz w:val="22"/>
                <w:lang w:bidi="ar"/>
              </w:rPr>
              <w:t>七道沟村</w:t>
            </w:r>
          </w:p>
        </w:tc>
        <w:tc>
          <w:tcPr>
            <w:tcW w:w="5670" w:type="dxa"/>
            <w:tcBorders>
              <w:top w:val="single" w:color="auto" w:sz="4" w:space="0"/>
              <w:left w:val="nil"/>
              <w:bottom w:val="single" w:color="auto" w:sz="4" w:space="0"/>
              <w:right w:val="single" w:color="auto" w:sz="4" w:space="0"/>
            </w:tcBorders>
            <w:vAlign w:val="bottom"/>
          </w:tcPr>
          <w:p w14:paraId="4EF466D9">
            <w:pPr>
              <w:widowControl/>
              <w:jc w:val="left"/>
              <w:textAlignment w:val="bottom"/>
              <w:rPr>
                <w:rFonts w:asciiTheme="minorEastAsia" w:hAnsiTheme="minorEastAsia" w:eastAsiaTheme="minorEastAsia" w:cstheme="minorEastAsia"/>
                <w:color w:val="000000"/>
                <w:kern w:val="0"/>
                <w:szCs w:val="21"/>
              </w:rPr>
            </w:pPr>
            <w:r>
              <w:rPr>
                <w:rFonts w:cs="Calibri"/>
                <w:color w:val="000000"/>
                <w:kern w:val="0"/>
                <w:sz w:val="22"/>
                <w:lang w:bidi="ar"/>
              </w:rPr>
              <w:t>乙醇汽油、柴油</w:t>
            </w:r>
          </w:p>
        </w:tc>
        <w:tc>
          <w:tcPr>
            <w:tcW w:w="1701" w:type="dxa"/>
            <w:tcBorders>
              <w:top w:val="single" w:color="auto" w:sz="4" w:space="0"/>
              <w:left w:val="nil"/>
              <w:bottom w:val="single" w:color="auto" w:sz="4" w:space="0"/>
              <w:right w:val="single" w:color="auto" w:sz="4" w:space="0"/>
            </w:tcBorders>
            <w:vAlign w:val="center"/>
          </w:tcPr>
          <w:p w14:paraId="294DC373">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加油站</w:t>
            </w:r>
          </w:p>
        </w:tc>
      </w:tr>
      <w:tr w14:paraId="39EAE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22" w:type="dxa"/>
            <w:tcBorders>
              <w:top w:val="single" w:color="auto" w:sz="4" w:space="0"/>
              <w:left w:val="single" w:color="auto" w:sz="4" w:space="0"/>
              <w:bottom w:val="single" w:color="auto" w:sz="4" w:space="0"/>
              <w:right w:val="single" w:color="auto" w:sz="4" w:space="0"/>
            </w:tcBorders>
            <w:vAlign w:val="center"/>
          </w:tcPr>
          <w:p w14:paraId="4E1E74F1">
            <w:pPr>
              <w:jc w:val="center"/>
              <w:rPr>
                <w:rFonts w:asciiTheme="minorEastAsia" w:hAnsiTheme="minorEastAsia" w:eastAsiaTheme="minorEastAsia"/>
                <w:szCs w:val="21"/>
              </w:rPr>
            </w:pPr>
            <w:r>
              <w:rPr>
                <w:rFonts w:hint="eastAsia" w:asciiTheme="minorEastAsia" w:hAnsiTheme="minorEastAsia" w:eastAsiaTheme="minorEastAsia"/>
                <w:szCs w:val="21"/>
              </w:rPr>
              <w:t>16</w:t>
            </w:r>
          </w:p>
        </w:tc>
        <w:tc>
          <w:tcPr>
            <w:tcW w:w="3497" w:type="dxa"/>
            <w:tcBorders>
              <w:top w:val="single" w:color="auto" w:sz="4" w:space="0"/>
              <w:left w:val="nil"/>
              <w:bottom w:val="single" w:color="auto" w:sz="4" w:space="0"/>
              <w:right w:val="single" w:color="auto" w:sz="4" w:space="0"/>
            </w:tcBorders>
            <w:vAlign w:val="bottom"/>
          </w:tcPr>
          <w:p w14:paraId="7B823254">
            <w:pPr>
              <w:widowControl/>
              <w:jc w:val="left"/>
              <w:textAlignment w:val="bottom"/>
              <w:rPr>
                <w:rFonts w:asciiTheme="minorEastAsia" w:hAnsiTheme="minorEastAsia" w:eastAsiaTheme="minorEastAsia" w:cstheme="minorEastAsia"/>
                <w:szCs w:val="21"/>
              </w:rPr>
            </w:pPr>
            <w:r>
              <w:rPr>
                <w:rFonts w:cs="Calibri"/>
                <w:color w:val="000000"/>
                <w:kern w:val="0"/>
                <w:sz w:val="22"/>
                <w:lang w:bidi="ar"/>
              </w:rPr>
              <w:t>桦南县龙湖加油站</w:t>
            </w:r>
          </w:p>
        </w:tc>
        <w:tc>
          <w:tcPr>
            <w:tcW w:w="2693" w:type="dxa"/>
            <w:tcBorders>
              <w:top w:val="single" w:color="auto" w:sz="4" w:space="0"/>
              <w:left w:val="nil"/>
              <w:bottom w:val="single" w:color="auto" w:sz="4" w:space="0"/>
              <w:right w:val="single" w:color="auto" w:sz="4" w:space="0"/>
            </w:tcBorders>
            <w:vAlign w:val="bottom"/>
          </w:tcPr>
          <w:p w14:paraId="6B53FAEE">
            <w:pPr>
              <w:widowControl/>
              <w:jc w:val="left"/>
              <w:textAlignment w:val="bottom"/>
              <w:rPr>
                <w:rFonts w:asciiTheme="minorEastAsia" w:hAnsiTheme="minorEastAsia" w:eastAsiaTheme="minorEastAsia" w:cstheme="minorEastAsia"/>
                <w:color w:val="000000"/>
                <w:szCs w:val="21"/>
              </w:rPr>
            </w:pPr>
            <w:r>
              <w:rPr>
                <w:rFonts w:cs="Calibri"/>
                <w:color w:val="000000"/>
                <w:kern w:val="0"/>
                <w:sz w:val="22"/>
                <w:lang w:bidi="ar"/>
              </w:rPr>
              <w:t>明义乡双胜村</w:t>
            </w:r>
          </w:p>
        </w:tc>
        <w:tc>
          <w:tcPr>
            <w:tcW w:w="5670" w:type="dxa"/>
            <w:tcBorders>
              <w:top w:val="single" w:color="auto" w:sz="4" w:space="0"/>
              <w:left w:val="nil"/>
              <w:bottom w:val="single" w:color="auto" w:sz="4" w:space="0"/>
              <w:right w:val="single" w:color="auto" w:sz="4" w:space="0"/>
            </w:tcBorders>
            <w:vAlign w:val="bottom"/>
          </w:tcPr>
          <w:p w14:paraId="6CE2C58C">
            <w:pPr>
              <w:widowControl/>
              <w:jc w:val="left"/>
              <w:textAlignment w:val="bottom"/>
              <w:rPr>
                <w:rFonts w:asciiTheme="minorEastAsia" w:hAnsiTheme="minorEastAsia" w:eastAsiaTheme="minorEastAsia" w:cstheme="minorEastAsia"/>
                <w:color w:val="000000"/>
                <w:kern w:val="0"/>
                <w:szCs w:val="21"/>
              </w:rPr>
            </w:pPr>
            <w:r>
              <w:rPr>
                <w:rFonts w:cs="Calibri"/>
                <w:color w:val="000000"/>
                <w:kern w:val="0"/>
                <w:sz w:val="22"/>
                <w:lang w:bidi="ar"/>
              </w:rPr>
              <w:t>乙醇汽油、柴油</w:t>
            </w:r>
          </w:p>
        </w:tc>
        <w:tc>
          <w:tcPr>
            <w:tcW w:w="1701" w:type="dxa"/>
            <w:tcBorders>
              <w:top w:val="single" w:color="auto" w:sz="4" w:space="0"/>
              <w:left w:val="nil"/>
              <w:bottom w:val="single" w:color="auto" w:sz="4" w:space="0"/>
              <w:right w:val="single" w:color="auto" w:sz="4" w:space="0"/>
            </w:tcBorders>
            <w:vAlign w:val="center"/>
          </w:tcPr>
          <w:p w14:paraId="168A27A3">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加油站</w:t>
            </w:r>
          </w:p>
        </w:tc>
      </w:tr>
      <w:tr w14:paraId="52968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22" w:type="dxa"/>
            <w:tcBorders>
              <w:top w:val="single" w:color="auto" w:sz="4" w:space="0"/>
              <w:left w:val="single" w:color="auto" w:sz="4" w:space="0"/>
              <w:bottom w:val="single" w:color="auto" w:sz="4" w:space="0"/>
              <w:right w:val="single" w:color="auto" w:sz="4" w:space="0"/>
            </w:tcBorders>
            <w:vAlign w:val="center"/>
          </w:tcPr>
          <w:p w14:paraId="321A3807">
            <w:pPr>
              <w:jc w:val="center"/>
              <w:rPr>
                <w:rFonts w:asciiTheme="minorEastAsia" w:hAnsiTheme="minorEastAsia" w:eastAsiaTheme="minorEastAsia"/>
                <w:szCs w:val="21"/>
              </w:rPr>
            </w:pPr>
            <w:r>
              <w:rPr>
                <w:rFonts w:hint="eastAsia" w:asciiTheme="minorEastAsia" w:hAnsiTheme="minorEastAsia" w:eastAsiaTheme="minorEastAsia"/>
                <w:szCs w:val="21"/>
              </w:rPr>
              <w:t>17</w:t>
            </w:r>
          </w:p>
        </w:tc>
        <w:tc>
          <w:tcPr>
            <w:tcW w:w="3497" w:type="dxa"/>
            <w:tcBorders>
              <w:top w:val="single" w:color="auto" w:sz="4" w:space="0"/>
              <w:left w:val="nil"/>
              <w:bottom w:val="single" w:color="auto" w:sz="4" w:space="0"/>
              <w:right w:val="single" w:color="auto" w:sz="4" w:space="0"/>
            </w:tcBorders>
            <w:vAlign w:val="bottom"/>
          </w:tcPr>
          <w:p w14:paraId="13CE3420">
            <w:pPr>
              <w:widowControl/>
              <w:jc w:val="left"/>
              <w:textAlignment w:val="bottom"/>
              <w:rPr>
                <w:rFonts w:asciiTheme="minorEastAsia" w:hAnsiTheme="minorEastAsia" w:eastAsiaTheme="minorEastAsia" w:cstheme="minorEastAsia"/>
                <w:szCs w:val="21"/>
              </w:rPr>
            </w:pPr>
            <w:r>
              <w:rPr>
                <w:rFonts w:cs="Calibri"/>
                <w:color w:val="000000"/>
                <w:kern w:val="0"/>
                <w:sz w:val="22"/>
                <w:lang w:bidi="ar"/>
              </w:rPr>
              <w:t>桦南县庆发农机加油站</w:t>
            </w:r>
          </w:p>
        </w:tc>
        <w:tc>
          <w:tcPr>
            <w:tcW w:w="2693" w:type="dxa"/>
            <w:tcBorders>
              <w:top w:val="single" w:color="auto" w:sz="4" w:space="0"/>
              <w:left w:val="nil"/>
              <w:bottom w:val="single" w:color="auto" w:sz="4" w:space="0"/>
              <w:right w:val="single" w:color="auto" w:sz="4" w:space="0"/>
            </w:tcBorders>
            <w:vAlign w:val="bottom"/>
          </w:tcPr>
          <w:p w14:paraId="0D901AEB">
            <w:pPr>
              <w:widowControl/>
              <w:jc w:val="left"/>
              <w:textAlignment w:val="bottom"/>
              <w:rPr>
                <w:rFonts w:asciiTheme="minorEastAsia" w:hAnsiTheme="minorEastAsia" w:eastAsiaTheme="minorEastAsia" w:cstheme="minorEastAsia"/>
                <w:color w:val="000000"/>
                <w:szCs w:val="21"/>
              </w:rPr>
            </w:pPr>
            <w:r>
              <w:rPr>
                <w:rFonts w:cs="Calibri"/>
                <w:color w:val="000000"/>
                <w:kern w:val="0"/>
                <w:sz w:val="22"/>
                <w:lang w:bidi="ar"/>
              </w:rPr>
              <w:t>土龙山镇战生村</w:t>
            </w:r>
          </w:p>
        </w:tc>
        <w:tc>
          <w:tcPr>
            <w:tcW w:w="5670" w:type="dxa"/>
            <w:tcBorders>
              <w:top w:val="single" w:color="auto" w:sz="4" w:space="0"/>
              <w:left w:val="nil"/>
              <w:bottom w:val="single" w:color="auto" w:sz="4" w:space="0"/>
              <w:right w:val="single" w:color="auto" w:sz="4" w:space="0"/>
            </w:tcBorders>
            <w:vAlign w:val="bottom"/>
          </w:tcPr>
          <w:p w14:paraId="301C4F7E">
            <w:pPr>
              <w:widowControl/>
              <w:jc w:val="left"/>
              <w:textAlignment w:val="bottom"/>
              <w:rPr>
                <w:rFonts w:asciiTheme="minorEastAsia" w:hAnsiTheme="minorEastAsia" w:eastAsiaTheme="minorEastAsia" w:cstheme="minorEastAsia"/>
                <w:color w:val="000000"/>
                <w:kern w:val="0"/>
                <w:szCs w:val="21"/>
              </w:rPr>
            </w:pPr>
            <w:r>
              <w:rPr>
                <w:rFonts w:cs="Calibri"/>
                <w:color w:val="000000"/>
                <w:kern w:val="0"/>
                <w:sz w:val="22"/>
                <w:lang w:bidi="ar"/>
              </w:rPr>
              <w:t>乙醇汽油、柴油</w:t>
            </w:r>
          </w:p>
        </w:tc>
        <w:tc>
          <w:tcPr>
            <w:tcW w:w="1701" w:type="dxa"/>
            <w:tcBorders>
              <w:top w:val="single" w:color="auto" w:sz="4" w:space="0"/>
              <w:left w:val="nil"/>
              <w:bottom w:val="single" w:color="auto" w:sz="4" w:space="0"/>
              <w:right w:val="single" w:color="auto" w:sz="4" w:space="0"/>
            </w:tcBorders>
            <w:vAlign w:val="center"/>
          </w:tcPr>
          <w:p w14:paraId="0BF08A3A">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加油站</w:t>
            </w:r>
          </w:p>
        </w:tc>
      </w:tr>
      <w:tr w14:paraId="30BC6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22" w:type="dxa"/>
            <w:tcBorders>
              <w:top w:val="single" w:color="auto" w:sz="4" w:space="0"/>
              <w:left w:val="single" w:color="auto" w:sz="4" w:space="0"/>
              <w:bottom w:val="single" w:color="auto" w:sz="4" w:space="0"/>
              <w:right w:val="single" w:color="auto" w:sz="4" w:space="0"/>
            </w:tcBorders>
            <w:vAlign w:val="center"/>
          </w:tcPr>
          <w:p w14:paraId="0E6C06D2">
            <w:pPr>
              <w:jc w:val="center"/>
              <w:rPr>
                <w:rFonts w:asciiTheme="minorEastAsia" w:hAnsiTheme="minorEastAsia" w:eastAsiaTheme="minorEastAsia"/>
                <w:szCs w:val="21"/>
              </w:rPr>
            </w:pPr>
            <w:r>
              <w:rPr>
                <w:rFonts w:hint="eastAsia" w:asciiTheme="minorEastAsia" w:hAnsiTheme="minorEastAsia" w:eastAsiaTheme="minorEastAsia"/>
                <w:szCs w:val="21"/>
              </w:rPr>
              <w:t>18</w:t>
            </w:r>
          </w:p>
        </w:tc>
        <w:tc>
          <w:tcPr>
            <w:tcW w:w="3497" w:type="dxa"/>
            <w:tcBorders>
              <w:top w:val="single" w:color="auto" w:sz="4" w:space="0"/>
              <w:left w:val="nil"/>
              <w:bottom w:val="single" w:color="auto" w:sz="4" w:space="0"/>
              <w:right w:val="single" w:color="auto" w:sz="4" w:space="0"/>
            </w:tcBorders>
            <w:vAlign w:val="bottom"/>
          </w:tcPr>
          <w:p w14:paraId="00E397AC">
            <w:pPr>
              <w:widowControl/>
              <w:jc w:val="left"/>
              <w:textAlignment w:val="bottom"/>
              <w:rPr>
                <w:rFonts w:asciiTheme="minorEastAsia" w:hAnsiTheme="minorEastAsia" w:eastAsiaTheme="minorEastAsia" w:cstheme="minorEastAsia"/>
                <w:szCs w:val="21"/>
              </w:rPr>
            </w:pPr>
            <w:r>
              <w:rPr>
                <w:rFonts w:cs="Calibri"/>
                <w:color w:val="000000"/>
                <w:kern w:val="0"/>
                <w:sz w:val="22"/>
                <w:lang w:bidi="ar"/>
              </w:rPr>
              <w:t>桦南县森鼎经贸有限公司依饶路加油站</w:t>
            </w:r>
          </w:p>
        </w:tc>
        <w:tc>
          <w:tcPr>
            <w:tcW w:w="2693" w:type="dxa"/>
            <w:tcBorders>
              <w:top w:val="single" w:color="auto" w:sz="4" w:space="0"/>
              <w:left w:val="nil"/>
              <w:bottom w:val="single" w:color="auto" w:sz="4" w:space="0"/>
              <w:right w:val="single" w:color="auto" w:sz="4" w:space="0"/>
            </w:tcBorders>
            <w:vAlign w:val="bottom"/>
          </w:tcPr>
          <w:p w14:paraId="62E8B594">
            <w:pPr>
              <w:widowControl/>
              <w:jc w:val="left"/>
              <w:textAlignment w:val="bottom"/>
              <w:rPr>
                <w:rFonts w:asciiTheme="minorEastAsia" w:hAnsiTheme="minorEastAsia" w:eastAsiaTheme="minorEastAsia" w:cstheme="minorEastAsia"/>
                <w:color w:val="000000"/>
                <w:szCs w:val="21"/>
              </w:rPr>
            </w:pPr>
            <w:r>
              <w:rPr>
                <w:rFonts w:cs="Calibri"/>
                <w:color w:val="000000"/>
                <w:kern w:val="0"/>
                <w:sz w:val="22"/>
                <w:lang w:bidi="ar"/>
              </w:rPr>
              <w:t>土龙山镇外环路东、依饶公路北</w:t>
            </w:r>
          </w:p>
        </w:tc>
        <w:tc>
          <w:tcPr>
            <w:tcW w:w="5670" w:type="dxa"/>
            <w:tcBorders>
              <w:top w:val="single" w:color="auto" w:sz="4" w:space="0"/>
              <w:left w:val="nil"/>
              <w:bottom w:val="single" w:color="auto" w:sz="4" w:space="0"/>
              <w:right w:val="single" w:color="auto" w:sz="4" w:space="0"/>
            </w:tcBorders>
            <w:vAlign w:val="bottom"/>
          </w:tcPr>
          <w:p w14:paraId="0F24ACD8">
            <w:pPr>
              <w:widowControl/>
              <w:jc w:val="left"/>
              <w:textAlignment w:val="bottom"/>
              <w:rPr>
                <w:rFonts w:asciiTheme="minorEastAsia" w:hAnsiTheme="minorEastAsia" w:eastAsiaTheme="minorEastAsia" w:cstheme="minorEastAsia"/>
                <w:color w:val="000000"/>
                <w:kern w:val="0"/>
                <w:szCs w:val="21"/>
              </w:rPr>
            </w:pPr>
            <w:r>
              <w:rPr>
                <w:rFonts w:cs="Calibri"/>
                <w:color w:val="000000"/>
                <w:kern w:val="0"/>
                <w:sz w:val="22"/>
                <w:lang w:bidi="ar"/>
              </w:rPr>
              <w:t>乙醇汽油、柴油</w:t>
            </w:r>
          </w:p>
        </w:tc>
        <w:tc>
          <w:tcPr>
            <w:tcW w:w="1701" w:type="dxa"/>
            <w:tcBorders>
              <w:top w:val="single" w:color="auto" w:sz="4" w:space="0"/>
              <w:left w:val="nil"/>
              <w:bottom w:val="single" w:color="auto" w:sz="4" w:space="0"/>
              <w:right w:val="single" w:color="auto" w:sz="4" w:space="0"/>
            </w:tcBorders>
            <w:vAlign w:val="center"/>
          </w:tcPr>
          <w:p w14:paraId="4F221FDC">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加油站</w:t>
            </w:r>
          </w:p>
        </w:tc>
      </w:tr>
      <w:tr w14:paraId="4870E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22" w:type="dxa"/>
            <w:tcBorders>
              <w:top w:val="single" w:color="auto" w:sz="4" w:space="0"/>
              <w:left w:val="single" w:color="auto" w:sz="4" w:space="0"/>
              <w:bottom w:val="single" w:color="auto" w:sz="4" w:space="0"/>
              <w:right w:val="single" w:color="auto" w:sz="4" w:space="0"/>
            </w:tcBorders>
            <w:vAlign w:val="center"/>
          </w:tcPr>
          <w:p w14:paraId="6C535BD8">
            <w:pPr>
              <w:jc w:val="center"/>
              <w:rPr>
                <w:rFonts w:asciiTheme="minorEastAsia" w:hAnsiTheme="minorEastAsia" w:eastAsiaTheme="minorEastAsia"/>
                <w:szCs w:val="21"/>
              </w:rPr>
            </w:pPr>
            <w:r>
              <w:rPr>
                <w:rFonts w:hint="eastAsia" w:asciiTheme="minorEastAsia" w:hAnsiTheme="minorEastAsia" w:eastAsiaTheme="minorEastAsia"/>
                <w:szCs w:val="21"/>
              </w:rPr>
              <w:t>19</w:t>
            </w:r>
          </w:p>
        </w:tc>
        <w:tc>
          <w:tcPr>
            <w:tcW w:w="3497" w:type="dxa"/>
            <w:tcBorders>
              <w:top w:val="single" w:color="auto" w:sz="4" w:space="0"/>
              <w:left w:val="nil"/>
              <w:bottom w:val="single" w:color="auto" w:sz="4" w:space="0"/>
              <w:right w:val="single" w:color="auto" w:sz="4" w:space="0"/>
            </w:tcBorders>
            <w:vAlign w:val="bottom"/>
          </w:tcPr>
          <w:p w14:paraId="141FD5CE">
            <w:pPr>
              <w:widowControl/>
              <w:jc w:val="left"/>
              <w:textAlignment w:val="bottom"/>
              <w:rPr>
                <w:rFonts w:asciiTheme="minorEastAsia" w:hAnsiTheme="minorEastAsia" w:eastAsiaTheme="minorEastAsia" w:cstheme="minorEastAsia"/>
                <w:szCs w:val="21"/>
              </w:rPr>
            </w:pPr>
            <w:r>
              <w:rPr>
                <w:rFonts w:cs="Calibri"/>
                <w:color w:val="000000"/>
                <w:kern w:val="0"/>
                <w:sz w:val="22"/>
                <w:lang w:bidi="ar"/>
              </w:rPr>
              <w:t>中国石油天然气股份有限公司黑龙江佳木斯桦南销售分公司土龙山加油站</w:t>
            </w:r>
          </w:p>
        </w:tc>
        <w:tc>
          <w:tcPr>
            <w:tcW w:w="2693" w:type="dxa"/>
            <w:tcBorders>
              <w:top w:val="single" w:color="auto" w:sz="4" w:space="0"/>
              <w:left w:val="nil"/>
              <w:bottom w:val="single" w:color="auto" w:sz="4" w:space="0"/>
              <w:right w:val="single" w:color="auto" w:sz="4" w:space="0"/>
            </w:tcBorders>
            <w:vAlign w:val="bottom"/>
          </w:tcPr>
          <w:p w14:paraId="4428A9EE">
            <w:pPr>
              <w:widowControl/>
              <w:jc w:val="left"/>
              <w:textAlignment w:val="bottom"/>
              <w:rPr>
                <w:rFonts w:asciiTheme="minorEastAsia" w:hAnsiTheme="minorEastAsia" w:eastAsiaTheme="minorEastAsia" w:cstheme="minorEastAsia"/>
                <w:color w:val="000000"/>
                <w:szCs w:val="21"/>
              </w:rPr>
            </w:pPr>
            <w:r>
              <w:rPr>
                <w:rFonts w:cs="Calibri"/>
                <w:color w:val="000000"/>
                <w:kern w:val="0"/>
                <w:sz w:val="22"/>
                <w:lang w:bidi="ar"/>
              </w:rPr>
              <w:t>土龙山镇</w:t>
            </w:r>
          </w:p>
        </w:tc>
        <w:tc>
          <w:tcPr>
            <w:tcW w:w="5670" w:type="dxa"/>
            <w:tcBorders>
              <w:top w:val="single" w:color="auto" w:sz="4" w:space="0"/>
              <w:left w:val="nil"/>
              <w:bottom w:val="single" w:color="auto" w:sz="4" w:space="0"/>
              <w:right w:val="single" w:color="auto" w:sz="4" w:space="0"/>
            </w:tcBorders>
            <w:vAlign w:val="bottom"/>
          </w:tcPr>
          <w:p w14:paraId="72ED1C3E">
            <w:pPr>
              <w:widowControl/>
              <w:jc w:val="left"/>
              <w:textAlignment w:val="bottom"/>
              <w:rPr>
                <w:rFonts w:asciiTheme="minorEastAsia" w:hAnsiTheme="minorEastAsia" w:eastAsiaTheme="minorEastAsia" w:cstheme="minorEastAsia"/>
                <w:color w:val="000000"/>
                <w:kern w:val="0"/>
                <w:szCs w:val="21"/>
              </w:rPr>
            </w:pPr>
            <w:r>
              <w:rPr>
                <w:rFonts w:cs="Calibri"/>
                <w:color w:val="000000"/>
                <w:kern w:val="0"/>
                <w:sz w:val="22"/>
                <w:lang w:bidi="ar"/>
              </w:rPr>
              <w:t>乙醇汽油、柴油</w:t>
            </w:r>
          </w:p>
        </w:tc>
        <w:tc>
          <w:tcPr>
            <w:tcW w:w="1701" w:type="dxa"/>
            <w:tcBorders>
              <w:top w:val="single" w:color="auto" w:sz="4" w:space="0"/>
              <w:left w:val="nil"/>
              <w:bottom w:val="single" w:color="auto" w:sz="4" w:space="0"/>
              <w:right w:val="single" w:color="auto" w:sz="4" w:space="0"/>
            </w:tcBorders>
            <w:vAlign w:val="center"/>
          </w:tcPr>
          <w:p w14:paraId="249A317B">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加油站</w:t>
            </w:r>
          </w:p>
        </w:tc>
      </w:tr>
      <w:tr w14:paraId="09C5E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22" w:type="dxa"/>
            <w:tcBorders>
              <w:top w:val="single" w:color="auto" w:sz="4" w:space="0"/>
              <w:left w:val="single" w:color="auto" w:sz="4" w:space="0"/>
              <w:bottom w:val="single" w:color="auto" w:sz="4" w:space="0"/>
              <w:right w:val="single" w:color="auto" w:sz="4" w:space="0"/>
            </w:tcBorders>
            <w:vAlign w:val="center"/>
          </w:tcPr>
          <w:p w14:paraId="156E27FC">
            <w:pPr>
              <w:jc w:val="center"/>
              <w:rPr>
                <w:rFonts w:asciiTheme="minorEastAsia" w:hAnsiTheme="minorEastAsia" w:eastAsiaTheme="minorEastAsia"/>
                <w:szCs w:val="21"/>
              </w:rPr>
            </w:pPr>
            <w:r>
              <w:rPr>
                <w:rFonts w:hint="eastAsia" w:asciiTheme="minorEastAsia" w:hAnsiTheme="minorEastAsia" w:eastAsiaTheme="minorEastAsia"/>
                <w:szCs w:val="21"/>
              </w:rPr>
              <w:t>20</w:t>
            </w:r>
          </w:p>
        </w:tc>
        <w:tc>
          <w:tcPr>
            <w:tcW w:w="3497" w:type="dxa"/>
            <w:tcBorders>
              <w:top w:val="single" w:color="auto" w:sz="4" w:space="0"/>
              <w:left w:val="nil"/>
              <w:bottom w:val="single" w:color="auto" w:sz="4" w:space="0"/>
              <w:right w:val="single" w:color="auto" w:sz="4" w:space="0"/>
            </w:tcBorders>
            <w:vAlign w:val="bottom"/>
          </w:tcPr>
          <w:p w14:paraId="625E414C">
            <w:pPr>
              <w:widowControl/>
              <w:jc w:val="left"/>
              <w:textAlignment w:val="bottom"/>
              <w:rPr>
                <w:rFonts w:asciiTheme="minorEastAsia" w:hAnsiTheme="minorEastAsia" w:eastAsiaTheme="minorEastAsia" w:cstheme="minorEastAsia"/>
                <w:szCs w:val="21"/>
              </w:rPr>
            </w:pPr>
            <w:r>
              <w:rPr>
                <w:rFonts w:cs="Calibri"/>
                <w:color w:val="000000"/>
                <w:kern w:val="0"/>
                <w:sz w:val="22"/>
                <w:lang w:bidi="ar"/>
              </w:rPr>
              <w:t>中国石油天然气股份有限公司黑龙江佳木斯桦南销售分公司八浪加油站</w:t>
            </w:r>
          </w:p>
        </w:tc>
        <w:tc>
          <w:tcPr>
            <w:tcW w:w="2693" w:type="dxa"/>
            <w:tcBorders>
              <w:top w:val="single" w:color="auto" w:sz="4" w:space="0"/>
              <w:left w:val="nil"/>
              <w:bottom w:val="single" w:color="auto" w:sz="4" w:space="0"/>
              <w:right w:val="single" w:color="auto" w:sz="4" w:space="0"/>
            </w:tcBorders>
            <w:vAlign w:val="bottom"/>
          </w:tcPr>
          <w:p w14:paraId="23A2D1B2">
            <w:pPr>
              <w:widowControl/>
              <w:jc w:val="left"/>
              <w:textAlignment w:val="bottom"/>
              <w:rPr>
                <w:rFonts w:asciiTheme="minorEastAsia" w:hAnsiTheme="minorEastAsia" w:eastAsiaTheme="minorEastAsia" w:cstheme="minorEastAsia"/>
                <w:color w:val="000000"/>
                <w:szCs w:val="21"/>
              </w:rPr>
            </w:pPr>
            <w:r>
              <w:rPr>
                <w:rFonts w:cs="Calibri"/>
                <w:color w:val="000000"/>
                <w:kern w:val="0"/>
                <w:sz w:val="22"/>
                <w:lang w:bidi="ar"/>
              </w:rPr>
              <w:t>大八浪乡大八浪村</w:t>
            </w:r>
          </w:p>
        </w:tc>
        <w:tc>
          <w:tcPr>
            <w:tcW w:w="5670" w:type="dxa"/>
            <w:tcBorders>
              <w:top w:val="single" w:color="auto" w:sz="4" w:space="0"/>
              <w:left w:val="nil"/>
              <w:bottom w:val="single" w:color="auto" w:sz="4" w:space="0"/>
              <w:right w:val="single" w:color="auto" w:sz="4" w:space="0"/>
            </w:tcBorders>
            <w:vAlign w:val="bottom"/>
          </w:tcPr>
          <w:p w14:paraId="27D97C9B">
            <w:pPr>
              <w:widowControl/>
              <w:jc w:val="left"/>
              <w:textAlignment w:val="bottom"/>
              <w:rPr>
                <w:rFonts w:asciiTheme="minorEastAsia" w:hAnsiTheme="minorEastAsia" w:eastAsiaTheme="minorEastAsia" w:cstheme="minorEastAsia"/>
                <w:color w:val="000000"/>
                <w:kern w:val="0"/>
                <w:szCs w:val="21"/>
              </w:rPr>
            </w:pPr>
            <w:r>
              <w:rPr>
                <w:rFonts w:cs="Calibri"/>
                <w:color w:val="000000"/>
                <w:kern w:val="0"/>
                <w:sz w:val="22"/>
                <w:lang w:bidi="ar"/>
              </w:rPr>
              <w:br w:type="textWrapping"/>
            </w:r>
            <w:r>
              <w:rPr>
                <w:rFonts w:cs="Calibri"/>
                <w:color w:val="000000"/>
                <w:kern w:val="0"/>
                <w:sz w:val="22"/>
                <w:lang w:bidi="ar"/>
              </w:rPr>
              <w:t>乙醇汽油、柴油</w:t>
            </w:r>
          </w:p>
        </w:tc>
        <w:tc>
          <w:tcPr>
            <w:tcW w:w="1701" w:type="dxa"/>
            <w:tcBorders>
              <w:top w:val="single" w:color="auto" w:sz="4" w:space="0"/>
              <w:left w:val="nil"/>
              <w:bottom w:val="single" w:color="auto" w:sz="4" w:space="0"/>
              <w:right w:val="single" w:color="auto" w:sz="4" w:space="0"/>
            </w:tcBorders>
            <w:vAlign w:val="center"/>
          </w:tcPr>
          <w:p w14:paraId="08390253">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加油站</w:t>
            </w:r>
          </w:p>
        </w:tc>
      </w:tr>
      <w:tr w14:paraId="6AE3B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22" w:type="dxa"/>
            <w:tcBorders>
              <w:top w:val="single" w:color="auto" w:sz="4" w:space="0"/>
              <w:left w:val="single" w:color="auto" w:sz="4" w:space="0"/>
              <w:bottom w:val="single" w:color="auto" w:sz="4" w:space="0"/>
              <w:right w:val="single" w:color="auto" w:sz="4" w:space="0"/>
            </w:tcBorders>
            <w:vAlign w:val="center"/>
          </w:tcPr>
          <w:p w14:paraId="566EE015">
            <w:pPr>
              <w:jc w:val="center"/>
              <w:rPr>
                <w:rFonts w:asciiTheme="minorEastAsia" w:hAnsiTheme="minorEastAsia" w:eastAsiaTheme="minorEastAsia"/>
                <w:szCs w:val="21"/>
              </w:rPr>
            </w:pPr>
            <w:r>
              <w:rPr>
                <w:rFonts w:hint="eastAsia" w:asciiTheme="minorEastAsia" w:hAnsiTheme="minorEastAsia" w:eastAsiaTheme="minorEastAsia"/>
                <w:szCs w:val="21"/>
              </w:rPr>
              <w:t>21</w:t>
            </w:r>
          </w:p>
        </w:tc>
        <w:tc>
          <w:tcPr>
            <w:tcW w:w="3497" w:type="dxa"/>
            <w:tcBorders>
              <w:top w:val="single" w:color="auto" w:sz="4" w:space="0"/>
              <w:left w:val="nil"/>
              <w:bottom w:val="single" w:color="auto" w:sz="4" w:space="0"/>
              <w:right w:val="single" w:color="auto" w:sz="4" w:space="0"/>
            </w:tcBorders>
            <w:vAlign w:val="bottom"/>
          </w:tcPr>
          <w:p w14:paraId="6B0F2C25">
            <w:pPr>
              <w:widowControl/>
              <w:jc w:val="left"/>
              <w:textAlignment w:val="bottom"/>
              <w:rPr>
                <w:rFonts w:asciiTheme="minorEastAsia" w:hAnsiTheme="minorEastAsia" w:eastAsiaTheme="minorEastAsia" w:cstheme="minorEastAsia"/>
                <w:szCs w:val="21"/>
              </w:rPr>
            </w:pPr>
            <w:r>
              <w:rPr>
                <w:rFonts w:cs="Calibri"/>
                <w:color w:val="000000"/>
                <w:kern w:val="0"/>
                <w:sz w:val="22"/>
                <w:lang w:bidi="ar"/>
              </w:rPr>
              <w:t>中国石油天然气股份有限公司黑龙江佳木斯桦南销售分公司闫家加油站</w:t>
            </w:r>
          </w:p>
        </w:tc>
        <w:tc>
          <w:tcPr>
            <w:tcW w:w="2693" w:type="dxa"/>
            <w:tcBorders>
              <w:top w:val="single" w:color="auto" w:sz="4" w:space="0"/>
              <w:left w:val="nil"/>
              <w:bottom w:val="single" w:color="auto" w:sz="4" w:space="0"/>
              <w:right w:val="single" w:color="auto" w:sz="4" w:space="0"/>
            </w:tcBorders>
            <w:vAlign w:val="bottom"/>
          </w:tcPr>
          <w:p w14:paraId="29D35824">
            <w:pPr>
              <w:widowControl/>
              <w:jc w:val="left"/>
              <w:textAlignment w:val="bottom"/>
              <w:rPr>
                <w:rFonts w:asciiTheme="minorEastAsia" w:hAnsiTheme="minorEastAsia" w:eastAsiaTheme="minorEastAsia" w:cstheme="minorEastAsia"/>
                <w:color w:val="000000"/>
                <w:szCs w:val="21"/>
              </w:rPr>
            </w:pPr>
            <w:r>
              <w:rPr>
                <w:rFonts w:cs="Calibri"/>
                <w:color w:val="000000"/>
                <w:kern w:val="0"/>
                <w:sz w:val="22"/>
                <w:lang w:bidi="ar"/>
              </w:rPr>
              <w:t>闫家镇</w:t>
            </w:r>
          </w:p>
        </w:tc>
        <w:tc>
          <w:tcPr>
            <w:tcW w:w="5670" w:type="dxa"/>
            <w:tcBorders>
              <w:top w:val="single" w:color="auto" w:sz="4" w:space="0"/>
              <w:left w:val="nil"/>
              <w:bottom w:val="single" w:color="auto" w:sz="4" w:space="0"/>
              <w:right w:val="single" w:color="auto" w:sz="4" w:space="0"/>
            </w:tcBorders>
            <w:vAlign w:val="bottom"/>
          </w:tcPr>
          <w:p w14:paraId="3FA50167">
            <w:pPr>
              <w:widowControl/>
              <w:jc w:val="left"/>
              <w:textAlignment w:val="bottom"/>
              <w:rPr>
                <w:rFonts w:asciiTheme="minorEastAsia" w:hAnsiTheme="minorEastAsia" w:eastAsiaTheme="minorEastAsia" w:cstheme="minorEastAsia"/>
                <w:color w:val="000000"/>
                <w:kern w:val="0"/>
                <w:szCs w:val="21"/>
              </w:rPr>
            </w:pPr>
            <w:r>
              <w:rPr>
                <w:rFonts w:cs="Calibri"/>
                <w:color w:val="000000"/>
                <w:kern w:val="0"/>
                <w:sz w:val="22"/>
                <w:lang w:bidi="ar"/>
              </w:rPr>
              <w:t>乙醇汽油、柴油</w:t>
            </w:r>
          </w:p>
        </w:tc>
        <w:tc>
          <w:tcPr>
            <w:tcW w:w="1701" w:type="dxa"/>
            <w:tcBorders>
              <w:top w:val="single" w:color="auto" w:sz="4" w:space="0"/>
              <w:left w:val="nil"/>
              <w:bottom w:val="single" w:color="auto" w:sz="4" w:space="0"/>
              <w:right w:val="single" w:color="auto" w:sz="4" w:space="0"/>
            </w:tcBorders>
            <w:vAlign w:val="center"/>
          </w:tcPr>
          <w:p w14:paraId="7F70024D">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加油站</w:t>
            </w:r>
          </w:p>
        </w:tc>
      </w:tr>
      <w:tr w14:paraId="04A80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22" w:type="dxa"/>
            <w:tcBorders>
              <w:top w:val="single" w:color="auto" w:sz="4" w:space="0"/>
              <w:left w:val="single" w:color="auto" w:sz="4" w:space="0"/>
              <w:bottom w:val="single" w:color="auto" w:sz="4" w:space="0"/>
              <w:right w:val="single" w:color="auto" w:sz="4" w:space="0"/>
            </w:tcBorders>
            <w:vAlign w:val="center"/>
          </w:tcPr>
          <w:p w14:paraId="364CBFBF">
            <w:pPr>
              <w:jc w:val="center"/>
              <w:rPr>
                <w:rFonts w:asciiTheme="minorEastAsia" w:hAnsiTheme="minorEastAsia" w:eastAsiaTheme="minorEastAsia"/>
                <w:szCs w:val="21"/>
              </w:rPr>
            </w:pPr>
            <w:r>
              <w:rPr>
                <w:rFonts w:hint="eastAsia" w:asciiTheme="minorEastAsia" w:hAnsiTheme="minorEastAsia" w:eastAsiaTheme="minorEastAsia"/>
                <w:szCs w:val="21"/>
              </w:rPr>
              <w:t>22</w:t>
            </w:r>
          </w:p>
        </w:tc>
        <w:tc>
          <w:tcPr>
            <w:tcW w:w="3497" w:type="dxa"/>
            <w:tcBorders>
              <w:top w:val="single" w:color="auto" w:sz="4" w:space="0"/>
              <w:left w:val="nil"/>
              <w:bottom w:val="single" w:color="auto" w:sz="4" w:space="0"/>
              <w:right w:val="single" w:color="auto" w:sz="4" w:space="0"/>
            </w:tcBorders>
            <w:vAlign w:val="bottom"/>
          </w:tcPr>
          <w:p w14:paraId="504ECE4D">
            <w:pPr>
              <w:widowControl/>
              <w:jc w:val="left"/>
              <w:textAlignment w:val="bottom"/>
              <w:rPr>
                <w:rFonts w:asciiTheme="minorEastAsia" w:hAnsiTheme="minorEastAsia" w:eastAsiaTheme="minorEastAsia" w:cstheme="minorEastAsia"/>
                <w:szCs w:val="21"/>
              </w:rPr>
            </w:pPr>
            <w:r>
              <w:rPr>
                <w:rFonts w:cs="Calibri"/>
                <w:color w:val="000000"/>
                <w:kern w:val="0"/>
                <w:sz w:val="22"/>
                <w:lang w:bidi="ar"/>
              </w:rPr>
              <w:t>中国石油天然气股份有限公司黑龙江佳木斯桦南销售分公司公心集加油站</w:t>
            </w:r>
          </w:p>
        </w:tc>
        <w:tc>
          <w:tcPr>
            <w:tcW w:w="2693" w:type="dxa"/>
            <w:tcBorders>
              <w:top w:val="single" w:color="auto" w:sz="4" w:space="0"/>
              <w:left w:val="nil"/>
              <w:bottom w:val="single" w:color="auto" w:sz="4" w:space="0"/>
              <w:right w:val="single" w:color="auto" w:sz="4" w:space="0"/>
            </w:tcBorders>
            <w:vAlign w:val="bottom"/>
          </w:tcPr>
          <w:p w14:paraId="129B24EF">
            <w:pPr>
              <w:widowControl/>
              <w:jc w:val="left"/>
              <w:textAlignment w:val="bottom"/>
              <w:rPr>
                <w:rFonts w:asciiTheme="minorEastAsia" w:hAnsiTheme="minorEastAsia" w:eastAsiaTheme="minorEastAsia" w:cstheme="minorEastAsia"/>
                <w:color w:val="000000"/>
                <w:szCs w:val="21"/>
              </w:rPr>
            </w:pPr>
            <w:r>
              <w:rPr>
                <w:rFonts w:cs="Calibri"/>
                <w:color w:val="000000"/>
                <w:kern w:val="0"/>
                <w:sz w:val="22"/>
                <w:lang w:bidi="ar"/>
              </w:rPr>
              <w:t>闫家镇公心集村</w:t>
            </w:r>
          </w:p>
        </w:tc>
        <w:tc>
          <w:tcPr>
            <w:tcW w:w="5670" w:type="dxa"/>
            <w:tcBorders>
              <w:top w:val="single" w:color="auto" w:sz="4" w:space="0"/>
              <w:left w:val="nil"/>
              <w:bottom w:val="single" w:color="auto" w:sz="4" w:space="0"/>
              <w:right w:val="single" w:color="auto" w:sz="4" w:space="0"/>
            </w:tcBorders>
            <w:vAlign w:val="bottom"/>
          </w:tcPr>
          <w:p w14:paraId="4C115314">
            <w:pPr>
              <w:widowControl/>
              <w:jc w:val="left"/>
              <w:textAlignment w:val="bottom"/>
              <w:rPr>
                <w:rFonts w:asciiTheme="minorEastAsia" w:hAnsiTheme="minorEastAsia" w:eastAsiaTheme="minorEastAsia" w:cstheme="minorEastAsia"/>
                <w:color w:val="000000"/>
                <w:kern w:val="0"/>
                <w:szCs w:val="21"/>
              </w:rPr>
            </w:pPr>
            <w:r>
              <w:rPr>
                <w:rFonts w:cs="Calibri"/>
                <w:color w:val="000000"/>
                <w:kern w:val="0"/>
                <w:sz w:val="22"/>
                <w:lang w:bidi="ar"/>
              </w:rPr>
              <w:t>乙醇汽油、柴油</w:t>
            </w:r>
          </w:p>
        </w:tc>
        <w:tc>
          <w:tcPr>
            <w:tcW w:w="1701" w:type="dxa"/>
            <w:tcBorders>
              <w:top w:val="single" w:color="auto" w:sz="4" w:space="0"/>
              <w:left w:val="nil"/>
              <w:bottom w:val="single" w:color="auto" w:sz="4" w:space="0"/>
              <w:right w:val="single" w:color="auto" w:sz="4" w:space="0"/>
            </w:tcBorders>
            <w:vAlign w:val="center"/>
          </w:tcPr>
          <w:p w14:paraId="1D5CEA20">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加油站</w:t>
            </w:r>
          </w:p>
        </w:tc>
      </w:tr>
      <w:tr w14:paraId="12973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22" w:type="dxa"/>
            <w:tcBorders>
              <w:top w:val="single" w:color="auto" w:sz="4" w:space="0"/>
              <w:left w:val="single" w:color="auto" w:sz="4" w:space="0"/>
              <w:bottom w:val="single" w:color="auto" w:sz="4" w:space="0"/>
              <w:right w:val="single" w:color="auto" w:sz="4" w:space="0"/>
            </w:tcBorders>
            <w:vAlign w:val="center"/>
          </w:tcPr>
          <w:p w14:paraId="12C7716C">
            <w:pPr>
              <w:jc w:val="center"/>
              <w:rPr>
                <w:rFonts w:asciiTheme="minorEastAsia" w:hAnsiTheme="minorEastAsia" w:eastAsiaTheme="minorEastAsia"/>
                <w:szCs w:val="21"/>
              </w:rPr>
            </w:pPr>
            <w:r>
              <w:rPr>
                <w:rFonts w:hint="eastAsia" w:asciiTheme="minorEastAsia" w:hAnsiTheme="minorEastAsia" w:eastAsiaTheme="minorEastAsia"/>
                <w:szCs w:val="21"/>
              </w:rPr>
              <w:t>23</w:t>
            </w:r>
          </w:p>
        </w:tc>
        <w:tc>
          <w:tcPr>
            <w:tcW w:w="3497" w:type="dxa"/>
            <w:tcBorders>
              <w:top w:val="single" w:color="auto" w:sz="4" w:space="0"/>
              <w:left w:val="nil"/>
              <w:bottom w:val="single" w:color="auto" w:sz="4" w:space="0"/>
              <w:right w:val="single" w:color="auto" w:sz="4" w:space="0"/>
            </w:tcBorders>
            <w:vAlign w:val="bottom"/>
          </w:tcPr>
          <w:p w14:paraId="064AD9FF">
            <w:pPr>
              <w:widowControl/>
              <w:jc w:val="left"/>
              <w:textAlignment w:val="bottom"/>
              <w:rPr>
                <w:rFonts w:asciiTheme="minorEastAsia" w:hAnsiTheme="minorEastAsia" w:eastAsiaTheme="minorEastAsia" w:cstheme="minorEastAsia"/>
                <w:szCs w:val="21"/>
              </w:rPr>
            </w:pPr>
            <w:r>
              <w:rPr>
                <w:rFonts w:cs="Calibri"/>
                <w:color w:val="000000"/>
                <w:kern w:val="0"/>
                <w:sz w:val="22"/>
                <w:lang w:bidi="ar"/>
              </w:rPr>
              <w:t>中国石油天然气股份有限公司黑龙江佳木斯桦南销售分公司明义加油站</w:t>
            </w:r>
          </w:p>
        </w:tc>
        <w:tc>
          <w:tcPr>
            <w:tcW w:w="2693" w:type="dxa"/>
            <w:tcBorders>
              <w:top w:val="single" w:color="auto" w:sz="4" w:space="0"/>
              <w:left w:val="nil"/>
              <w:bottom w:val="single" w:color="auto" w:sz="4" w:space="0"/>
              <w:right w:val="single" w:color="auto" w:sz="4" w:space="0"/>
            </w:tcBorders>
            <w:vAlign w:val="bottom"/>
          </w:tcPr>
          <w:p w14:paraId="7195C82D">
            <w:pPr>
              <w:widowControl/>
              <w:jc w:val="left"/>
              <w:textAlignment w:val="bottom"/>
              <w:rPr>
                <w:rFonts w:asciiTheme="minorEastAsia" w:hAnsiTheme="minorEastAsia" w:eastAsiaTheme="minorEastAsia" w:cstheme="minorEastAsia"/>
                <w:color w:val="000000"/>
                <w:szCs w:val="21"/>
              </w:rPr>
            </w:pPr>
            <w:r>
              <w:rPr>
                <w:rFonts w:cs="Calibri"/>
                <w:color w:val="000000"/>
                <w:kern w:val="0"/>
                <w:sz w:val="22"/>
                <w:lang w:bidi="ar"/>
              </w:rPr>
              <w:t>明义乡</w:t>
            </w:r>
          </w:p>
        </w:tc>
        <w:tc>
          <w:tcPr>
            <w:tcW w:w="5670" w:type="dxa"/>
            <w:tcBorders>
              <w:top w:val="single" w:color="auto" w:sz="4" w:space="0"/>
              <w:left w:val="nil"/>
              <w:bottom w:val="single" w:color="auto" w:sz="4" w:space="0"/>
              <w:right w:val="single" w:color="auto" w:sz="4" w:space="0"/>
            </w:tcBorders>
            <w:vAlign w:val="bottom"/>
          </w:tcPr>
          <w:p w14:paraId="2B47162F">
            <w:pPr>
              <w:widowControl/>
              <w:jc w:val="left"/>
              <w:textAlignment w:val="bottom"/>
              <w:rPr>
                <w:rFonts w:asciiTheme="minorEastAsia" w:hAnsiTheme="minorEastAsia" w:eastAsiaTheme="minorEastAsia" w:cstheme="minorEastAsia"/>
                <w:color w:val="000000"/>
                <w:kern w:val="0"/>
                <w:szCs w:val="21"/>
              </w:rPr>
            </w:pPr>
            <w:r>
              <w:rPr>
                <w:rFonts w:cs="Calibri"/>
                <w:color w:val="000000"/>
                <w:kern w:val="0"/>
                <w:sz w:val="22"/>
                <w:lang w:bidi="ar"/>
              </w:rPr>
              <w:t>乙醇汽油、柴油</w:t>
            </w:r>
          </w:p>
        </w:tc>
        <w:tc>
          <w:tcPr>
            <w:tcW w:w="1701" w:type="dxa"/>
            <w:tcBorders>
              <w:top w:val="single" w:color="auto" w:sz="4" w:space="0"/>
              <w:left w:val="nil"/>
              <w:bottom w:val="single" w:color="auto" w:sz="4" w:space="0"/>
              <w:right w:val="single" w:color="auto" w:sz="4" w:space="0"/>
            </w:tcBorders>
            <w:vAlign w:val="center"/>
          </w:tcPr>
          <w:p w14:paraId="5F0967C3">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加油站</w:t>
            </w:r>
          </w:p>
        </w:tc>
      </w:tr>
      <w:tr w14:paraId="55B65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22" w:type="dxa"/>
            <w:tcBorders>
              <w:top w:val="single" w:color="auto" w:sz="4" w:space="0"/>
              <w:left w:val="single" w:color="auto" w:sz="4" w:space="0"/>
              <w:bottom w:val="single" w:color="auto" w:sz="4" w:space="0"/>
              <w:right w:val="single" w:color="auto" w:sz="4" w:space="0"/>
            </w:tcBorders>
            <w:vAlign w:val="center"/>
          </w:tcPr>
          <w:p w14:paraId="6AD69CD0">
            <w:pPr>
              <w:jc w:val="center"/>
              <w:rPr>
                <w:rFonts w:asciiTheme="minorEastAsia" w:hAnsiTheme="minorEastAsia" w:eastAsiaTheme="minorEastAsia"/>
                <w:szCs w:val="21"/>
              </w:rPr>
            </w:pPr>
            <w:r>
              <w:rPr>
                <w:rFonts w:hint="eastAsia" w:asciiTheme="minorEastAsia" w:hAnsiTheme="minorEastAsia" w:eastAsiaTheme="minorEastAsia"/>
                <w:szCs w:val="21"/>
              </w:rPr>
              <w:t>24</w:t>
            </w:r>
          </w:p>
        </w:tc>
        <w:tc>
          <w:tcPr>
            <w:tcW w:w="3497" w:type="dxa"/>
            <w:tcBorders>
              <w:top w:val="single" w:color="auto" w:sz="4" w:space="0"/>
              <w:left w:val="nil"/>
              <w:bottom w:val="single" w:color="auto" w:sz="4" w:space="0"/>
              <w:right w:val="single" w:color="auto" w:sz="4" w:space="0"/>
            </w:tcBorders>
            <w:vAlign w:val="bottom"/>
          </w:tcPr>
          <w:p w14:paraId="5B7A51C5">
            <w:pPr>
              <w:widowControl/>
              <w:jc w:val="left"/>
              <w:textAlignment w:val="bottom"/>
              <w:rPr>
                <w:rFonts w:asciiTheme="minorEastAsia" w:hAnsiTheme="minorEastAsia" w:eastAsiaTheme="minorEastAsia" w:cstheme="minorEastAsia"/>
                <w:szCs w:val="21"/>
              </w:rPr>
            </w:pPr>
            <w:r>
              <w:rPr>
                <w:rFonts w:cs="Calibri"/>
                <w:color w:val="000000"/>
                <w:kern w:val="0"/>
                <w:sz w:val="22"/>
                <w:lang w:bidi="ar"/>
              </w:rPr>
              <w:t>中国石油天然气股份有限公司黑龙江佳木斯桦南销售分公司孟家岗加油站</w:t>
            </w:r>
          </w:p>
        </w:tc>
        <w:tc>
          <w:tcPr>
            <w:tcW w:w="2693" w:type="dxa"/>
            <w:tcBorders>
              <w:top w:val="single" w:color="auto" w:sz="4" w:space="0"/>
              <w:left w:val="nil"/>
              <w:bottom w:val="single" w:color="auto" w:sz="4" w:space="0"/>
              <w:right w:val="single" w:color="auto" w:sz="4" w:space="0"/>
            </w:tcBorders>
            <w:vAlign w:val="bottom"/>
          </w:tcPr>
          <w:p w14:paraId="24380994">
            <w:pPr>
              <w:widowControl/>
              <w:jc w:val="left"/>
              <w:textAlignment w:val="bottom"/>
              <w:rPr>
                <w:rFonts w:asciiTheme="minorEastAsia" w:hAnsiTheme="minorEastAsia" w:eastAsiaTheme="minorEastAsia" w:cstheme="minorEastAsia"/>
                <w:color w:val="000000"/>
                <w:szCs w:val="21"/>
              </w:rPr>
            </w:pPr>
            <w:r>
              <w:rPr>
                <w:rFonts w:cs="Calibri"/>
                <w:color w:val="000000"/>
                <w:kern w:val="0"/>
                <w:sz w:val="22"/>
                <w:lang w:bidi="ar"/>
              </w:rPr>
              <w:t>孟家岗镇</w:t>
            </w:r>
          </w:p>
        </w:tc>
        <w:tc>
          <w:tcPr>
            <w:tcW w:w="5670" w:type="dxa"/>
            <w:tcBorders>
              <w:top w:val="single" w:color="auto" w:sz="4" w:space="0"/>
              <w:left w:val="nil"/>
              <w:bottom w:val="single" w:color="auto" w:sz="4" w:space="0"/>
              <w:right w:val="single" w:color="auto" w:sz="4" w:space="0"/>
            </w:tcBorders>
            <w:vAlign w:val="bottom"/>
          </w:tcPr>
          <w:p w14:paraId="36955749">
            <w:pPr>
              <w:widowControl/>
              <w:jc w:val="left"/>
              <w:textAlignment w:val="bottom"/>
              <w:rPr>
                <w:rFonts w:asciiTheme="minorEastAsia" w:hAnsiTheme="minorEastAsia" w:eastAsiaTheme="minorEastAsia" w:cstheme="minorEastAsia"/>
                <w:color w:val="000000"/>
                <w:kern w:val="0"/>
                <w:szCs w:val="21"/>
              </w:rPr>
            </w:pPr>
            <w:r>
              <w:rPr>
                <w:rFonts w:cs="Calibri"/>
                <w:color w:val="000000"/>
                <w:kern w:val="0"/>
                <w:sz w:val="22"/>
                <w:lang w:bidi="ar"/>
              </w:rPr>
              <w:t>乙醇汽油、柴油</w:t>
            </w:r>
          </w:p>
        </w:tc>
        <w:tc>
          <w:tcPr>
            <w:tcW w:w="1701" w:type="dxa"/>
            <w:tcBorders>
              <w:top w:val="single" w:color="auto" w:sz="4" w:space="0"/>
              <w:left w:val="nil"/>
              <w:bottom w:val="single" w:color="auto" w:sz="4" w:space="0"/>
              <w:right w:val="single" w:color="auto" w:sz="4" w:space="0"/>
            </w:tcBorders>
            <w:vAlign w:val="center"/>
          </w:tcPr>
          <w:p w14:paraId="79BEDEEA">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加油站</w:t>
            </w:r>
          </w:p>
        </w:tc>
      </w:tr>
      <w:tr w14:paraId="7AB46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22" w:type="dxa"/>
            <w:tcBorders>
              <w:top w:val="single" w:color="auto" w:sz="4" w:space="0"/>
              <w:left w:val="single" w:color="auto" w:sz="4" w:space="0"/>
              <w:bottom w:val="single" w:color="auto" w:sz="4" w:space="0"/>
              <w:right w:val="single" w:color="auto" w:sz="4" w:space="0"/>
            </w:tcBorders>
            <w:vAlign w:val="center"/>
          </w:tcPr>
          <w:p w14:paraId="70D59818">
            <w:pPr>
              <w:jc w:val="center"/>
              <w:rPr>
                <w:rFonts w:asciiTheme="minorEastAsia" w:hAnsiTheme="minorEastAsia" w:eastAsiaTheme="minorEastAsia"/>
                <w:szCs w:val="21"/>
              </w:rPr>
            </w:pPr>
            <w:r>
              <w:rPr>
                <w:rFonts w:hint="eastAsia" w:asciiTheme="minorEastAsia" w:hAnsiTheme="minorEastAsia" w:eastAsiaTheme="minorEastAsia"/>
                <w:szCs w:val="21"/>
              </w:rPr>
              <w:t>25</w:t>
            </w:r>
          </w:p>
        </w:tc>
        <w:tc>
          <w:tcPr>
            <w:tcW w:w="3497" w:type="dxa"/>
            <w:tcBorders>
              <w:top w:val="single" w:color="auto" w:sz="4" w:space="0"/>
              <w:left w:val="nil"/>
              <w:bottom w:val="single" w:color="auto" w:sz="4" w:space="0"/>
              <w:right w:val="single" w:color="auto" w:sz="4" w:space="0"/>
            </w:tcBorders>
            <w:vAlign w:val="bottom"/>
          </w:tcPr>
          <w:p w14:paraId="6AE01D9C">
            <w:pPr>
              <w:widowControl/>
              <w:jc w:val="left"/>
              <w:textAlignment w:val="bottom"/>
              <w:rPr>
                <w:rFonts w:asciiTheme="minorEastAsia" w:hAnsiTheme="minorEastAsia" w:eastAsiaTheme="minorEastAsia" w:cstheme="minorEastAsia"/>
                <w:szCs w:val="21"/>
              </w:rPr>
            </w:pPr>
            <w:r>
              <w:rPr>
                <w:rFonts w:cs="Calibri"/>
                <w:color w:val="000000"/>
                <w:kern w:val="0"/>
                <w:sz w:val="22"/>
                <w:lang w:bidi="ar"/>
              </w:rPr>
              <w:t>中国石油天然气股份有限公司黑龙江佳木斯桦南销售分公司梨树加油站</w:t>
            </w:r>
          </w:p>
        </w:tc>
        <w:tc>
          <w:tcPr>
            <w:tcW w:w="2693" w:type="dxa"/>
            <w:tcBorders>
              <w:top w:val="single" w:color="auto" w:sz="4" w:space="0"/>
              <w:left w:val="nil"/>
              <w:bottom w:val="single" w:color="auto" w:sz="4" w:space="0"/>
              <w:right w:val="single" w:color="auto" w:sz="4" w:space="0"/>
            </w:tcBorders>
            <w:vAlign w:val="bottom"/>
          </w:tcPr>
          <w:p w14:paraId="53B764A8">
            <w:pPr>
              <w:widowControl/>
              <w:jc w:val="left"/>
              <w:textAlignment w:val="bottom"/>
              <w:rPr>
                <w:rFonts w:asciiTheme="minorEastAsia" w:hAnsiTheme="minorEastAsia" w:eastAsiaTheme="minorEastAsia" w:cstheme="minorEastAsia"/>
                <w:color w:val="000000"/>
                <w:szCs w:val="21"/>
              </w:rPr>
            </w:pPr>
            <w:r>
              <w:rPr>
                <w:rFonts w:cs="Calibri"/>
                <w:color w:val="000000"/>
                <w:kern w:val="0"/>
                <w:sz w:val="22"/>
                <w:lang w:bidi="ar"/>
              </w:rPr>
              <w:t>梨树乡</w:t>
            </w:r>
          </w:p>
        </w:tc>
        <w:tc>
          <w:tcPr>
            <w:tcW w:w="5670" w:type="dxa"/>
            <w:tcBorders>
              <w:top w:val="single" w:color="auto" w:sz="4" w:space="0"/>
              <w:left w:val="nil"/>
              <w:bottom w:val="single" w:color="auto" w:sz="4" w:space="0"/>
              <w:right w:val="single" w:color="auto" w:sz="4" w:space="0"/>
            </w:tcBorders>
            <w:vAlign w:val="bottom"/>
          </w:tcPr>
          <w:p w14:paraId="4E862955">
            <w:pPr>
              <w:widowControl/>
              <w:jc w:val="left"/>
              <w:textAlignment w:val="bottom"/>
              <w:rPr>
                <w:rFonts w:asciiTheme="minorEastAsia" w:hAnsiTheme="minorEastAsia" w:eastAsiaTheme="minorEastAsia" w:cstheme="minorEastAsia"/>
                <w:color w:val="000000"/>
                <w:kern w:val="0"/>
                <w:szCs w:val="21"/>
              </w:rPr>
            </w:pPr>
            <w:r>
              <w:rPr>
                <w:rFonts w:cs="Calibri"/>
                <w:color w:val="000000"/>
                <w:kern w:val="0"/>
                <w:sz w:val="22"/>
                <w:lang w:bidi="ar"/>
              </w:rPr>
              <w:t>乙醇汽油、柴油</w:t>
            </w:r>
          </w:p>
        </w:tc>
        <w:tc>
          <w:tcPr>
            <w:tcW w:w="1701" w:type="dxa"/>
            <w:tcBorders>
              <w:top w:val="single" w:color="auto" w:sz="4" w:space="0"/>
              <w:left w:val="nil"/>
              <w:bottom w:val="single" w:color="auto" w:sz="4" w:space="0"/>
              <w:right w:val="single" w:color="auto" w:sz="4" w:space="0"/>
            </w:tcBorders>
            <w:vAlign w:val="center"/>
          </w:tcPr>
          <w:p w14:paraId="46894C1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加油站</w:t>
            </w:r>
          </w:p>
        </w:tc>
      </w:tr>
      <w:tr w14:paraId="73060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22" w:type="dxa"/>
            <w:tcBorders>
              <w:top w:val="single" w:color="auto" w:sz="4" w:space="0"/>
              <w:left w:val="single" w:color="auto" w:sz="4" w:space="0"/>
              <w:bottom w:val="single" w:color="auto" w:sz="4" w:space="0"/>
              <w:right w:val="single" w:color="auto" w:sz="4" w:space="0"/>
            </w:tcBorders>
            <w:vAlign w:val="center"/>
          </w:tcPr>
          <w:p w14:paraId="41980AED">
            <w:pPr>
              <w:jc w:val="center"/>
              <w:rPr>
                <w:rFonts w:asciiTheme="minorEastAsia" w:hAnsiTheme="minorEastAsia" w:eastAsiaTheme="minorEastAsia"/>
                <w:szCs w:val="21"/>
              </w:rPr>
            </w:pPr>
            <w:r>
              <w:rPr>
                <w:rFonts w:hint="eastAsia" w:asciiTheme="minorEastAsia" w:hAnsiTheme="minorEastAsia" w:eastAsiaTheme="minorEastAsia"/>
                <w:szCs w:val="21"/>
              </w:rPr>
              <w:t>26</w:t>
            </w:r>
          </w:p>
        </w:tc>
        <w:tc>
          <w:tcPr>
            <w:tcW w:w="3497" w:type="dxa"/>
            <w:tcBorders>
              <w:top w:val="single" w:color="auto" w:sz="4" w:space="0"/>
              <w:left w:val="nil"/>
              <w:bottom w:val="single" w:color="auto" w:sz="4" w:space="0"/>
              <w:right w:val="single" w:color="auto" w:sz="4" w:space="0"/>
            </w:tcBorders>
            <w:vAlign w:val="bottom"/>
          </w:tcPr>
          <w:p w14:paraId="2BD963ED">
            <w:pPr>
              <w:widowControl/>
              <w:jc w:val="left"/>
              <w:textAlignment w:val="bottom"/>
              <w:rPr>
                <w:rFonts w:asciiTheme="minorEastAsia" w:hAnsiTheme="minorEastAsia" w:eastAsiaTheme="minorEastAsia" w:cstheme="minorEastAsia"/>
                <w:szCs w:val="21"/>
              </w:rPr>
            </w:pPr>
            <w:r>
              <w:rPr>
                <w:rFonts w:cs="Calibri"/>
                <w:color w:val="000000"/>
                <w:kern w:val="0"/>
                <w:sz w:val="22"/>
                <w:lang w:bidi="ar"/>
              </w:rPr>
              <w:t>中国石油天然气股份有限公司黑龙江佳木斯桦南销售分公司石头河加油站</w:t>
            </w:r>
          </w:p>
        </w:tc>
        <w:tc>
          <w:tcPr>
            <w:tcW w:w="2693" w:type="dxa"/>
            <w:tcBorders>
              <w:top w:val="single" w:color="auto" w:sz="4" w:space="0"/>
              <w:left w:val="nil"/>
              <w:bottom w:val="single" w:color="auto" w:sz="4" w:space="0"/>
              <w:right w:val="single" w:color="auto" w:sz="4" w:space="0"/>
            </w:tcBorders>
            <w:vAlign w:val="bottom"/>
          </w:tcPr>
          <w:p w14:paraId="2AAEE3A9">
            <w:pPr>
              <w:widowControl/>
              <w:jc w:val="left"/>
              <w:textAlignment w:val="bottom"/>
              <w:rPr>
                <w:rFonts w:asciiTheme="minorEastAsia" w:hAnsiTheme="minorEastAsia" w:eastAsiaTheme="minorEastAsia" w:cstheme="minorEastAsia"/>
                <w:color w:val="000000"/>
                <w:szCs w:val="21"/>
              </w:rPr>
            </w:pPr>
            <w:r>
              <w:rPr>
                <w:rFonts w:cs="Calibri"/>
                <w:color w:val="000000"/>
                <w:kern w:val="0"/>
                <w:sz w:val="22"/>
                <w:lang w:bidi="ar"/>
              </w:rPr>
              <w:t>石头河子镇仁和村</w:t>
            </w:r>
          </w:p>
        </w:tc>
        <w:tc>
          <w:tcPr>
            <w:tcW w:w="5670" w:type="dxa"/>
            <w:tcBorders>
              <w:top w:val="single" w:color="auto" w:sz="4" w:space="0"/>
              <w:left w:val="nil"/>
              <w:bottom w:val="single" w:color="auto" w:sz="4" w:space="0"/>
              <w:right w:val="single" w:color="auto" w:sz="4" w:space="0"/>
            </w:tcBorders>
            <w:vAlign w:val="bottom"/>
          </w:tcPr>
          <w:p w14:paraId="5B3B8011">
            <w:pPr>
              <w:widowControl/>
              <w:jc w:val="left"/>
              <w:textAlignment w:val="bottom"/>
              <w:rPr>
                <w:rFonts w:asciiTheme="minorEastAsia" w:hAnsiTheme="minorEastAsia" w:eastAsiaTheme="minorEastAsia" w:cstheme="minorEastAsia"/>
                <w:color w:val="000000"/>
                <w:kern w:val="0"/>
                <w:szCs w:val="21"/>
              </w:rPr>
            </w:pPr>
            <w:r>
              <w:rPr>
                <w:rFonts w:cs="Calibri"/>
                <w:color w:val="000000"/>
                <w:kern w:val="0"/>
                <w:sz w:val="22"/>
                <w:lang w:bidi="ar"/>
              </w:rPr>
              <w:t>乙醇汽油、柴油</w:t>
            </w:r>
          </w:p>
        </w:tc>
        <w:tc>
          <w:tcPr>
            <w:tcW w:w="1701" w:type="dxa"/>
            <w:tcBorders>
              <w:top w:val="single" w:color="auto" w:sz="4" w:space="0"/>
              <w:left w:val="nil"/>
              <w:bottom w:val="single" w:color="auto" w:sz="4" w:space="0"/>
              <w:right w:val="single" w:color="auto" w:sz="4" w:space="0"/>
            </w:tcBorders>
            <w:vAlign w:val="center"/>
          </w:tcPr>
          <w:p w14:paraId="0BA5F82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加油站</w:t>
            </w:r>
          </w:p>
        </w:tc>
      </w:tr>
      <w:tr w14:paraId="0DD21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22" w:type="dxa"/>
            <w:tcBorders>
              <w:top w:val="single" w:color="auto" w:sz="4" w:space="0"/>
              <w:left w:val="single" w:color="auto" w:sz="4" w:space="0"/>
              <w:bottom w:val="single" w:color="auto" w:sz="4" w:space="0"/>
              <w:right w:val="single" w:color="auto" w:sz="4" w:space="0"/>
            </w:tcBorders>
            <w:vAlign w:val="center"/>
          </w:tcPr>
          <w:p w14:paraId="19CE7432">
            <w:pPr>
              <w:jc w:val="center"/>
              <w:rPr>
                <w:rFonts w:asciiTheme="minorEastAsia" w:hAnsiTheme="minorEastAsia" w:eastAsiaTheme="minorEastAsia"/>
                <w:szCs w:val="21"/>
              </w:rPr>
            </w:pPr>
            <w:r>
              <w:rPr>
                <w:rFonts w:hint="eastAsia" w:asciiTheme="minorEastAsia" w:hAnsiTheme="minorEastAsia" w:eastAsiaTheme="minorEastAsia"/>
                <w:szCs w:val="21"/>
              </w:rPr>
              <w:t>27</w:t>
            </w:r>
          </w:p>
        </w:tc>
        <w:tc>
          <w:tcPr>
            <w:tcW w:w="3497" w:type="dxa"/>
            <w:tcBorders>
              <w:top w:val="single" w:color="auto" w:sz="4" w:space="0"/>
              <w:left w:val="nil"/>
              <w:bottom w:val="single" w:color="auto" w:sz="4" w:space="0"/>
              <w:right w:val="single" w:color="auto" w:sz="4" w:space="0"/>
            </w:tcBorders>
            <w:vAlign w:val="bottom"/>
          </w:tcPr>
          <w:p w14:paraId="770CB1F2">
            <w:pPr>
              <w:widowControl/>
              <w:jc w:val="left"/>
              <w:textAlignment w:val="bottom"/>
              <w:rPr>
                <w:rFonts w:asciiTheme="minorEastAsia" w:hAnsiTheme="minorEastAsia" w:eastAsiaTheme="minorEastAsia" w:cstheme="minorEastAsia"/>
                <w:szCs w:val="21"/>
              </w:rPr>
            </w:pPr>
            <w:r>
              <w:rPr>
                <w:rFonts w:cs="Calibri"/>
                <w:color w:val="000000"/>
                <w:kern w:val="0"/>
                <w:sz w:val="22"/>
                <w:lang w:bidi="ar"/>
              </w:rPr>
              <w:t>桦南劲风加油站</w:t>
            </w:r>
          </w:p>
        </w:tc>
        <w:tc>
          <w:tcPr>
            <w:tcW w:w="2693" w:type="dxa"/>
            <w:tcBorders>
              <w:top w:val="single" w:color="auto" w:sz="4" w:space="0"/>
              <w:left w:val="nil"/>
              <w:bottom w:val="single" w:color="auto" w:sz="4" w:space="0"/>
              <w:right w:val="single" w:color="auto" w:sz="4" w:space="0"/>
            </w:tcBorders>
            <w:vAlign w:val="bottom"/>
          </w:tcPr>
          <w:p w14:paraId="17F0CCF5">
            <w:pPr>
              <w:widowControl/>
              <w:jc w:val="left"/>
              <w:textAlignment w:val="bottom"/>
              <w:rPr>
                <w:rFonts w:asciiTheme="minorEastAsia" w:hAnsiTheme="minorEastAsia" w:eastAsiaTheme="minorEastAsia" w:cstheme="minorEastAsia"/>
                <w:color w:val="000000"/>
                <w:szCs w:val="21"/>
              </w:rPr>
            </w:pPr>
            <w:r>
              <w:rPr>
                <w:rFonts w:cs="Calibri"/>
                <w:color w:val="000000"/>
                <w:kern w:val="0"/>
                <w:sz w:val="22"/>
                <w:lang w:bidi="ar"/>
              </w:rPr>
              <w:t>胜利街新兴路</w:t>
            </w:r>
          </w:p>
        </w:tc>
        <w:tc>
          <w:tcPr>
            <w:tcW w:w="5670" w:type="dxa"/>
            <w:tcBorders>
              <w:top w:val="single" w:color="auto" w:sz="4" w:space="0"/>
              <w:left w:val="nil"/>
              <w:bottom w:val="single" w:color="auto" w:sz="4" w:space="0"/>
              <w:right w:val="single" w:color="auto" w:sz="4" w:space="0"/>
            </w:tcBorders>
            <w:vAlign w:val="bottom"/>
          </w:tcPr>
          <w:p w14:paraId="4CA68B7B">
            <w:pPr>
              <w:widowControl/>
              <w:jc w:val="left"/>
              <w:textAlignment w:val="bottom"/>
              <w:rPr>
                <w:rFonts w:asciiTheme="minorEastAsia" w:hAnsiTheme="minorEastAsia" w:eastAsiaTheme="minorEastAsia" w:cstheme="minorEastAsia"/>
                <w:color w:val="000000"/>
                <w:kern w:val="0"/>
                <w:szCs w:val="21"/>
              </w:rPr>
            </w:pPr>
            <w:r>
              <w:rPr>
                <w:rFonts w:cs="Calibri"/>
                <w:color w:val="000000"/>
                <w:kern w:val="0"/>
                <w:sz w:val="22"/>
                <w:lang w:bidi="ar"/>
              </w:rPr>
              <w:t>乙醇汽油、柴油</w:t>
            </w:r>
          </w:p>
        </w:tc>
        <w:tc>
          <w:tcPr>
            <w:tcW w:w="1701" w:type="dxa"/>
            <w:tcBorders>
              <w:top w:val="single" w:color="auto" w:sz="4" w:space="0"/>
              <w:left w:val="nil"/>
              <w:bottom w:val="single" w:color="auto" w:sz="4" w:space="0"/>
              <w:right w:val="single" w:color="auto" w:sz="4" w:space="0"/>
            </w:tcBorders>
            <w:vAlign w:val="center"/>
          </w:tcPr>
          <w:p w14:paraId="03701E7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加油站</w:t>
            </w:r>
          </w:p>
        </w:tc>
      </w:tr>
      <w:tr w14:paraId="6E6AE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22" w:type="dxa"/>
            <w:tcBorders>
              <w:top w:val="single" w:color="auto" w:sz="4" w:space="0"/>
              <w:left w:val="single" w:color="auto" w:sz="4" w:space="0"/>
              <w:bottom w:val="single" w:color="auto" w:sz="4" w:space="0"/>
              <w:right w:val="single" w:color="auto" w:sz="4" w:space="0"/>
            </w:tcBorders>
            <w:vAlign w:val="center"/>
          </w:tcPr>
          <w:p w14:paraId="05DC2831">
            <w:pPr>
              <w:jc w:val="center"/>
              <w:rPr>
                <w:rFonts w:asciiTheme="minorEastAsia" w:hAnsiTheme="minorEastAsia" w:eastAsiaTheme="minorEastAsia"/>
                <w:szCs w:val="21"/>
              </w:rPr>
            </w:pPr>
            <w:r>
              <w:rPr>
                <w:rFonts w:hint="eastAsia" w:asciiTheme="minorEastAsia" w:hAnsiTheme="minorEastAsia" w:eastAsiaTheme="minorEastAsia"/>
                <w:szCs w:val="21"/>
              </w:rPr>
              <w:t>28</w:t>
            </w:r>
          </w:p>
        </w:tc>
        <w:tc>
          <w:tcPr>
            <w:tcW w:w="3497" w:type="dxa"/>
            <w:tcBorders>
              <w:top w:val="single" w:color="auto" w:sz="4" w:space="0"/>
              <w:left w:val="nil"/>
              <w:bottom w:val="single" w:color="auto" w:sz="4" w:space="0"/>
              <w:right w:val="single" w:color="auto" w:sz="4" w:space="0"/>
            </w:tcBorders>
            <w:vAlign w:val="bottom"/>
          </w:tcPr>
          <w:p w14:paraId="274C91A4">
            <w:pPr>
              <w:widowControl/>
              <w:jc w:val="left"/>
              <w:textAlignment w:val="bottom"/>
              <w:rPr>
                <w:rFonts w:asciiTheme="minorEastAsia" w:hAnsiTheme="minorEastAsia" w:eastAsiaTheme="minorEastAsia" w:cstheme="minorEastAsia"/>
                <w:szCs w:val="21"/>
              </w:rPr>
            </w:pPr>
            <w:r>
              <w:rPr>
                <w:rFonts w:cs="Calibri"/>
                <w:color w:val="000000"/>
                <w:kern w:val="0"/>
                <w:sz w:val="22"/>
                <w:lang w:bidi="ar"/>
              </w:rPr>
              <w:t>桦南东柞加油站</w:t>
            </w:r>
          </w:p>
        </w:tc>
        <w:tc>
          <w:tcPr>
            <w:tcW w:w="2693" w:type="dxa"/>
            <w:tcBorders>
              <w:top w:val="single" w:color="auto" w:sz="4" w:space="0"/>
              <w:left w:val="nil"/>
              <w:bottom w:val="single" w:color="auto" w:sz="4" w:space="0"/>
              <w:right w:val="single" w:color="auto" w:sz="4" w:space="0"/>
            </w:tcBorders>
            <w:vAlign w:val="bottom"/>
          </w:tcPr>
          <w:p w14:paraId="230E50DF">
            <w:pPr>
              <w:widowControl/>
              <w:jc w:val="left"/>
              <w:textAlignment w:val="bottom"/>
              <w:rPr>
                <w:rFonts w:asciiTheme="minorEastAsia" w:hAnsiTheme="minorEastAsia" w:eastAsiaTheme="minorEastAsia" w:cstheme="minorEastAsia"/>
                <w:color w:val="000000"/>
                <w:szCs w:val="21"/>
              </w:rPr>
            </w:pPr>
            <w:r>
              <w:rPr>
                <w:rFonts w:cs="Calibri"/>
                <w:color w:val="000000"/>
                <w:kern w:val="0"/>
                <w:sz w:val="22"/>
                <w:lang w:bidi="ar"/>
              </w:rPr>
              <w:t>梨树乡东柞村</w:t>
            </w:r>
          </w:p>
        </w:tc>
        <w:tc>
          <w:tcPr>
            <w:tcW w:w="5670" w:type="dxa"/>
            <w:tcBorders>
              <w:top w:val="single" w:color="auto" w:sz="4" w:space="0"/>
              <w:left w:val="nil"/>
              <w:bottom w:val="single" w:color="auto" w:sz="4" w:space="0"/>
              <w:right w:val="single" w:color="auto" w:sz="4" w:space="0"/>
            </w:tcBorders>
            <w:vAlign w:val="bottom"/>
          </w:tcPr>
          <w:p w14:paraId="210EF374">
            <w:pPr>
              <w:widowControl/>
              <w:jc w:val="left"/>
              <w:textAlignment w:val="bottom"/>
              <w:rPr>
                <w:rFonts w:asciiTheme="minorEastAsia" w:hAnsiTheme="minorEastAsia" w:eastAsiaTheme="minorEastAsia" w:cstheme="minorEastAsia"/>
                <w:color w:val="000000"/>
                <w:kern w:val="0"/>
                <w:szCs w:val="21"/>
              </w:rPr>
            </w:pPr>
            <w:r>
              <w:rPr>
                <w:rFonts w:cs="Calibri"/>
                <w:color w:val="000000"/>
                <w:kern w:val="0"/>
                <w:sz w:val="22"/>
                <w:lang w:bidi="ar"/>
              </w:rPr>
              <w:t>乙醇汽油、柴油</w:t>
            </w:r>
          </w:p>
        </w:tc>
        <w:tc>
          <w:tcPr>
            <w:tcW w:w="1701" w:type="dxa"/>
            <w:tcBorders>
              <w:top w:val="single" w:color="auto" w:sz="4" w:space="0"/>
              <w:left w:val="nil"/>
              <w:bottom w:val="single" w:color="auto" w:sz="4" w:space="0"/>
              <w:right w:val="single" w:color="auto" w:sz="4" w:space="0"/>
            </w:tcBorders>
            <w:vAlign w:val="center"/>
          </w:tcPr>
          <w:p w14:paraId="1DC0CC78">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加油站</w:t>
            </w:r>
          </w:p>
        </w:tc>
      </w:tr>
      <w:tr w14:paraId="4D03E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22" w:type="dxa"/>
            <w:tcBorders>
              <w:top w:val="single" w:color="auto" w:sz="4" w:space="0"/>
              <w:left w:val="single" w:color="auto" w:sz="4" w:space="0"/>
              <w:bottom w:val="single" w:color="auto" w:sz="4" w:space="0"/>
              <w:right w:val="single" w:color="auto" w:sz="4" w:space="0"/>
            </w:tcBorders>
            <w:vAlign w:val="center"/>
          </w:tcPr>
          <w:p w14:paraId="00C19612">
            <w:pPr>
              <w:jc w:val="center"/>
              <w:rPr>
                <w:rFonts w:asciiTheme="minorEastAsia" w:hAnsiTheme="minorEastAsia" w:eastAsiaTheme="minorEastAsia"/>
                <w:szCs w:val="21"/>
              </w:rPr>
            </w:pPr>
            <w:r>
              <w:rPr>
                <w:rFonts w:hint="eastAsia" w:asciiTheme="minorEastAsia" w:hAnsiTheme="minorEastAsia" w:eastAsiaTheme="minorEastAsia"/>
                <w:szCs w:val="21"/>
              </w:rPr>
              <w:t>29</w:t>
            </w:r>
          </w:p>
        </w:tc>
        <w:tc>
          <w:tcPr>
            <w:tcW w:w="3497" w:type="dxa"/>
            <w:tcBorders>
              <w:top w:val="single" w:color="auto" w:sz="4" w:space="0"/>
              <w:left w:val="nil"/>
              <w:bottom w:val="single" w:color="auto" w:sz="4" w:space="0"/>
              <w:right w:val="single" w:color="auto" w:sz="4" w:space="0"/>
            </w:tcBorders>
            <w:vAlign w:val="bottom"/>
          </w:tcPr>
          <w:p w14:paraId="632140E7">
            <w:pPr>
              <w:widowControl/>
              <w:jc w:val="left"/>
              <w:textAlignment w:val="bottom"/>
              <w:rPr>
                <w:rFonts w:asciiTheme="minorEastAsia" w:hAnsiTheme="minorEastAsia" w:eastAsiaTheme="minorEastAsia" w:cstheme="minorEastAsia"/>
                <w:szCs w:val="21"/>
              </w:rPr>
            </w:pPr>
            <w:r>
              <w:rPr>
                <w:rFonts w:cs="Calibri"/>
                <w:color w:val="000000"/>
                <w:kern w:val="0"/>
                <w:sz w:val="22"/>
                <w:lang w:bidi="ar"/>
              </w:rPr>
              <w:t>桦南县桦丰加油站</w:t>
            </w:r>
          </w:p>
        </w:tc>
        <w:tc>
          <w:tcPr>
            <w:tcW w:w="2693" w:type="dxa"/>
            <w:tcBorders>
              <w:top w:val="single" w:color="auto" w:sz="4" w:space="0"/>
              <w:left w:val="nil"/>
              <w:bottom w:val="single" w:color="auto" w:sz="4" w:space="0"/>
              <w:right w:val="single" w:color="auto" w:sz="4" w:space="0"/>
            </w:tcBorders>
            <w:vAlign w:val="bottom"/>
          </w:tcPr>
          <w:p w14:paraId="68DA843D">
            <w:pPr>
              <w:widowControl/>
              <w:jc w:val="left"/>
              <w:textAlignment w:val="bottom"/>
              <w:rPr>
                <w:rFonts w:asciiTheme="minorEastAsia" w:hAnsiTheme="minorEastAsia" w:eastAsiaTheme="minorEastAsia" w:cstheme="minorEastAsia"/>
                <w:color w:val="000000"/>
                <w:szCs w:val="21"/>
              </w:rPr>
            </w:pPr>
            <w:r>
              <w:rPr>
                <w:rFonts w:cs="Calibri"/>
                <w:color w:val="000000"/>
                <w:kern w:val="0"/>
                <w:sz w:val="22"/>
                <w:lang w:bidi="ar"/>
              </w:rPr>
              <w:t>桦南镇桦丰村</w:t>
            </w:r>
          </w:p>
        </w:tc>
        <w:tc>
          <w:tcPr>
            <w:tcW w:w="5670" w:type="dxa"/>
            <w:tcBorders>
              <w:top w:val="single" w:color="auto" w:sz="4" w:space="0"/>
              <w:left w:val="nil"/>
              <w:bottom w:val="single" w:color="auto" w:sz="4" w:space="0"/>
              <w:right w:val="single" w:color="auto" w:sz="4" w:space="0"/>
            </w:tcBorders>
            <w:vAlign w:val="bottom"/>
          </w:tcPr>
          <w:p w14:paraId="3345965A">
            <w:pPr>
              <w:widowControl/>
              <w:jc w:val="left"/>
              <w:textAlignment w:val="bottom"/>
              <w:rPr>
                <w:rFonts w:asciiTheme="minorEastAsia" w:hAnsiTheme="minorEastAsia" w:eastAsiaTheme="minorEastAsia" w:cstheme="minorEastAsia"/>
                <w:color w:val="000000"/>
                <w:kern w:val="0"/>
                <w:szCs w:val="21"/>
              </w:rPr>
            </w:pPr>
            <w:r>
              <w:rPr>
                <w:rFonts w:cs="Calibri"/>
                <w:color w:val="000000"/>
                <w:kern w:val="0"/>
                <w:sz w:val="22"/>
                <w:lang w:bidi="ar"/>
              </w:rPr>
              <w:t>乙醇汽油、柴油</w:t>
            </w:r>
          </w:p>
        </w:tc>
        <w:tc>
          <w:tcPr>
            <w:tcW w:w="1701" w:type="dxa"/>
            <w:tcBorders>
              <w:top w:val="single" w:color="auto" w:sz="4" w:space="0"/>
              <w:left w:val="nil"/>
              <w:bottom w:val="single" w:color="auto" w:sz="4" w:space="0"/>
              <w:right w:val="single" w:color="auto" w:sz="4" w:space="0"/>
            </w:tcBorders>
            <w:vAlign w:val="center"/>
          </w:tcPr>
          <w:p w14:paraId="1A83CFE5">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加油站</w:t>
            </w:r>
          </w:p>
        </w:tc>
      </w:tr>
      <w:tr w14:paraId="25074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22" w:type="dxa"/>
            <w:tcBorders>
              <w:top w:val="single" w:color="auto" w:sz="4" w:space="0"/>
              <w:left w:val="single" w:color="auto" w:sz="4" w:space="0"/>
              <w:bottom w:val="single" w:color="auto" w:sz="4" w:space="0"/>
              <w:right w:val="single" w:color="auto" w:sz="4" w:space="0"/>
            </w:tcBorders>
            <w:vAlign w:val="center"/>
          </w:tcPr>
          <w:p w14:paraId="2E9FA09F">
            <w:pPr>
              <w:jc w:val="center"/>
              <w:rPr>
                <w:rFonts w:asciiTheme="minorEastAsia" w:hAnsiTheme="minorEastAsia" w:eastAsiaTheme="minorEastAsia"/>
                <w:szCs w:val="21"/>
              </w:rPr>
            </w:pPr>
            <w:r>
              <w:rPr>
                <w:rFonts w:hint="eastAsia" w:asciiTheme="minorEastAsia" w:hAnsiTheme="minorEastAsia" w:eastAsiaTheme="minorEastAsia"/>
                <w:szCs w:val="21"/>
              </w:rPr>
              <w:t>30</w:t>
            </w:r>
          </w:p>
        </w:tc>
        <w:tc>
          <w:tcPr>
            <w:tcW w:w="3497" w:type="dxa"/>
            <w:tcBorders>
              <w:top w:val="single" w:color="auto" w:sz="4" w:space="0"/>
              <w:left w:val="nil"/>
              <w:bottom w:val="single" w:color="auto" w:sz="4" w:space="0"/>
              <w:right w:val="single" w:color="auto" w:sz="4" w:space="0"/>
            </w:tcBorders>
            <w:vAlign w:val="bottom"/>
          </w:tcPr>
          <w:p w14:paraId="641A661C">
            <w:pPr>
              <w:widowControl/>
              <w:jc w:val="left"/>
              <w:textAlignment w:val="bottom"/>
              <w:rPr>
                <w:rFonts w:asciiTheme="minorEastAsia" w:hAnsiTheme="minorEastAsia" w:eastAsiaTheme="minorEastAsia" w:cstheme="minorEastAsia"/>
                <w:szCs w:val="21"/>
              </w:rPr>
            </w:pPr>
            <w:r>
              <w:rPr>
                <w:rFonts w:cs="Calibri"/>
                <w:color w:val="000000"/>
                <w:kern w:val="0"/>
                <w:sz w:val="22"/>
                <w:lang w:bidi="ar"/>
              </w:rPr>
              <w:t>中国石油天然气股份有限公司黑龙江佳木斯桦南销售分公司金缸加油站</w:t>
            </w:r>
          </w:p>
        </w:tc>
        <w:tc>
          <w:tcPr>
            <w:tcW w:w="2693" w:type="dxa"/>
            <w:tcBorders>
              <w:top w:val="single" w:color="auto" w:sz="4" w:space="0"/>
              <w:left w:val="nil"/>
              <w:bottom w:val="single" w:color="auto" w:sz="4" w:space="0"/>
              <w:right w:val="single" w:color="auto" w:sz="4" w:space="0"/>
            </w:tcBorders>
            <w:vAlign w:val="bottom"/>
          </w:tcPr>
          <w:p w14:paraId="36EC80F5">
            <w:pPr>
              <w:widowControl/>
              <w:jc w:val="left"/>
              <w:textAlignment w:val="bottom"/>
              <w:rPr>
                <w:rFonts w:asciiTheme="minorEastAsia" w:hAnsiTheme="minorEastAsia" w:eastAsiaTheme="minorEastAsia" w:cstheme="minorEastAsia"/>
                <w:color w:val="000000"/>
                <w:szCs w:val="21"/>
              </w:rPr>
            </w:pPr>
            <w:r>
              <w:rPr>
                <w:rFonts w:cs="Calibri"/>
                <w:color w:val="000000"/>
                <w:kern w:val="0"/>
                <w:sz w:val="22"/>
                <w:lang w:bidi="ar"/>
              </w:rPr>
              <w:t>驼腰子镇金缸村</w:t>
            </w:r>
          </w:p>
        </w:tc>
        <w:tc>
          <w:tcPr>
            <w:tcW w:w="5670" w:type="dxa"/>
            <w:tcBorders>
              <w:top w:val="single" w:color="auto" w:sz="4" w:space="0"/>
              <w:left w:val="nil"/>
              <w:bottom w:val="single" w:color="auto" w:sz="4" w:space="0"/>
              <w:right w:val="single" w:color="auto" w:sz="4" w:space="0"/>
            </w:tcBorders>
            <w:vAlign w:val="bottom"/>
          </w:tcPr>
          <w:p w14:paraId="25D6E6FF">
            <w:pPr>
              <w:widowControl/>
              <w:jc w:val="left"/>
              <w:textAlignment w:val="bottom"/>
              <w:rPr>
                <w:rFonts w:asciiTheme="minorEastAsia" w:hAnsiTheme="minorEastAsia" w:eastAsiaTheme="minorEastAsia" w:cstheme="minorEastAsia"/>
                <w:color w:val="000000"/>
                <w:kern w:val="0"/>
                <w:szCs w:val="21"/>
              </w:rPr>
            </w:pPr>
            <w:r>
              <w:rPr>
                <w:rFonts w:cs="Calibri"/>
                <w:color w:val="000000"/>
                <w:kern w:val="0"/>
                <w:sz w:val="22"/>
                <w:lang w:bidi="ar"/>
              </w:rPr>
              <w:br w:type="textWrapping"/>
            </w:r>
            <w:r>
              <w:rPr>
                <w:rFonts w:cs="Calibri"/>
                <w:color w:val="000000"/>
                <w:kern w:val="0"/>
                <w:sz w:val="22"/>
                <w:lang w:bidi="ar"/>
              </w:rPr>
              <w:t>乙醇汽油、柴油</w:t>
            </w:r>
          </w:p>
        </w:tc>
        <w:tc>
          <w:tcPr>
            <w:tcW w:w="1701" w:type="dxa"/>
            <w:tcBorders>
              <w:top w:val="single" w:color="auto" w:sz="4" w:space="0"/>
              <w:left w:val="nil"/>
              <w:bottom w:val="single" w:color="auto" w:sz="4" w:space="0"/>
              <w:right w:val="single" w:color="auto" w:sz="4" w:space="0"/>
            </w:tcBorders>
            <w:vAlign w:val="center"/>
          </w:tcPr>
          <w:p w14:paraId="1826945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加油站</w:t>
            </w:r>
          </w:p>
        </w:tc>
      </w:tr>
      <w:tr w14:paraId="12FDE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22" w:type="dxa"/>
            <w:tcBorders>
              <w:top w:val="single" w:color="auto" w:sz="4" w:space="0"/>
              <w:left w:val="single" w:color="auto" w:sz="4" w:space="0"/>
              <w:bottom w:val="single" w:color="auto" w:sz="4" w:space="0"/>
              <w:right w:val="single" w:color="auto" w:sz="4" w:space="0"/>
            </w:tcBorders>
            <w:vAlign w:val="center"/>
          </w:tcPr>
          <w:p w14:paraId="551DF99D">
            <w:pPr>
              <w:jc w:val="center"/>
              <w:rPr>
                <w:rFonts w:asciiTheme="minorEastAsia" w:hAnsiTheme="minorEastAsia" w:eastAsiaTheme="minorEastAsia"/>
                <w:szCs w:val="21"/>
              </w:rPr>
            </w:pPr>
            <w:r>
              <w:rPr>
                <w:rFonts w:hint="eastAsia" w:asciiTheme="minorEastAsia" w:hAnsiTheme="minorEastAsia" w:eastAsiaTheme="minorEastAsia"/>
                <w:szCs w:val="21"/>
              </w:rPr>
              <w:t>31</w:t>
            </w:r>
          </w:p>
        </w:tc>
        <w:tc>
          <w:tcPr>
            <w:tcW w:w="3497" w:type="dxa"/>
            <w:tcBorders>
              <w:top w:val="single" w:color="auto" w:sz="4" w:space="0"/>
              <w:left w:val="nil"/>
              <w:bottom w:val="single" w:color="auto" w:sz="4" w:space="0"/>
              <w:right w:val="single" w:color="auto" w:sz="4" w:space="0"/>
            </w:tcBorders>
            <w:vAlign w:val="bottom"/>
          </w:tcPr>
          <w:p w14:paraId="7CBFC574">
            <w:pPr>
              <w:widowControl/>
              <w:jc w:val="left"/>
              <w:textAlignment w:val="bottom"/>
              <w:rPr>
                <w:rFonts w:asciiTheme="minorEastAsia" w:hAnsiTheme="minorEastAsia" w:eastAsiaTheme="minorEastAsia" w:cstheme="minorEastAsia"/>
                <w:szCs w:val="21"/>
              </w:rPr>
            </w:pPr>
            <w:r>
              <w:rPr>
                <w:rFonts w:cs="Calibri"/>
                <w:color w:val="000000"/>
                <w:kern w:val="0"/>
                <w:sz w:val="22"/>
                <w:lang w:bidi="ar"/>
              </w:rPr>
              <w:t>桦南县八虎力加油站</w:t>
            </w:r>
          </w:p>
        </w:tc>
        <w:tc>
          <w:tcPr>
            <w:tcW w:w="2693" w:type="dxa"/>
            <w:tcBorders>
              <w:top w:val="single" w:color="auto" w:sz="4" w:space="0"/>
              <w:left w:val="nil"/>
              <w:bottom w:val="single" w:color="auto" w:sz="4" w:space="0"/>
              <w:right w:val="single" w:color="auto" w:sz="4" w:space="0"/>
            </w:tcBorders>
            <w:vAlign w:val="bottom"/>
          </w:tcPr>
          <w:p w14:paraId="1D748AFC">
            <w:pPr>
              <w:widowControl/>
              <w:jc w:val="left"/>
              <w:textAlignment w:val="bottom"/>
              <w:rPr>
                <w:rFonts w:asciiTheme="minorEastAsia" w:hAnsiTheme="minorEastAsia" w:eastAsiaTheme="minorEastAsia" w:cstheme="minorEastAsia"/>
                <w:color w:val="000000"/>
                <w:szCs w:val="21"/>
              </w:rPr>
            </w:pPr>
            <w:r>
              <w:rPr>
                <w:rFonts w:cs="Calibri"/>
                <w:color w:val="000000"/>
                <w:kern w:val="0"/>
                <w:sz w:val="22"/>
                <w:lang w:bidi="ar"/>
              </w:rPr>
              <w:t>孟家岗镇八虎力村</w:t>
            </w:r>
          </w:p>
        </w:tc>
        <w:tc>
          <w:tcPr>
            <w:tcW w:w="5670" w:type="dxa"/>
            <w:tcBorders>
              <w:top w:val="single" w:color="auto" w:sz="4" w:space="0"/>
              <w:left w:val="nil"/>
              <w:bottom w:val="single" w:color="auto" w:sz="4" w:space="0"/>
              <w:right w:val="single" w:color="auto" w:sz="4" w:space="0"/>
            </w:tcBorders>
            <w:vAlign w:val="bottom"/>
          </w:tcPr>
          <w:p w14:paraId="6963E7A2">
            <w:pPr>
              <w:widowControl/>
              <w:jc w:val="left"/>
              <w:textAlignment w:val="bottom"/>
              <w:rPr>
                <w:rFonts w:asciiTheme="minorEastAsia" w:hAnsiTheme="minorEastAsia" w:eastAsiaTheme="minorEastAsia" w:cstheme="minorEastAsia"/>
                <w:color w:val="000000"/>
                <w:kern w:val="0"/>
                <w:szCs w:val="21"/>
              </w:rPr>
            </w:pPr>
            <w:r>
              <w:rPr>
                <w:rFonts w:cs="Calibri"/>
                <w:color w:val="000000"/>
                <w:kern w:val="0"/>
                <w:sz w:val="22"/>
                <w:lang w:bidi="ar"/>
              </w:rPr>
              <w:t>乙醇汽油</w:t>
            </w:r>
            <w:r>
              <w:rPr>
                <w:rFonts w:hint="eastAsia" w:cs="Calibri"/>
                <w:color w:val="000000"/>
                <w:kern w:val="0"/>
                <w:sz w:val="22"/>
                <w:lang w:bidi="ar"/>
              </w:rPr>
              <w:t>、</w:t>
            </w:r>
            <w:r>
              <w:rPr>
                <w:rFonts w:cs="Calibri"/>
                <w:color w:val="000000"/>
                <w:kern w:val="0"/>
                <w:sz w:val="22"/>
                <w:lang w:bidi="ar"/>
              </w:rPr>
              <w:t>柴油</w:t>
            </w:r>
          </w:p>
        </w:tc>
        <w:tc>
          <w:tcPr>
            <w:tcW w:w="1701" w:type="dxa"/>
            <w:tcBorders>
              <w:top w:val="single" w:color="auto" w:sz="4" w:space="0"/>
              <w:left w:val="nil"/>
              <w:bottom w:val="single" w:color="auto" w:sz="4" w:space="0"/>
              <w:right w:val="single" w:color="auto" w:sz="4" w:space="0"/>
            </w:tcBorders>
            <w:vAlign w:val="center"/>
          </w:tcPr>
          <w:p w14:paraId="4B752D48">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加油站</w:t>
            </w:r>
          </w:p>
        </w:tc>
      </w:tr>
      <w:tr w14:paraId="6E5A9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22" w:type="dxa"/>
            <w:tcBorders>
              <w:top w:val="single" w:color="auto" w:sz="4" w:space="0"/>
              <w:left w:val="single" w:color="auto" w:sz="4" w:space="0"/>
              <w:bottom w:val="single" w:color="auto" w:sz="4" w:space="0"/>
              <w:right w:val="single" w:color="auto" w:sz="4" w:space="0"/>
            </w:tcBorders>
            <w:vAlign w:val="center"/>
          </w:tcPr>
          <w:p w14:paraId="10D28A5D">
            <w:pPr>
              <w:jc w:val="center"/>
              <w:rPr>
                <w:rFonts w:asciiTheme="minorEastAsia" w:hAnsiTheme="minorEastAsia" w:eastAsiaTheme="minorEastAsia"/>
                <w:szCs w:val="21"/>
              </w:rPr>
            </w:pPr>
            <w:r>
              <w:rPr>
                <w:rFonts w:hint="eastAsia" w:asciiTheme="minorEastAsia" w:hAnsiTheme="minorEastAsia" w:eastAsiaTheme="minorEastAsia"/>
                <w:szCs w:val="21"/>
              </w:rPr>
              <w:t>32</w:t>
            </w:r>
          </w:p>
        </w:tc>
        <w:tc>
          <w:tcPr>
            <w:tcW w:w="3497" w:type="dxa"/>
            <w:tcBorders>
              <w:top w:val="single" w:color="auto" w:sz="4" w:space="0"/>
              <w:left w:val="nil"/>
              <w:bottom w:val="single" w:color="auto" w:sz="4" w:space="0"/>
              <w:right w:val="single" w:color="auto" w:sz="4" w:space="0"/>
            </w:tcBorders>
            <w:vAlign w:val="bottom"/>
          </w:tcPr>
          <w:p w14:paraId="6214EFD4">
            <w:pPr>
              <w:widowControl/>
              <w:jc w:val="left"/>
              <w:textAlignment w:val="bottom"/>
              <w:rPr>
                <w:rFonts w:asciiTheme="minorEastAsia" w:hAnsiTheme="minorEastAsia" w:eastAsiaTheme="minorEastAsia" w:cstheme="minorEastAsia"/>
                <w:szCs w:val="21"/>
              </w:rPr>
            </w:pPr>
            <w:r>
              <w:rPr>
                <w:rFonts w:cs="Calibri"/>
                <w:color w:val="000000"/>
                <w:kern w:val="0"/>
                <w:sz w:val="22"/>
                <w:lang w:bidi="ar"/>
              </w:rPr>
              <w:t>佳木斯中闽成品油销售有限公司</w:t>
            </w:r>
          </w:p>
        </w:tc>
        <w:tc>
          <w:tcPr>
            <w:tcW w:w="2693" w:type="dxa"/>
            <w:tcBorders>
              <w:top w:val="single" w:color="auto" w:sz="4" w:space="0"/>
              <w:left w:val="nil"/>
              <w:bottom w:val="single" w:color="auto" w:sz="4" w:space="0"/>
              <w:right w:val="single" w:color="auto" w:sz="4" w:space="0"/>
            </w:tcBorders>
            <w:vAlign w:val="bottom"/>
          </w:tcPr>
          <w:p w14:paraId="544E8D4C">
            <w:pPr>
              <w:widowControl/>
              <w:jc w:val="left"/>
              <w:textAlignment w:val="bottom"/>
              <w:rPr>
                <w:rFonts w:asciiTheme="minorEastAsia" w:hAnsiTheme="minorEastAsia" w:eastAsiaTheme="minorEastAsia" w:cstheme="minorEastAsia"/>
                <w:color w:val="000000"/>
                <w:szCs w:val="21"/>
                <w:highlight w:val="yellow"/>
              </w:rPr>
            </w:pPr>
            <w:r>
              <w:rPr>
                <w:rFonts w:cs="Calibri"/>
                <w:color w:val="000000"/>
                <w:kern w:val="0"/>
                <w:sz w:val="22"/>
                <w:highlight w:val="yellow"/>
                <w:lang w:bidi="ar"/>
              </w:rPr>
              <w:t>腰营子村012县道出城拍照出60路南</w:t>
            </w:r>
          </w:p>
        </w:tc>
        <w:tc>
          <w:tcPr>
            <w:tcW w:w="5670" w:type="dxa"/>
            <w:tcBorders>
              <w:top w:val="single" w:color="auto" w:sz="4" w:space="0"/>
              <w:left w:val="nil"/>
              <w:bottom w:val="single" w:color="auto" w:sz="4" w:space="0"/>
              <w:right w:val="single" w:color="auto" w:sz="4" w:space="0"/>
            </w:tcBorders>
            <w:vAlign w:val="bottom"/>
          </w:tcPr>
          <w:p w14:paraId="586770A5">
            <w:pPr>
              <w:widowControl/>
              <w:jc w:val="left"/>
              <w:textAlignment w:val="bottom"/>
              <w:rPr>
                <w:rFonts w:asciiTheme="minorEastAsia" w:hAnsiTheme="minorEastAsia" w:eastAsiaTheme="minorEastAsia" w:cstheme="minorEastAsia"/>
                <w:color w:val="000000"/>
                <w:kern w:val="0"/>
                <w:szCs w:val="21"/>
              </w:rPr>
            </w:pPr>
            <w:r>
              <w:rPr>
                <w:rFonts w:cs="Calibri"/>
                <w:color w:val="000000"/>
                <w:kern w:val="0"/>
                <w:sz w:val="22"/>
                <w:lang w:bidi="ar"/>
              </w:rPr>
              <w:t>乙醇汽油、柴油</w:t>
            </w:r>
          </w:p>
        </w:tc>
        <w:tc>
          <w:tcPr>
            <w:tcW w:w="1701" w:type="dxa"/>
            <w:tcBorders>
              <w:top w:val="single" w:color="auto" w:sz="4" w:space="0"/>
              <w:left w:val="nil"/>
              <w:bottom w:val="single" w:color="auto" w:sz="4" w:space="0"/>
              <w:right w:val="single" w:color="auto" w:sz="4" w:space="0"/>
            </w:tcBorders>
            <w:vAlign w:val="center"/>
          </w:tcPr>
          <w:p w14:paraId="2B48D340">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加油站</w:t>
            </w:r>
          </w:p>
        </w:tc>
      </w:tr>
      <w:tr w14:paraId="5A2E2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722" w:type="dxa"/>
            <w:tcBorders>
              <w:top w:val="single" w:color="auto" w:sz="4" w:space="0"/>
              <w:left w:val="single" w:color="auto" w:sz="4" w:space="0"/>
              <w:bottom w:val="single" w:color="auto" w:sz="4" w:space="0"/>
              <w:right w:val="single" w:color="auto" w:sz="4" w:space="0"/>
            </w:tcBorders>
            <w:vAlign w:val="center"/>
          </w:tcPr>
          <w:p w14:paraId="580BE818">
            <w:pPr>
              <w:jc w:val="center"/>
              <w:rPr>
                <w:rFonts w:asciiTheme="minorEastAsia" w:hAnsiTheme="minorEastAsia" w:eastAsiaTheme="minorEastAsia"/>
                <w:szCs w:val="21"/>
              </w:rPr>
            </w:pPr>
            <w:r>
              <w:rPr>
                <w:rFonts w:hint="eastAsia" w:asciiTheme="minorEastAsia" w:hAnsiTheme="minorEastAsia" w:eastAsiaTheme="minorEastAsia"/>
                <w:szCs w:val="21"/>
              </w:rPr>
              <w:t>33</w:t>
            </w:r>
          </w:p>
        </w:tc>
        <w:tc>
          <w:tcPr>
            <w:tcW w:w="3497" w:type="dxa"/>
            <w:tcBorders>
              <w:top w:val="single" w:color="auto" w:sz="4" w:space="0"/>
              <w:left w:val="nil"/>
              <w:bottom w:val="single" w:color="auto" w:sz="4" w:space="0"/>
              <w:right w:val="single" w:color="auto" w:sz="4" w:space="0"/>
            </w:tcBorders>
            <w:vAlign w:val="bottom"/>
          </w:tcPr>
          <w:p w14:paraId="0AF25A3A">
            <w:pPr>
              <w:widowControl/>
              <w:jc w:val="left"/>
              <w:textAlignment w:val="bottom"/>
              <w:rPr>
                <w:rFonts w:asciiTheme="minorEastAsia" w:hAnsiTheme="minorEastAsia" w:eastAsiaTheme="minorEastAsia" w:cstheme="minorEastAsia"/>
                <w:szCs w:val="21"/>
              </w:rPr>
            </w:pPr>
            <w:r>
              <w:rPr>
                <w:rFonts w:cs="Calibri"/>
                <w:color w:val="000000"/>
                <w:kern w:val="0"/>
                <w:sz w:val="20"/>
                <w:szCs w:val="20"/>
                <w:lang w:bidi="ar"/>
              </w:rPr>
              <w:t>中国石油天然气股份有限公司黑龙江佳木斯桦南销售分公司第四加油站</w:t>
            </w:r>
          </w:p>
        </w:tc>
        <w:tc>
          <w:tcPr>
            <w:tcW w:w="2693" w:type="dxa"/>
            <w:tcBorders>
              <w:top w:val="single" w:color="auto" w:sz="4" w:space="0"/>
              <w:left w:val="nil"/>
              <w:bottom w:val="single" w:color="auto" w:sz="4" w:space="0"/>
              <w:right w:val="single" w:color="auto" w:sz="4" w:space="0"/>
            </w:tcBorders>
            <w:vAlign w:val="bottom"/>
          </w:tcPr>
          <w:p w14:paraId="2D51A3CB">
            <w:pPr>
              <w:widowControl/>
              <w:jc w:val="left"/>
              <w:textAlignment w:val="bottom"/>
              <w:rPr>
                <w:rFonts w:asciiTheme="minorEastAsia" w:hAnsiTheme="minorEastAsia" w:eastAsiaTheme="minorEastAsia" w:cstheme="minorEastAsia"/>
                <w:color w:val="000000"/>
                <w:szCs w:val="21"/>
              </w:rPr>
            </w:pPr>
            <w:r>
              <w:rPr>
                <w:rFonts w:cs="Calibri"/>
                <w:color w:val="000000"/>
                <w:kern w:val="0"/>
                <w:sz w:val="22"/>
                <w:lang w:bidi="ar"/>
              </w:rPr>
              <w:t>桦南镇西兴村</w:t>
            </w:r>
          </w:p>
        </w:tc>
        <w:tc>
          <w:tcPr>
            <w:tcW w:w="5670" w:type="dxa"/>
            <w:tcBorders>
              <w:top w:val="single" w:color="auto" w:sz="4" w:space="0"/>
              <w:left w:val="nil"/>
              <w:bottom w:val="single" w:color="auto" w:sz="4" w:space="0"/>
              <w:right w:val="single" w:color="auto" w:sz="4" w:space="0"/>
            </w:tcBorders>
            <w:vAlign w:val="bottom"/>
          </w:tcPr>
          <w:p w14:paraId="1C12BA50">
            <w:pPr>
              <w:widowControl/>
              <w:jc w:val="left"/>
              <w:textAlignment w:val="bottom"/>
              <w:rPr>
                <w:rFonts w:asciiTheme="minorEastAsia" w:hAnsiTheme="minorEastAsia" w:eastAsiaTheme="minorEastAsia" w:cstheme="minorEastAsia"/>
                <w:color w:val="000000"/>
                <w:kern w:val="0"/>
                <w:szCs w:val="21"/>
              </w:rPr>
            </w:pPr>
            <w:r>
              <w:rPr>
                <w:rFonts w:cs="Calibri"/>
                <w:color w:val="000000"/>
                <w:kern w:val="0"/>
                <w:sz w:val="22"/>
                <w:lang w:bidi="ar"/>
              </w:rPr>
              <w:t>乙醇汽油、柴油</w:t>
            </w:r>
          </w:p>
        </w:tc>
        <w:tc>
          <w:tcPr>
            <w:tcW w:w="1701" w:type="dxa"/>
            <w:tcBorders>
              <w:top w:val="single" w:color="auto" w:sz="4" w:space="0"/>
              <w:left w:val="nil"/>
              <w:bottom w:val="single" w:color="auto" w:sz="4" w:space="0"/>
              <w:right w:val="single" w:color="auto" w:sz="4" w:space="0"/>
            </w:tcBorders>
            <w:vAlign w:val="center"/>
          </w:tcPr>
          <w:p w14:paraId="425DDA4F">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加油站</w:t>
            </w:r>
          </w:p>
        </w:tc>
      </w:tr>
      <w:tr w14:paraId="5BF31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22" w:type="dxa"/>
            <w:tcBorders>
              <w:top w:val="single" w:color="auto" w:sz="4" w:space="0"/>
              <w:left w:val="single" w:color="auto" w:sz="4" w:space="0"/>
              <w:bottom w:val="single" w:color="auto" w:sz="4" w:space="0"/>
              <w:right w:val="single" w:color="auto" w:sz="4" w:space="0"/>
            </w:tcBorders>
            <w:vAlign w:val="center"/>
          </w:tcPr>
          <w:p w14:paraId="5515932F">
            <w:pPr>
              <w:jc w:val="center"/>
              <w:rPr>
                <w:rFonts w:asciiTheme="minorEastAsia" w:hAnsiTheme="minorEastAsia" w:eastAsiaTheme="minorEastAsia"/>
                <w:szCs w:val="21"/>
              </w:rPr>
            </w:pPr>
            <w:r>
              <w:rPr>
                <w:rFonts w:hint="eastAsia" w:asciiTheme="minorEastAsia" w:hAnsiTheme="minorEastAsia" w:eastAsiaTheme="minorEastAsia"/>
                <w:szCs w:val="21"/>
              </w:rPr>
              <w:t>34</w:t>
            </w:r>
          </w:p>
        </w:tc>
        <w:tc>
          <w:tcPr>
            <w:tcW w:w="3497" w:type="dxa"/>
            <w:tcBorders>
              <w:top w:val="single" w:color="auto" w:sz="4" w:space="0"/>
              <w:left w:val="nil"/>
              <w:bottom w:val="single" w:color="auto" w:sz="4" w:space="0"/>
              <w:right w:val="single" w:color="auto" w:sz="4" w:space="0"/>
            </w:tcBorders>
            <w:vAlign w:val="bottom"/>
          </w:tcPr>
          <w:p w14:paraId="53A6F55C">
            <w:pPr>
              <w:widowControl/>
              <w:jc w:val="left"/>
              <w:textAlignment w:val="bottom"/>
              <w:rPr>
                <w:rFonts w:asciiTheme="minorEastAsia" w:hAnsiTheme="minorEastAsia" w:eastAsiaTheme="minorEastAsia" w:cstheme="minorEastAsia"/>
                <w:szCs w:val="21"/>
              </w:rPr>
            </w:pPr>
            <w:r>
              <w:rPr>
                <w:rFonts w:cs="Calibri"/>
                <w:color w:val="000000"/>
                <w:kern w:val="0"/>
                <w:sz w:val="22"/>
                <w:lang w:bidi="ar"/>
              </w:rPr>
              <w:t>桦南县新合加油站</w:t>
            </w:r>
          </w:p>
        </w:tc>
        <w:tc>
          <w:tcPr>
            <w:tcW w:w="2693" w:type="dxa"/>
            <w:tcBorders>
              <w:top w:val="single" w:color="auto" w:sz="4" w:space="0"/>
              <w:left w:val="nil"/>
              <w:bottom w:val="single" w:color="auto" w:sz="4" w:space="0"/>
              <w:right w:val="single" w:color="auto" w:sz="4" w:space="0"/>
            </w:tcBorders>
            <w:vAlign w:val="bottom"/>
          </w:tcPr>
          <w:p w14:paraId="402FDA4E">
            <w:pPr>
              <w:widowControl/>
              <w:jc w:val="left"/>
              <w:textAlignment w:val="bottom"/>
              <w:rPr>
                <w:rFonts w:asciiTheme="minorEastAsia" w:hAnsiTheme="minorEastAsia" w:eastAsiaTheme="minorEastAsia" w:cstheme="minorEastAsia"/>
                <w:color w:val="000000"/>
                <w:szCs w:val="21"/>
              </w:rPr>
            </w:pPr>
            <w:r>
              <w:rPr>
                <w:rFonts w:cs="Calibri"/>
                <w:color w:val="000000"/>
                <w:kern w:val="0"/>
                <w:sz w:val="22"/>
                <w:lang w:bidi="ar"/>
              </w:rPr>
              <w:t>驼腰子镇新合村</w:t>
            </w:r>
          </w:p>
        </w:tc>
        <w:tc>
          <w:tcPr>
            <w:tcW w:w="5670" w:type="dxa"/>
            <w:tcBorders>
              <w:top w:val="single" w:color="auto" w:sz="4" w:space="0"/>
              <w:left w:val="nil"/>
              <w:bottom w:val="single" w:color="auto" w:sz="4" w:space="0"/>
              <w:right w:val="single" w:color="auto" w:sz="4" w:space="0"/>
            </w:tcBorders>
            <w:vAlign w:val="bottom"/>
          </w:tcPr>
          <w:p w14:paraId="6CCD10D7">
            <w:pPr>
              <w:widowControl/>
              <w:jc w:val="left"/>
              <w:textAlignment w:val="bottom"/>
              <w:rPr>
                <w:rFonts w:asciiTheme="minorEastAsia" w:hAnsiTheme="minorEastAsia" w:eastAsiaTheme="minorEastAsia" w:cstheme="minorEastAsia"/>
                <w:color w:val="000000"/>
                <w:kern w:val="0"/>
                <w:szCs w:val="21"/>
              </w:rPr>
            </w:pPr>
            <w:r>
              <w:rPr>
                <w:rFonts w:cs="Calibri"/>
                <w:color w:val="000000"/>
                <w:kern w:val="0"/>
                <w:sz w:val="22"/>
                <w:lang w:bidi="ar"/>
              </w:rPr>
              <w:t>乙醇汽油、柴油</w:t>
            </w:r>
          </w:p>
        </w:tc>
        <w:tc>
          <w:tcPr>
            <w:tcW w:w="1701" w:type="dxa"/>
            <w:tcBorders>
              <w:top w:val="single" w:color="auto" w:sz="4" w:space="0"/>
              <w:left w:val="nil"/>
              <w:bottom w:val="single" w:color="auto" w:sz="4" w:space="0"/>
              <w:right w:val="single" w:color="auto" w:sz="4" w:space="0"/>
            </w:tcBorders>
            <w:vAlign w:val="center"/>
          </w:tcPr>
          <w:p w14:paraId="7DB6D4AD">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加油站</w:t>
            </w:r>
          </w:p>
        </w:tc>
      </w:tr>
      <w:tr w14:paraId="3DD12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22" w:type="dxa"/>
            <w:tcBorders>
              <w:top w:val="single" w:color="auto" w:sz="4" w:space="0"/>
              <w:left w:val="single" w:color="auto" w:sz="4" w:space="0"/>
              <w:bottom w:val="single" w:color="auto" w:sz="4" w:space="0"/>
              <w:right w:val="single" w:color="auto" w:sz="4" w:space="0"/>
            </w:tcBorders>
            <w:vAlign w:val="center"/>
          </w:tcPr>
          <w:p w14:paraId="556DA16A">
            <w:pPr>
              <w:jc w:val="center"/>
              <w:rPr>
                <w:rFonts w:asciiTheme="minorEastAsia" w:hAnsiTheme="minorEastAsia" w:eastAsiaTheme="minorEastAsia"/>
                <w:szCs w:val="21"/>
              </w:rPr>
            </w:pPr>
            <w:r>
              <w:rPr>
                <w:rFonts w:hint="eastAsia" w:asciiTheme="minorEastAsia" w:hAnsiTheme="minorEastAsia" w:eastAsiaTheme="minorEastAsia"/>
                <w:szCs w:val="21"/>
              </w:rPr>
              <w:t>35</w:t>
            </w:r>
          </w:p>
        </w:tc>
        <w:tc>
          <w:tcPr>
            <w:tcW w:w="3497" w:type="dxa"/>
            <w:tcBorders>
              <w:top w:val="single" w:color="auto" w:sz="4" w:space="0"/>
              <w:left w:val="nil"/>
              <w:bottom w:val="single" w:color="auto" w:sz="4" w:space="0"/>
              <w:right w:val="single" w:color="auto" w:sz="4" w:space="0"/>
            </w:tcBorders>
            <w:vAlign w:val="bottom"/>
          </w:tcPr>
          <w:p w14:paraId="78CFE135">
            <w:pPr>
              <w:widowControl/>
              <w:jc w:val="left"/>
              <w:textAlignment w:val="bottom"/>
              <w:rPr>
                <w:rFonts w:asciiTheme="minorEastAsia" w:hAnsiTheme="minorEastAsia" w:eastAsiaTheme="minorEastAsia" w:cstheme="minorEastAsia"/>
                <w:szCs w:val="21"/>
              </w:rPr>
            </w:pPr>
            <w:r>
              <w:rPr>
                <w:rFonts w:cs="Calibri"/>
                <w:color w:val="000000"/>
                <w:kern w:val="0"/>
                <w:sz w:val="22"/>
                <w:lang w:bidi="ar"/>
              </w:rPr>
              <w:t>桦南县海润加油站</w:t>
            </w:r>
          </w:p>
        </w:tc>
        <w:tc>
          <w:tcPr>
            <w:tcW w:w="2693" w:type="dxa"/>
            <w:tcBorders>
              <w:top w:val="single" w:color="auto" w:sz="4" w:space="0"/>
              <w:left w:val="nil"/>
              <w:bottom w:val="single" w:color="auto" w:sz="4" w:space="0"/>
              <w:right w:val="single" w:color="auto" w:sz="4" w:space="0"/>
            </w:tcBorders>
            <w:vAlign w:val="bottom"/>
          </w:tcPr>
          <w:p w14:paraId="2E2FC88B">
            <w:pPr>
              <w:widowControl/>
              <w:jc w:val="left"/>
              <w:textAlignment w:val="bottom"/>
              <w:rPr>
                <w:rFonts w:asciiTheme="minorEastAsia" w:hAnsiTheme="minorEastAsia" w:eastAsiaTheme="minorEastAsia" w:cstheme="minorEastAsia"/>
                <w:color w:val="000000"/>
                <w:szCs w:val="21"/>
              </w:rPr>
            </w:pPr>
            <w:r>
              <w:rPr>
                <w:rFonts w:cs="Calibri"/>
                <w:color w:val="000000"/>
                <w:kern w:val="0"/>
                <w:sz w:val="22"/>
                <w:lang w:bidi="ar"/>
              </w:rPr>
              <w:t>桦南镇正北村</w:t>
            </w:r>
          </w:p>
        </w:tc>
        <w:tc>
          <w:tcPr>
            <w:tcW w:w="5670" w:type="dxa"/>
            <w:tcBorders>
              <w:top w:val="single" w:color="auto" w:sz="4" w:space="0"/>
              <w:left w:val="nil"/>
              <w:bottom w:val="single" w:color="auto" w:sz="4" w:space="0"/>
              <w:right w:val="single" w:color="auto" w:sz="4" w:space="0"/>
            </w:tcBorders>
            <w:vAlign w:val="bottom"/>
          </w:tcPr>
          <w:p w14:paraId="3A42C1C7">
            <w:pPr>
              <w:widowControl/>
              <w:jc w:val="left"/>
              <w:textAlignment w:val="bottom"/>
              <w:rPr>
                <w:rFonts w:asciiTheme="minorEastAsia" w:hAnsiTheme="minorEastAsia" w:eastAsiaTheme="minorEastAsia" w:cstheme="minorEastAsia"/>
                <w:color w:val="000000"/>
                <w:kern w:val="0"/>
                <w:szCs w:val="21"/>
              </w:rPr>
            </w:pPr>
            <w:r>
              <w:rPr>
                <w:rFonts w:cs="Calibri"/>
                <w:color w:val="000000"/>
                <w:kern w:val="0"/>
                <w:sz w:val="22"/>
                <w:lang w:bidi="ar"/>
              </w:rPr>
              <w:t>乙醇汽油、柴油</w:t>
            </w:r>
          </w:p>
        </w:tc>
        <w:tc>
          <w:tcPr>
            <w:tcW w:w="1701" w:type="dxa"/>
            <w:tcBorders>
              <w:top w:val="single" w:color="auto" w:sz="4" w:space="0"/>
              <w:left w:val="nil"/>
              <w:bottom w:val="single" w:color="auto" w:sz="4" w:space="0"/>
              <w:right w:val="single" w:color="auto" w:sz="4" w:space="0"/>
            </w:tcBorders>
            <w:vAlign w:val="center"/>
          </w:tcPr>
          <w:p w14:paraId="70F9074B">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加油站</w:t>
            </w:r>
          </w:p>
        </w:tc>
      </w:tr>
      <w:tr w14:paraId="1F7D3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22" w:type="dxa"/>
            <w:tcBorders>
              <w:top w:val="single" w:color="auto" w:sz="4" w:space="0"/>
              <w:left w:val="single" w:color="auto" w:sz="4" w:space="0"/>
              <w:bottom w:val="single" w:color="auto" w:sz="4" w:space="0"/>
              <w:right w:val="single" w:color="auto" w:sz="4" w:space="0"/>
            </w:tcBorders>
            <w:vAlign w:val="center"/>
          </w:tcPr>
          <w:p w14:paraId="726C16F5">
            <w:pPr>
              <w:jc w:val="center"/>
              <w:rPr>
                <w:rFonts w:asciiTheme="minorEastAsia" w:hAnsiTheme="minorEastAsia" w:eastAsiaTheme="minorEastAsia"/>
                <w:szCs w:val="21"/>
              </w:rPr>
            </w:pPr>
            <w:r>
              <w:rPr>
                <w:rFonts w:hint="eastAsia" w:asciiTheme="minorEastAsia" w:hAnsiTheme="minorEastAsia" w:eastAsiaTheme="minorEastAsia"/>
                <w:szCs w:val="21"/>
              </w:rPr>
              <w:t>36</w:t>
            </w:r>
          </w:p>
        </w:tc>
        <w:tc>
          <w:tcPr>
            <w:tcW w:w="3497" w:type="dxa"/>
            <w:tcBorders>
              <w:top w:val="single" w:color="auto" w:sz="4" w:space="0"/>
              <w:left w:val="nil"/>
              <w:bottom w:val="single" w:color="auto" w:sz="4" w:space="0"/>
              <w:right w:val="single" w:color="auto" w:sz="4" w:space="0"/>
            </w:tcBorders>
            <w:vAlign w:val="bottom"/>
          </w:tcPr>
          <w:p w14:paraId="23107134">
            <w:pPr>
              <w:widowControl/>
              <w:jc w:val="left"/>
              <w:textAlignment w:val="bottom"/>
              <w:rPr>
                <w:rFonts w:asciiTheme="minorEastAsia" w:hAnsiTheme="minorEastAsia" w:eastAsiaTheme="minorEastAsia" w:cstheme="minorEastAsia"/>
                <w:szCs w:val="21"/>
              </w:rPr>
            </w:pPr>
            <w:r>
              <w:rPr>
                <w:rFonts w:cs="Calibri"/>
                <w:color w:val="000000"/>
                <w:kern w:val="0"/>
                <w:sz w:val="22"/>
                <w:lang w:bidi="ar"/>
              </w:rPr>
              <w:t>桦南县鹤大成品油经销有限公司</w:t>
            </w:r>
          </w:p>
        </w:tc>
        <w:tc>
          <w:tcPr>
            <w:tcW w:w="2693" w:type="dxa"/>
            <w:tcBorders>
              <w:top w:val="single" w:color="auto" w:sz="4" w:space="0"/>
              <w:left w:val="nil"/>
              <w:bottom w:val="single" w:color="auto" w:sz="4" w:space="0"/>
              <w:right w:val="single" w:color="auto" w:sz="4" w:space="0"/>
            </w:tcBorders>
            <w:vAlign w:val="bottom"/>
          </w:tcPr>
          <w:p w14:paraId="5DD5C984">
            <w:pPr>
              <w:widowControl/>
              <w:jc w:val="left"/>
              <w:textAlignment w:val="bottom"/>
              <w:rPr>
                <w:rFonts w:asciiTheme="minorEastAsia" w:hAnsiTheme="minorEastAsia" w:eastAsiaTheme="minorEastAsia" w:cstheme="minorEastAsia"/>
                <w:color w:val="000000"/>
                <w:szCs w:val="21"/>
              </w:rPr>
            </w:pPr>
            <w:r>
              <w:rPr>
                <w:rFonts w:cs="Calibri"/>
                <w:color w:val="000000"/>
                <w:kern w:val="0"/>
                <w:sz w:val="22"/>
                <w:lang w:bidi="ar"/>
              </w:rPr>
              <w:t>原种场一队</w:t>
            </w:r>
          </w:p>
        </w:tc>
        <w:tc>
          <w:tcPr>
            <w:tcW w:w="5670" w:type="dxa"/>
            <w:tcBorders>
              <w:top w:val="single" w:color="auto" w:sz="4" w:space="0"/>
              <w:left w:val="nil"/>
              <w:bottom w:val="single" w:color="auto" w:sz="4" w:space="0"/>
              <w:right w:val="single" w:color="auto" w:sz="4" w:space="0"/>
            </w:tcBorders>
            <w:vAlign w:val="bottom"/>
          </w:tcPr>
          <w:p w14:paraId="4189A679">
            <w:pPr>
              <w:widowControl/>
              <w:jc w:val="left"/>
              <w:textAlignment w:val="bottom"/>
              <w:rPr>
                <w:rFonts w:asciiTheme="minorEastAsia" w:hAnsiTheme="minorEastAsia" w:eastAsiaTheme="minorEastAsia" w:cstheme="minorEastAsia"/>
                <w:color w:val="000000"/>
                <w:kern w:val="0"/>
                <w:szCs w:val="21"/>
              </w:rPr>
            </w:pPr>
            <w:r>
              <w:rPr>
                <w:rFonts w:cs="Calibri"/>
                <w:color w:val="000000"/>
                <w:kern w:val="0"/>
                <w:sz w:val="22"/>
                <w:lang w:bidi="ar"/>
              </w:rPr>
              <w:t>乙醇汽油、柴油</w:t>
            </w:r>
          </w:p>
        </w:tc>
        <w:tc>
          <w:tcPr>
            <w:tcW w:w="1701" w:type="dxa"/>
            <w:tcBorders>
              <w:top w:val="single" w:color="auto" w:sz="4" w:space="0"/>
              <w:left w:val="nil"/>
              <w:bottom w:val="single" w:color="auto" w:sz="4" w:space="0"/>
              <w:right w:val="single" w:color="auto" w:sz="4" w:space="0"/>
            </w:tcBorders>
            <w:vAlign w:val="center"/>
          </w:tcPr>
          <w:p w14:paraId="7C800CCD">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加油站</w:t>
            </w:r>
          </w:p>
        </w:tc>
      </w:tr>
      <w:tr w14:paraId="09BBB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22" w:type="dxa"/>
            <w:tcBorders>
              <w:top w:val="single" w:color="auto" w:sz="4" w:space="0"/>
              <w:left w:val="single" w:color="auto" w:sz="4" w:space="0"/>
              <w:bottom w:val="single" w:color="auto" w:sz="4" w:space="0"/>
              <w:right w:val="single" w:color="auto" w:sz="4" w:space="0"/>
            </w:tcBorders>
            <w:vAlign w:val="center"/>
          </w:tcPr>
          <w:p w14:paraId="0876A735">
            <w:pPr>
              <w:jc w:val="center"/>
              <w:rPr>
                <w:rFonts w:asciiTheme="minorEastAsia" w:hAnsiTheme="minorEastAsia" w:eastAsiaTheme="minorEastAsia"/>
                <w:szCs w:val="21"/>
              </w:rPr>
            </w:pPr>
            <w:r>
              <w:rPr>
                <w:rFonts w:hint="eastAsia" w:asciiTheme="minorEastAsia" w:hAnsiTheme="minorEastAsia" w:eastAsiaTheme="minorEastAsia"/>
                <w:szCs w:val="21"/>
              </w:rPr>
              <w:t>37</w:t>
            </w:r>
          </w:p>
        </w:tc>
        <w:tc>
          <w:tcPr>
            <w:tcW w:w="3497" w:type="dxa"/>
            <w:tcBorders>
              <w:top w:val="single" w:color="auto" w:sz="4" w:space="0"/>
              <w:left w:val="nil"/>
              <w:bottom w:val="single" w:color="auto" w:sz="4" w:space="0"/>
              <w:right w:val="single" w:color="auto" w:sz="4" w:space="0"/>
            </w:tcBorders>
            <w:vAlign w:val="bottom"/>
          </w:tcPr>
          <w:p w14:paraId="59022738">
            <w:pPr>
              <w:widowControl/>
              <w:jc w:val="left"/>
              <w:textAlignment w:val="bottom"/>
              <w:rPr>
                <w:rFonts w:asciiTheme="minorEastAsia" w:hAnsiTheme="minorEastAsia" w:eastAsiaTheme="minorEastAsia" w:cstheme="minorEastAsia"/>
                <w:szCs w:val="21"/>
              </w:rPr>
            </w:pPr>
            <w:r>
              <w:rPr>
                <w:rFonts w:cs="Calibri"/>
                <w:color w:val="000000"/>
                <w:kern w:val="0"/>
                <w:sz w:val="22"/>
                <w:lang w:bidi="ar"/>
              </w:rPr>
              <w:t>桦南县佰源加油站</w:t>
            </w:r>
          </w:p>
        </w:tc>
        <w:tc>
          <w:tcPr>
            <w:tcW w:w="2693" w:type="dxa"/>
            <w:tcBorders>
              <w:top w:val="single" w:color="auto" w:sz="4" w:space="0"/>
              <w:left w:val="nil"/>
              <w:bottom w:val="single" w:color="auto" w:sz="4" w:space="0"/>
              <w:right w:val="single" w:color="auto" w:sz="4" w:space="0"/>
            </w:tcBorders>
            <w:vAlign w:val="bottom"/>
          </w:tcPr>
          <w:p w14:paraId="302300F0">
            <w:pPr>
              <w:widowControl/>
              <w:jc w:val="left"/>
              <w:textAlignment w:val="bottom"/>
              <w:rPr>
                <w:rFonts w:asciiTheme="minorEastAsia" w:hAnsiTheme="minorEastAsia" w:eastAsiaTheme="minorEastAsia" w:cstheme="minorEastAsia"/>
                <w:color w:val="000000"/>
                <w:szCs w:val="21"/>
              </w:rPr>
            </w:pPr>
            <w:r>
              <w:rPr>
                <w:rFonts w:cs="Calibri"/>
                <w:color w:val="000000"/>
                <w:kern w:val="0"/>
                <w:sz w:val="22"/>
                <w:lang w:bidi="ar"/>
              </w:rPr>
              <w:t>明义乡共和村鹤大复线西侧</w:t>
            </w:r>
          </w:p>
        </w:tc>
        <w:tc>
          <w:tcPr>
            <w:tcW w:w="5670" w:type="dxa"/>
            <w:tcBorders>
              <w:top w:val="single" w:color="auto" w:sz="4" w:space="0"/>
              <w:left w:val="nil"/>
              <w:bottom w:val="single" w:color="auto" w:sz="4" w:space="0"/>
              <w:right w:val="single" w:color="auto" w:sz="4" w:space="0"/>
            </w:tcBorders>
            <w:vAlign w:val="bottom"/>
          </w:tcPr>
          <w:p w14:paraId="3D4EB96B">
            <w:pPr>
              <w:widowControl/>
              <w:jc w:val="left"/>
              <w:textAlignment w:val="bottom"/>
              <w:rPr>
                <w:rFonts w:asciiTheme="minorEastAsia" w:hAnsiTheme="minorEastAsia" w:eastAsiaTheme="minorEastAsia" w:cstheme="minorEastAsia"/>
                <w:color w:val="000000"/>
                <w:kern w:val="0"/>
                <w:szCs w:val="21"/>
              </w:rPr>
            </w:pPr>
            <w:r>
              <w:rPr>
                <w:rFonts w:cs="Calibri"/>
                <w:color w:val="000000"/>
                <w:kern w:val="0"/>
                <w:sz w:val="22"/>
                <w:lang w:bidi="ar"/>
              </w:rPr>
              <w:t>乙醇汽油、柴油</w:t>
            </w:r>
          </w:p>
        </w:tc>
        <w:tc>
          <w:tcPr>
            <w:tcW w:w="1701" w:type="dxa"/>
            <w:tcBorders>
              <w:top w:val="single" w:color="auto" w:sz="4" w:space="0"/>
              <w:left w:val="nil"/>
              <w:bottom w:val="single" w:color="auto" w:sz="4" w:space="0"/>
              <w:right w:val="single" w:color="auto" w:sz="4" w:space="0"/>
            </w:tcBorders>
            <w:vAlign w:val="center"/>
          </w:tcPr>
          <w:p w14:paraId="2A5467F8">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加油站</w:t>
            </w:r>
          </w:p>
        </w:tc>
      </w:tr>
      <w:tr w14:paraId="3A8E8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22" w:type="dxa"/>
            <w:tcBorders>
              <w:top w:val="single" w:color="auto" w:sz="4" w:space="0"/>
              <w:left w:val="single" w:color="auto" w:sz="4" w:space="0"/>
              <w:bottom w:val="single" w:color="auto" w:sz="4" w:space="0"/>
              <w:right w:val="single" w:color="auto" w:sz="4" w:space="0"/>
            </w:tcBorders>
            <w:vAlign w:val="center"/>
          </w:tcPr>
          <w:p w14:paraId="2ED2B9AD">
            <w:pPr>
              <w:jc w:val="center"/>
              <w:rPr>
                <w:rFonts w:asciiTheme="minorEastAsia" w:hAnsiTheme="minorEastAsia" w:eastAsiaTheme="minorEastAsia"/>
                <w:szCs w:val="21"/>
              </w:rPr>
            </w:pPr>
            <w:r>
              <w:rPr>
                <w:rFonts w:hint="eastAsia" w:asciiTheme="minorEastAsia" w:hAnsiTheme="minorEastAsia" w:eastAsiaTheme="minorEastAsia"/>
                <w:szCs w:val="21"/>
              </w:rPr>
              <w:t>38</w:t>
            </w:r>
          </w:p>
        </w:tc>
        <w:tc>
          <w:tcPr>
            <w:tcW w:w="3497" w:type="dxa"/>
            <w:tcBorders>
              <w:top w:val="single" w:color="auto" w:sz="4" w:space="0"/>
              <w:left w:val="nil"/>
              <w:bottom w:val="single" w:color="auto" w:sz="4" w:space="0"/>
              <w:right w:val="single" w:color="auto" w:sz="4" w:space="0"/>
            </w:tcBorders>
            <w:vAlign w:val="bottom"/>
          </w:tcPr>
          <w:p w14:paraId="28D3516A">
            <w:pPr>
              <w:widowControl/>
              <w:jc w:val="left"/>
              <w:textAlignment w:val="bottom"/>
              <w:rPr>
                <w:rFonts w:asciiTheme="minorEastAsia" w:hAnsiTheme="minorEastAsia" w:eastAsiaTheme="minorEastAsia" w:cstheme="minorEastAsia"/>
                <w:szCs w:val="21"/>
              </w:rPr>
            </w:pPr>
            <w:r>
              <w:rPr>
                <w:rFonts w:cs="Calibri"/>
                <w:color w:val="000000"/>
                <w:kern w:val="0"/>
                <w:sz w:val="22"/>
                <w:lang w:bidi="ar"/>
              </w:rPr>
              <w:t>桦南县卓越石油有限公司</w:t>
            </w:r>
          </w:p>
        </w:tc>
        <w:tc>
          <w:tcPr>
            <w:tcW w:w="2693" w:type="dxa"/>
            <w:tcBorders>
              <w:top w:val="single" w:color="auto" w:sz="4" w:space="0"/>
              <w:left w:val="nil"/>
              <w:bottom w:val="single" w:color="auto" w:sz="4" w:space="0"/>
              <w:right w:val="single" w:color="auto" w:sz="4" w:space="0"/>
            </w:tcBorders>
            <w:vAlign w:val="bottom"/>
          </w:tcPr>
          <w:p w14:paraId="1A36CB07">
            <w:pPr>
              <w:widowControl/>
              <w:jc w:val="left"/>
              <w:textAlignment w:val="bottom"/>
              <w:rPr>
                <w:rFonts w:asciiTheme="minorEastAsia" w:hAnsiTheme="minorEastAsia" w:eastAsiaTheme="minorEastAsia" w:cstheme="minorEastAsia"/>
                <w:color w:val="000000"/>
                <w:szCs w:val="21"/>
              </w:rPr>
            </w:pPr>
            <w:r>
              <w:rPr>
                <w:rFonts w:cs="Calibri"/>
                <w:color w:val="000000"/>
                <w:kern w:val="0"/>
                <w:sz w:val="22"/>
                <w:lang w:bidi="ar"/>
              </w:rPr>
              <w:t>金沙乡东民主村新建屯</w:t>
            </w:r>
          </w:p>
        </w:tc>
        <w:tc>
          <w:tcPr>
            <w:tcW w:w="5670" w:type="dxa"/>
            <w:tcBorders>
              <w:top w:val="single" w:color="auto" w:sz="4" w:space="0"/>
              <w:left w:val="nil"/>
              <w:bottom w:val="single" w:color="auto" w:sz="4" w:space="0"/>
              <w:right w:val="single" w:color="auto" w:sz="4" w:space="0"/>
            </w:tcBorders>
            <w:vAlign w:val="bottom"/>
          </w:tcPr>
          <w:p w14:paraId="58BEC2E1">
            <w:pPr>
              <w:widowControl/>
              <w:jc w:val="left"/>
              <w:textAlignment w:val="bottom"/>
              <w:rPr>
                <w:rFonts w:asciiTheme="minorEastAsia" w:hAnsiTheme="minorEastAsia" w:eastAsiaTheme="minorEastAsia" w:cstheme="minorEastAsia"/>
                <w:color w:val="000000"/>
                <w:kern w:val="0"/>
                <w:szCs w:val="21"/>
              </w:rPr>
            </w:pPr>
            <w:r>
              <w:rPr>
                <w:rFonts w:cs="Calibri"/>
                <w:color w:val="000000"/>
                <w:kern w:val="0"/>
                <w:sz w:val="22"/>
                <w:lang w:bidi="ar"/>
              </w:rPr>
              <w:t>乙醇汽油、柴油</w:t>
            </w:r>
          </w:p>
        </w:tc>
        <w:tc>
          <w:tcPr>
            <w:tcW w:w="1701" w:type="dxa"/>
            <w:tcBorders>
              <w:top w:val="single" w:color="auto" w:sz="4" w:space="0"/>
              <w:left w:val="nil"/>
              <w:bottom w:val="single" w:color="auto" w:sz="4" w:space="0"/>
              <w:right w:val="single" w:color="auto" w:sz="4" w:space="0"/>
            </w:tcBorders>
            <w:vAlign w:val="center"/>
          </w:tcPr>
          <w:p w14:paraId="3159666E">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加油站</w:t>
            </w:r>
          </w:p>
        </w:tc>
      </w:tr>
      <w:tr w14:paraId="0D196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22" w:type="dxa"/>
            <w:tcBorders>
              <w:top w:val="single" w:color="auto" w:sz="4" w:space="0"/>
              <w:left w:val="single" w:color="auto" w:sz="4" w:space="0"/>
              <w:bottom w:val="single" w:color="auto" w:sz="4" w:space="0"/>
              <w:right w:val="single" w:color="auto" w:sz="4" w:space="0"/>
            </w:tcBorders>
            <w:vAlign w:val="center"/>
          </w:tcPr>
          <w:p w14:paraId="755EB29A">
            <w:pPr>
              <w:jc w:val="center"/>
              <w:rPr>
                <w:rFonts w:asciiTheme="minorEastAsia" w:hAnsiTheme="minorEastAsia" w:eastAsiaTheme="minorEastAsia"/>
                <w:szCs w:val="21"/>
              </w:rPr>
            </w:pPr>
            <w:r>
              <w:rPr>
                <w:rFonts w:hint="eastAsia" w:asciiTheme="minorEastAsia" w:hAnsiTheme="minorEastAsia" w:eastAsiaTheme="minorEastAsia"/>
                <w:szCs w:val="21"/>
              </w:rPr>
              <w:t>39</w:t>
            </w:r>
          </w:p>
        </w:tc>
        <w:tc>
          <w:tcPr>
            <w:tcW w:w="3497" w:type="dxa"/>
            <w:tcBorders>
              <w:top w:val="single" w:color="auto" w:sz="4" w:space="0"/>
              <w:left w:val="nil"/>
              <w:bottom w:val="single" w:color="auto" w:sz="4" w:space="0"/>
              <w:right w:val="single" w:color="auto" w:sz="4" w:space="0"/>
            </w:tcBorders>
            <w:vAlign w:val="bottom"/>
          </w:tcPr>
          <w:p w14:paraId="1E4F56AD">
            <w:pPr>
              <w:widowControl/>
              <w:jc w:val="left"/>
              <w:textAlignment w:val="bottom"/>
              <w:rPr>
                <w:rFonts w:asciiTheme="minorEastAsia" w:hAnsiTheme="minorEastAsia" w:eastAsiaTheme="minorEastAsia" w:cstheme="minorEastAsia"/>
                <w:szCs w:val="21"/>
              </w:rPr>
            </w:pPr>
            <w:r>
              <w:rPr>
                <w:rFonts w:cs="Calibri"/>
                <w:color w:val="000000"/>
                <w:kern w:val="0"/>
                <w:sz w:val="22"/>
                <w:lang w:bidi="ar"/>
              </w:rPr>
              <w:t>黑龙江省桦南林业局有限公司第三加油站</w:t>
            </w:r>
          </w:p>
        </w:tc>
        <w:tc>
          <w:tcPr>
            <w:tcW w:w="2693" w:type="dxa"/>
            <w:tcBorders>
              <w:top w:val="single" w:color="auto" w:sz="4" w:space="0"/>
              <w:left w:val="nil"/>
              <w:bottom w:val="single" w:color="auto" w:sz="4" w:space="0"/>
              <w:right w:val="single" w:color="auto" w:sz="4" w:space="0"/>
            </w:tcBorders>
            <w:vAlign w:val="bottom"/>
          </w:tcPr>
          <w:p w14:paraId="70E74398">
            <w:pPr>
              <w:widowControl/>
              <w:jc w:val="left"/>
              <w:textAlignment w:val="bottom"/>
              <w:rPr>
                <w:rFonts w:asciiTheme="minorEastAsia" w:hAnsiTheme="minorEastAsia" w:eastAsiaTheme="minorEastAsia" w:cstheme="minorEastAsia"/>
                <w:color w:val="000000"/>
                <w:szCs w:val="21"/>
              </w:rPr>
            </w:pPr>
            <w:r>
              <w:rPr>
                <w:rFonts w:cs="Calibri"/>
                <w:color w:val="000000"/>
                <w:kern w:val="0"/>
                <w:sz w:val="22"/>
                <w:lang w:bidi="ar"/>
              </w:rPr>
              <w:t>原下桦检查站东侧</w:t>
            </w:r>
          </w:p>
        </w:tc>
        <w:tc>
          <w:tcPr>
            <w:tcW w:w="5670" w:type="dxa"/>
            <w:tcBorders>
              <w:top w:val="single" w:color="auto" w:sz="4" w:space="0"/>
              <w:left w:val="nil"/>
              <w:bottom w:val="single" w:color="auto" w:sz="4" w:space="0"/>
              <w:right w:val="single" w:color="auto" w:sz="4" w:space="0"/>
            </w:tcBorders>
            <w:vAlign w:val="bottom"/>
          </w:tcPr>
          <w:p w14:paraId="7A4F3CE0">
            <w:pPr>
              <w:widowControl/>
              <w:jc w:val="left"/>
              <w:textAlignment w:val="bottom"/>
              <w:rPr>
                <w:rFonts w:asciiTheme="minorEastAsia" w:hAnsiTheme="minorEastAsia" w:eastAsiaTheme="minorEastAsia" w:cstheme="minorEastAsia"/>
                <w:color w:val="000000"/>
                <w:kern w:val="0"/>
                <w:szCs w:val="21"/>
              </w:rPr>
            </w:pPr>
            <w:r>
              <w:rPr>
                <w:rFonts w:cs="Calibri"/>
                <w:color w:val="000000"/>
                <w:kern w:val="0"/>
                <w:sz w:val="22"/>
                <w:lang w:bidi="ar"/>
              </w:rPr>
              <w:t>乙醇汽油、柴油</w:t>
            </w:r>
          </w:p>
        </w:tc>
        <w:tc>
          <w:tcPr>
            <w:tcW w:w="1701" w:type="dxa"/>
            <w:tcBorders>
              <w:top w:val="single" w:color="auto" w:sz="4" w:space="0"/>
              <w:left w:val="nil"/>
              <w:bottom w:val="single" w:color="auto" w:sz="4" w:space="0"/>
              <w:right w:val="single" w:color="auto" w:sz="4" w:space="0"/>
            </w:tcBorders>
            <w:vAlign w:val="center"/>
          </w:tcPr>
          <w:p w14:paraId="41C163FC">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加油站</w:t>
            </w:r>
          </w:p>
        </w:tc>
      </w:tr>
      <w:tr w14:paraId="3AF9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22" w:type="dxa"/>
            <w:tcBorders>
              <w:top w:val="single" w:color="auto" w:sz="4" w:space="0"/>
              <w:left w:val="single" w:color="auto" w:sz="4" w:space="0"/>
              <w:bottom w:val="single" w:color="auto" w:sz="4" w:space="0"/>
              <w:right w:val="single" w:color="auto" w:sz="4" w:space="0"/>
            </w:tcBorders>
            <w:vAlign w:val="center"/>
          </w:tcPr>
          <w:p w14:paraId="63A09638">
            <w:pPr>
              <w:jc w:val="center"/>
              <w:rPr>
                <w:rFonts w:asciiTheme="minorEastAsia" w:hAnsiTheme="minorEastAsia" w:eastAsiaTheme="minorEastAsia"/>
                <w:szCs w:val="21"/>
              </w:rPr>
            </w:pPr>
            <w:r>
              <w:rPr>
                <w:rFonts w:hint="eastAsia" w:asciiTheme="minorEastAsia" w:hAnsiTheme="minorEastAsia" w:eastAsiaTheme="minorEastAsia"/>
                <w:szCs w:val="21"/>
              </w:rPr>
              <w:t>40</w:t>
            </w:r>
          </w:p>
        </w:tc>
        <w:tc>
          <w:tcPr>
            <w:tcW w:w="3497" w:type="dxa"/>
            <w:tcBorders>
              <w:top w:val="single" w:color="auto" w:sz="4" w:space="0"/>
              <w:left w:val="nil"/>
              <w:bottom w:val="single" w:color="auto" w:sz="4" w:space="0"/>
              <w:right w:val="single" w:color="auto" w:sz="4" w:space="0"/>
            </w:tcBorders>
            <w:vAlign w:val="bottom"/>
          </w:tcPr>
          <w:p w14:paraId="259CDB0E">
            <w:pPr>
              <w:widowControl/>
              <w:jc w:val="left"/>
              <w:textAlignment w:val="bottom"/>
              <w:rPr>
                <w:rFonts w:asciiTheme="minorEastAsia" w:hAnsiTheme="minorEastAsia" w:eastAsiaTheme="minorEastAsia" w:cstheme="minorEastAsia"/>
                <w:szCs w:val="21"/>
              </w:rPr>
            </w:pPr>
            <w:r>
              <w:rPr>
                <w:rFonts w:cs="Calibri"/>
                <w:color w:val="000000"/>
                <w:kern w:val="0"/>
                <w:sz w:val="22"/>
                <w:lang w:bidi="ar"/>
              </w:rPr>
              <w:t>桦南县环城加油站</w:t>
            </w:r>
          </w:p>
        </w:tc>
        <w:tc>
          <w:tcPr>
            <w:tcW w:w="2693" w:type="dxa"/>
            <w:tcBorders>
              <w:top w:val="single" w:color="auto" w:sz="4" w:space="0"/>
              <w:left w:val="nil"/>
              <w:bottom w:val="single" w:color="auto" w:sz="4" w:space="0"/>
              <w:right w:val="single" w:color="auto" w:sz="4" w:space="0"/>
            </w:tcBorders>
            <w:vAlign w:val="bottom"/>
          </w:tcPr>
          <w:p w14:paraId="4E010657">
            <w:pPr>
              <w:widowControl/>
              <w:jc w:val="left"/>
              <w:textAlignment w:val="bottom"/>
              <w:rPr>
                <w:rFonts w:asciiTheme="minorEastAsia" w:hAnsiTheme="minorEastAsia" w:eastAsiaTheme="minorEastAsia" w:cstheme="minorEastAsia"/>
                <w:color w:val="000000"/>
                <w:szCs w:val="21"/>
              </w:rPr>
            </w:pPr>
            <w:r>
              <w:rPr>
                <w:rFonts w:cs="Calibri"/>
                <w:color w:val="000000"/>
                <w:kern w:val="0"/>
                <w:sz w:val="22"/>
                <w:lang w:bidi="ar"/>
              </w:rPr>
              <w:t>历家三队</w:t>
            </w:r>
          </w:p>
        </w:tc>
        <w:tc>
          <w:tcPr>
            <w:tcW w:w="5670" w:type="dxa"/>
            <w:tcBorders>
              <w:top w:val="single" w:color="auto" w:sz="4" w:space="0"/>
              <w:left w:val="nil"/>
              <w:bottom w:val="single" w:color="auto" w:sz="4" w:space="0"/>
              <w:right w:val="single" w:color="auto" w:sz="4" w:space="0"/>
            </w:tcBorders>
            <w:vAlign w:val="bottom"/>
          </w:tcPr>
          <w:p w14:paraId="737C6511">
            <w:pPr>
              <w:widowControl/>
              <w:jc w:val="left"/>
              <w:textAlignment w:val="bottom"/>
              <w:rPr>
                <w:rFonts w:asciiTheme="minorEastAsia" w:hAnsiTheme="minorEastAsia" w:eastAsiaTheme="minorEastAsia" w:cstheme="minorEastAsia"/>
                <w:color w:val="000000"/>
                <w:kern w:val="0"/>
                <w:szCs w:val="21"/>
              </w:rPr>
            </w:pPr>
            <w:r>
              <w:rPr>
                <w:rFonts w:cs="Calibri"/>
                <w:color w:val="000000"/>
                <w:kern w:val="0"/>
                <w:sz w:val="22"/>
                <w:lang w:bidi="ar"/>
              </w:rPr>
              <w:t>乙醇汽油、柴油</w:t>
            </w:r>
          </w:p>
        </w:tc>
        <w:tc>
          <w:tcPr>
            <w:tcW w:w="1701" w:type="dxa"/>
            <w:tcBorders>
              <w:top w:val="single" w:color="auto" w:sz="4" w:space="0"/>
              <w:left w:val="nil"/>
              <w:bottom w:val="single" w:color="auto" w:sz="4" w:space="0"/>
              <w:right w:val="single" w:color="auto" w:sz="4" w:space="0"/>
            </w:tcBorders>
            <w:vAlign w:val="center"/>
          </w:tcPr>
          <w:p w14:paraId="5940B032">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加油站</w:t>
            </w:r>
          </w:p>
        </w:tc>
      </w:tr>
      <w:tr w14:paraId="0C8D9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22" w:type="dxa"/>
            <w:tcBorders>
              <w:top w:val="single" w:color="auto" w:sz="4" w:space="0"/>
              <w:left w:val="single" w:color="auto" w:sz="4" w:space="0"/>
              <w:bottom w:val="single" w:color="auto" w:sz="4" w:space="0"/>
              <w:right w:val="single" w:color="auto" w:sz="4" w:space="0"/>
            </w:tcBorders>
            <w:vAlign w:val="center"/>
          </w:tcPr>
          <w:p w14:paraId="6A0D45D1">
            <w:pPr>
              <w:jc w:val="center"/>
              <w:rPr>
                <w:rFonts w:asciiTheme="minorEastAsia" w:hAnsiTheme="minorEastAsia" w:eastAsiaTheme="minorEastAsia"/>
                <w:szCs w:val="21"/>
              </w:rPr>
            </w:pPr>
            <w:r>
              <w:rPr>
                <w:rFonts w:hint="eastAsia" w:asciiTheme="minorEastAsia" w:hAnsiTheme="minorEastAsia" w:eastAsiaTheme="minorEastAsia"/>
                <w:szCs w:val="21"/>
              </w:rPr>
              <w:t>41</w:t>
            </w:r>
          </w:p>
        </w:tc>
        <w:tc>
          <w:tcPr>
            <w:tcW w:w="3497" w:type="dxa"/>
            <w:tcBorders>
              <w:top w:val="single" w:color="auto" w:sz="4" w:space="0"/>
              <w:left w:val="nil"/>
              <w:bottom w:val="single" w:color="auto" w:sz="4" w:space="0"/>
              <w:right w:val="single" w:color="auto" w:sz="4" w:space="0"/>
            </w:tcBorders>
            <w:vAlign w:val="bottom"/>
          </w:tcPr>
          <w:p w14:paraId="7E642C7A">
            <w:pPr>
              <w:widowControl/>
              <w:jc w:val="left"/>
              <w:textAlignment w:val="bottom"/>
              <w:rPr>
                <w:rFonts w:asciiTheme="minorEastAsia" w:hAnsiTheme="minorEastAsia" w:eastAsiaTheme="minorEastAsia" w:cstheme="minorEastAsia"/>
                <w:szCs w:val="21"/>
              </w:rPr>
            </w:pPr>
            <w:r>
              <w:rPr>
                <w:rFonts w:cs="Calibri"/>
                <w:color w:val="000000"/>
                <w:kern w:val="0"/>
                <w:sz w:val="22"/>
                <w:lang w:bidi="ar"/>
              </w:rPr>
              <w:t>黑龙江省桦南林业局有限公司物资经销处（油库）</w:t>
            </w:r>
          </w:p>
        </w:tc>
        <w:tc>
          <w:tcPr>
            <w:tcW w:w="2693" w:type="dxa"/>
            <w:tcBorders>
              <w:top w:val="single" w:color="auto" w:sz="4" w:space="0"/>
              <w:left w:val="nil"/>
              <w:bottom w:val="single" w:color="auto" w:sz="4" w:space="0"/>
              <w:right w:val="single" w:color="auto" w:sz="4" w:space="0"/>
            </w:tcBorders>
            <w:vAlign w:val="bottom"/>
          </w:tcPr>
          <w:p w14:paraId="3910E6D9">
            <w:pPr>
              <w:widowControl/>
              <w:jc w:val="left"/>
              <w:textAlignment w:val="bottom"/>
              <w:rPr>
                <w:rFonts w:asciiTheme="minorEastAsia" w:hAnsiTheme="minorEastAsia" w:eastAsiaTheme="minorEastAsia" w:cstheme="minorEastAsia"/>
                <w:color w:val="000000"/>
                <w:szCs w:val="21"/>
              </w:rPr>
            </w:pPr>
            <w:r>
              <w:rPr>
                <w:rFonts w:cs="Calibri"/>
                <w:color w:val="000000"/>
                <w:kern w:val="0"/>
                <w:sz w:val="22"/>
                <w:lang w:bidi="ar"/>
              </w:rPr>
              <w:t>桦南林业局</w:t>
            </w:r>
          </w:p>
        </w:tc>
        <w:tc>
          <w:tcPr>
            <w:tcW w:w="5670" w:type="dxa"/>
            <w:tcBorders>
              <w:top w:val="single" w:color="auto" w:sz="4" w:space="0"/>
              <w:left w:val="nil"/>
              <w:bottom w:val="single" w:color="auto" w:sz="4" w:space="0"/>
              <w:right w:val="single" w:color="auto" w:sz="4" w:space="0"/>
            </w:tcBorders>
            <w:vAlign w:val="bottom"/>
          </w:tcPr>
          <w:p w14:paraId="41CB4480">
            <w:pPr>
              <w:widowControl/>
              <w:jc w:val="left"/>
              <w:textAlignment w:val="bottom"/>
              <w:rPr>
                <w:rFonts w:asciiTheme="minorEastAsia" w:hAnsiTheme="minorEastAsia" w:eastAsiaTheme="minorEastAsia" w:cstheme="minorEastAsia"/>
                <w:color w:val="000000"/>
                <w:kern w:val="0"/>
                <w:szCs w:val="21"/>
              </w:rPr>
            </w:pPr>
            <w:r>
              <w:rPr>
                <w:rFonts w:cs="Calibri"/>
                <w:color w:val="000000"/>
                <w:kern w:val="0"/>
                <w:sz w:val="22"/>
                <w:lang w:bidi="ar"/>
              </w:rPr>
              <w:t>乙醇汽油、柴油</w:t>
            </w:r>
          </w:p>
        </w:tc>
        <w:tc>
          <w:tcPr>
            <w:tcW w:w="1701" w:type="dxa"/>
            <w:tcBorders>
              <w:top w:val="single" w:color="auto" w:sz="4" w:space="0"/>
              <w:left w:val="nil"/>
              <w:bottom w:val="single" w:color="auto" w:sz="4" w:space="0"/>
              <w:right w:val="single" w:color="auto" w:sz="4" w:space="0"/>
            </w:tcBorders>
            <w:vAlign w:val="center"/>
          </w:tcPr>
          <w:p w14:paraId="1109741F">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仓储企业（油库）</w:t>
            </w:r>
          </w:p>
        </w:tc>
      </w:tr>
      <w:tr w14:paraId="34923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22" w:type="dxa"/>
            <w:tcBorders>
              <w:top w:val="single" w:color="auto" w:sz="4" w:space="0"/>
              <w:left w:val="single" w:color="auto" w:sz="4" w:space="0"/>
              <w:bottom w:val="single" w:color="auto" w:sz="4" w:space="0"/>
              <w:right w:val="single" w:color="auto" w:sz="4" w:space="0"/>
            </w:tcBorders>
            <w:vAlign w:val="center"/>
          </w:tcPr>
          <w:p w14:paraId="58FEEE32">
            <w:pPr>
              <w:jc w:val="center"/>
              <w:rPr>
                <w:rFonts w:asciiTheme="minorEastAsia" w:hAnsiTheme="minorEastAsia" w:eastAsiaTheme="minorEastAsia"/>
                <w:szCs w:val="21"/>
              </w:rPr>
            </w:pPr>
            <w:r>
              <w:rPr>
                <w:rFonts w:hint="eastAsia" w:asciiTheme="minorEastAsia" w:hAnsiTheme="minorEastAsia" w:eastAsiaTheme="minorEastAsia"/>
                <w:szCs w:val="21"/>
              </w:rPr>
              <w:t>42</w:t>
            </w:r>
          </w:p>
        </w:tc>
        <w:tc>
          <w:tcPr>
            <w:tcW w:w="3497" w:type="dxa"/>
            <w:tcBorders>
              <w:top w:val="single" w:color="auto" w:sz="4" w:space="0"/>
              <w:left w:val="nil"/>
              <w:bottom w:val="single" w:color="auto" w:sz="4" w:space="0"/>
              <w:right w:val="single" w:color="auto" w:sz="4" w:space="0"/>
            </w:tcBorders>
            <w:vAlign w:val="bottom"/>
          </w:tcPr>
          <w:p w14:paraId="08029301">
            <w:pPr>
              <w:widowControl/>
              <w:jc w:val="left"/>
              <w:textAlignment w:val="bottom"/>
              <w:rPr>
                <w:rFonts w:asciiTheme="minorEastAsia" w:hAnsiTheme="minorEastAsia" w:eastAsiaTheme="minorEastAsia" w:cstheme="minorEastAsia"/>
                <w:szCs w:val="21"/>
              </w:rPr>
            </w:pPr>
            <w:r>
              <w:rPr>
                <w:rFonts w:cs="Calibri"/>
                <w:color w:val="000000"/>
                <w:kern w:val="0"/>
                <w:sz w:val="22"/>
                <w:lang w:bidi="ar"/>
              </w:rPr>
              <w:t>中国石油天然气股份有限公司黑龙江佳木斯桦南销售分公司第一加油站</w:t>
            </w:r>
          </w:p>
        </w:tc>
        <w:tc>
          <w:tcPr>
            <w:tcW w:w="2693" w:type="dxa"/>
            <w:tcBorders>
              <w:top w:val="single" w:color="auto" w:sz="4" w:space="0"/>
              <w:left w:val="nil"/>
              <w:bottom w:val="single" w:color="auto" w:sz="4" w:space="0"/>
              <w:right w:val="single" w:color="auto" w:sz="4" w:space="0"/>
            </w:tcBorders>
            <w:vAlign w:val="bottom"/>
          </w:tcPr>
          <w:p w14:paraId="4F954071">
            <w:pPr>
              <w:widowControl/>
              <w:jc w:val="left"/>
              <w:textAlignment w:val="bottom"/>
              <w:rPr>
                <w:rFonts w:asciiTheme="minorEastAsia" w:hAnsiTheme="minorEastAsia" w:eastAsiaTheme="minorEastAsia" w:cstheme="minorEastAsia"/>
                <w:color w:val="000000"/>
                <w:szCs w:val="21"/>
              </w:rPr>
            </w:pPr>
            <w:r>
              <w:rPr>
                <w:rFonts w:cs="Calibri"/>
                <w:color w:val="000000"/>
                <w:kern w:val="0"/>
                <w:sz w:val="22"/>
                <w:lang w:bidi="ar"/>
              </w:rPr>
              <w:t>桦南镇前进路北段</w:t>
            </w:r>
          </w:p>
        </w:tc>
        <w:tc>
          <w:tcPr>
            <w:tcW w:w="5670" w:type="dxa"/>
            <w:tcBorders>
              <w:top w:val="single" w:color="auto" w:sz="4" w:space="0"/>
              <w:left w:val="nil"/>
              <w:bottom w:val="single" w:color="auto" w:sz="4" w:space="0"/>
              <w:right w:val="single" w:color="auto" w:sz="4" w:space="0"/>
            </w:tcBorders>
            <w:vAlign w:val="bottom"/>
          </w:tcPr>
          <w:p w14:paraId="164506F9">
            <w:pPr>
              <w:widowControl/>
              <w:jc w:val="left"/>
              <w:textAlignment w:val="bottom"/>
              <w:rPr>
                <w:rFonts w:asciiTheme="minorEastAsia" w:hAnsiTheme="minorEastAsia" w:eastAsiaTheme="minorEastAsia" w:cstheme="minorEastAsia"/>
                <w:color w:val="000000"/>
                <w:kern w:val="0"/>
                <w:szCs w:val="21"/>
              </w:rPr>
            </w:pPr>
            <w:r>
              <w:rPr>
                <w:rFonts w:cs="Calibri"/>
                <w:color w:val="000000"/>
                <w:kern w:val="0"/>
                <w:sz w:val="22"/>
                <w:lang w:bidi="ar"/>
              </w:rPr>
              <w:t>乙醇汽油、柴油</w:t>
            </w:r>
          </w:p>
        </w:tc>
        <w:tc>
          <w:tcPr>
            <w:tcW w:w="1701" w:type="dxa"/>
            <w:tcBorders>
              <w:top w:val="single" w:color="auto" w:sz="4" w:space="0"/>
              <w:left w:val="nil"/>
              <w:bottom w:val="single" w:color="auto" w:sz="4" w:space="0"/>
              <w:right w:val="single" w:color="auto" w:sz="4" w:space="0"/>
            </w:tcBorders>
            <w:vAlign w:val="center"/>
          </w:tcPr>
          <w:p w14:paraId="078FE4B8">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加油站</w:t>
            </w:r>
          </w:p>
        </w:tc>
      </w:tr>
      <w:tr w14:paraId="6E5D9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22" w:type="dxa"/>
            <w:tcBorders>
              <w:top w:val="single" w:color="auto" w:sz="4" w:space="0"/>
              <w:left w:val="single" w:color="auto" w:sz="4" w:space="0"/>
              <w:bottom w:val="single" w:color="auto" w:sz="4" w:space="0"/>
              <w:right w:val="single" w:color="auto" w:sz="4" w:space="0"/>
            </w:tcBorders>
            <w:vAlign w:val="center"/>
          </w:tcPr>
          <w:p w14:paraId="23165370">
            <w:pPr>
              <w:jc w:val="center"/>
              <w:rPr>
                <w:rFonts w:asciiTheme="minorEastAsia" w:hAnsiTheme="minorEastAsia" w:eastAsiaTheme="minorEastAsia"/>
                <w:szCs w:val="21"/>
              </w:rPr>
            </w:pPr>
            <w:r>
              <w:rPr>
                <w:rFonts w:hint="eastAsia" w:asciiTheme="minorEastAsia" w:hAnsiTheme="minorEastAsia" w:eastAsiaTheme="minorEastAsia"/>
                <w:szCs w:val="21"/>
              </w:rPr>
              <w:t>43</w:t>
            </w:r>
          </w:p>
        </w:tc>
        <w:tc>
          <w:tcPr>
            <w:tcW w:w="3497" w:type="dxa"/>
            <w:tcBorders>
              <w:top w:val="single" w:color="auto" w:sz="4" w:space="0"/>
              <w:left w:val="nil"/>
              <w:bottom w:val="single" w:color="auto" w:sz="4" w:space="0"/>
              <w:right w:val="single" w:color="auto" w:sz="4" w:space="0"/>
            </w:tcBorders>
            <w:vAlign w:val="bottom"/>
          </w:tcPr>
          <w:p w14:paraId="314B1BC8">
            <w:pPr>
              <w:widowControl/>
              <w:jc w:val="left"/>
              <w:textAlignment w:val="bottom"/>
              <w:rPr>
                <w:rFonts w:asciiTheme="minorEastAsia" w:hAnsiTheme="minorEastAsia" w:eastAsiaTheme="minorEastAsia" w:cstheme="minorEastAsia"/>
                <w:szCs w:val="21"/>
              </w:rPr>
            </w:pPr>
            <w:r>
              <w:rPr>
                <w:rFonts w:cs="Calibri"/>
                <w:color w:val="000000"/>
                <w:kern w:val="0"/>
                <w:sz w:val="22"/>
                <w:lang w:bidi="ar"/>
              </w:rPr>
              <w:t>中国石油天然气股份有限公司黑龙江佳木斯桦南销售分公司街里加油站</w:t>
            </w:r>
          </w:p>
        </w:tc>
        <w:tc>
          <w:tcPr>
            <w:tcW w:w="2693" w:type="dxa"/>
            <w:tcBorders>
              <w:top w:val="single" w:color="auto" w:sz="4" w:space="0"/>
              <w:left w:val="nil"/>
              <w:bottom w:val="single" w:color="auto" w:sz="4" w:space="0"/>
              <w:right w:val="single" w:color="auto" w:sz="4" w:space="0"/>
            </w:tcBorders>
            <w:vAlign w:val="bottom"/>
          </w:tcPr>
          <w:p w14:paraId="15020F16">
            <w:pPr>
              <w:widowControl/>
              <w:jc w:val="left"/>
              <w:textAlignment w:val="bottom"/>
              <w:rPr>
                <w:rFonts w:asciiTheme="minorEastAsia" w:hAnsiTheme="minorEastAsia" w:eastAsiaTheme="minorEastAsia" w:cstheme="minorEastAsia"/>
                <w:color w:val="000000"/>
                <w:szCs w:val="21"/>
              </w:rPr>
            </w:pPr>
            <w:r>
              <w:rPr>
                <w:rFonts w:cs="Calibri"/>
                <w:color w:val="000000"/>
                <w:kern w:val="0"/>
                <w:sz w:val="22"/>
                <w:lang w:bidi="ar"/>
              </w:rPr>
              <w:t>奋斗街</w:t>
            </w:r>
          </w:p>
        </w:tc>
        <w:tc>
          <w:tcPr>
            <w:tcW w:w="5670" w:type="dxa"/>
            <w:tcBorders>
              <w:top w:val="single" w:color="auto" w:sz="4" w:space="0"/>
              <w:left w:val="nil"/>
              <w:bottom w:val="single" w:color="auto" w:sz="4" w:space="0"/>
              <w:right w:val="single" w:color="auto" w:sz="4" w:space="0"/>
            </w:tcBorders>
            <w:vAlign w:val="bottom"/>
          </w:tcPr>
          <w:p w14:paraId="50FC7184">
            <w:pPr>
              <w:widowControl/>
              <w:jc w:val="left"/>
              <w:textAlignment w:val="bottom"/>
              <w:rPr>
                <w:rFonts w:asciiTheme="minorEastAsia" w:hAnsiTheme="minorEastAsia" w:eastAsiaTheme="minorEastAsia" w:cstheme="minorEastAsia"/>
                <w:color w:val="000000"/>
                <w:kern w:val="0"/>
                <w:szCs w:val="21"/>
              </w:rPr>
            </w:pPr>
            <w:r>
              <w:rPr>
                <w:rFonts w:cs="Calibri"/>
                <w:color w:val="000000"/>
                <w:kern w:val="0"/>
                <w:sz w:val="22"/>
                <w:lang w:bidi="ar"/>
              </w:rPr>
              <w:t>乙醇汽油、柴油</w:t>
            </w:r>
          </w:p>
        </w:tc>
        <w:tc>
          <w:tcPr>
            <w:tcW w:w="1701" w:type="dxa"/>
            <w:tcBorders>
              <w:top w:val="single" w:color="auto" w:sz="4" w:space="0"/>
              <w:left w:val="nil"/>
              <w:bottom w:val="single" w:color="auto" w:sz="4" w:space="0"/>
              <w:right w:val="single" w:color="auto" w:sz="4" w:space="0"/>
            </w:tcBorders>
            <w:vAlign w:val="center"/>
          </w:tcPr>
          <w:p w14:paraId="02ECE3FD">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加油站</w:t>
            </w:r>
          </w:p>
        </w:tc>
      </w:tr>
      <w:tr w14:paraId="463F1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22" w:type="dxa"/>
            <w:tcBorders>
              <w:top w:val="single" w:color="auto" w:sz="4" w:space="0"/>
              <w:left w:val="single" w:color="auto" w:sz="4" w:space="0"/>
              <w:bottom w:val="single" w:color="auto" w:sz="4" w:space="0"/>
              <w:right w:val="single" w:color="auto" w:sz="4" w:space="0"/>
            </w:tcBorders>
            <w:vAlign w:val="center"/>
          </w:tcPr>
          <w:p w14:paraId="7E35F569">
            <w:pPr>
              <w:jc w:val="center"/>
              <w:rPr>
                <w:rFonts w:asciiTheme="minorEastAsia" w:hAnsiTheme="minorEastAsia" w:eastAsiaTheme="minorEastAsia"/>
                <w:szCs w:val="21"/>
              </w:rPr>
            </w:pPr>
            <w:r>
              <w:rPr>
                <w:rFonts w:hint="eastAsia" w:asciiTheme="minorEastAsia" w:hAnsiTheme="minorEastAsia" w:eastAsiaTheme="minorEastAsia"/>
                <w:szCs w:val="21"/>
              </w:rPr>
              <w:t>44</w:t>
            </w:r>
          </w:p>
        </w:tc>
        <w:tc>
          <w:tcPr>
            <w:tcW w:w="3497" w:type="dxa"/>
            <w:tcBorders>
              <w:top w:val="single" w:color="auto" w:sz="4" w:space="0"/>
              <w:left w:val="nil"/>
              <w:bottom w:val="single" w:color="auto" w:sz="4" w:space="0"/>
              <w:right w:val="single" w:color="auto" w:sz="4" w:space="0"/>
            </w:tcBorders>
            <w:vAlign w:val="bottom"/>
          </w:tcPr>
          <w:p w14:paraId="7C79B1BA">
            <w:pPr>
              <w:widowControl/>
              <w:jc w:val="left"/>
              <w:textAlignment w:val="bottom"/>
              <w:rPr>
                <w:rFonts w:asciiTheme="minorEastAsia" w:hAnsiTheme="minorEastAsia" w:eastAsiaTheme="minorEastAsia" w:cstheme="minorEastAsia"/>
                <w:szCs w:val="21"/>
              </w:rPr>
            </w:pPr>
            <w:r>
              <w:rPr>
                <w:rFonts w:cs="Calibri"/>
                <w:color w:val="000000"/>
                <w:kern w:val="0"/>
                <w:sz w:val="22"/>
                <w:lang w:bidi="ar"/>
              </w:rPr>
              <w:t>桦南县吉祥加油站</w:t>
            </w:r>
          </w:p>
        </w:tc>
        <w:tc>
          <w:tcPr>
            <w:tcW w:w="2693" w:type="dxa"/>
            <w:tcBorders>
              <w:top w:val="single" w:color="auto" w:sz="4" w:space="0"/>
              <w:left w:val="nil"/>
              <w:bottom w:val="single" w:color="auto" w:sz="4" w:space="0"/>
              <w:right w:val="single" w:color="auto" w:sz="4" w:space="0"/>
            </w:tcBorders>
            <w:vAlign w:val="bottom"/>
          </w:tcPr>
          <w:p w14:paraId="58E05849">
            <w:pPr>
              <w:widowControl/>
              <w:jc w:val="left"/>
              <w:textAlignment w:val="bottom"/>
              <w:rPr>
                <w:rFonts w:asciiTheme="minorEastAsia" w:hAnsiTheme="minorEastAsia" w:eastAsiaTheme="minorEastAsia" w:cstheme="minorEastAsia"/>
                <w:color w:val="000000"/>
                <w:szCs w:val="21"/>
              </w:rPr>
            </w:pPr>
            <w:r>
              <w:rPr>
                <w:rFonts w:cs="Calibri"/>
                <w:color w:val="000000"/>
                <w:kern w:val="0"/>
                <w:sz w:val="22"/>
                <w:lang w:bidi="ar"/>
              </w:rPr>
              <w:t>桦南镇五一村</w:t>
            </w:r>
          </w:p>
        </w:tc>
        <w:tc>
          <w:tcPr>
            <w:tcW w:w="5670" w:type="dxa"/>
            <w:tcBorders>
              <w:top w:val="single" w:color="auto" w:sz="4" w:space="0"/>
              <w:left w:val="nil"/>
              <w:bottom w:val="single" w:color="auto" w:sz="4" w:space="0"/>
              <w:right w:val="single" w:color="auto" w:sz="4" w:space="0"/>
            </w:tcBorders>
            <w:vAlign w:val="bottom"/>
          </w:tcPr>
          <w:p w14:paraId="27AA8445">
            <w:pPr>
              <w:widowControl/>
              <w:jc w:val="left"/>
              <w:textAlignment w:val="bottom"/>
              <w:rPr>
                <w:rFonts w:asciiTheme="minorEastAsia" w:hAnsiTheme="minorEastAsia" w:eastAsiaTheme="minorEastAsia" w:cstheme="minorEastAsia"/>
                <w:color w:val="000000"/>
                <w:kern w:val="0"/>
                <w:szCs w:val="21"/>
              </w:rPr>
            </w:pPr>
            <w:r>
              <w:rPr>
                <w:rFonts w:cs="Calibri"/>
                <w:color w:val="000000"/>
                <w:kern w:val="0"/>
                <w:sz w:val="22"/>
                <w:lang w:bidi="ar"/>
              </w:rPr>
              <w:t>乙醇汽油、柴油</w:t>
            </w:r>
          </w:p>
        </w:tc>
        <w:tc>
          <w:tcPr>
            <w:tcW w:w="1701" w:type="dxa"/>
            <w:tcBorders>
              <w:top w:val="single" w:color="auto" w:sz="4" w:space="0"/>
              <w:left w:val="nil"/>
              <w:bottom w:val="single" w:color="auto" w:sz="4" w:space="0"/>
              <w:right w:val="single" w:color="auto" w:sz="4" w:space="0"/>
            </w:tcBorders>
            <w:vAlign w:val="center"/>
          </w:tcPr>
          <w:p w14:paraId="28B14FAB">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加油站</w:t>
            </w:r>
          </w:p>
        </w:tc>
      </w:tr>
      <w:tr w14:paraId="3AACA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22" w:type="dxa"/>
            <w:tcBorders>
              <w:top w:val="single" w:color="auto" w:sz="4" w:space="0"/>
              <w:left w:val="single" w:color="auto" w:sz="4" w:space="0"/>
              <w:bottom w:val="single" w:color="auto" w:sz="4" w:space="0"/>
              <w:right w:val="single" w:color="auto" w:sz="4" w:space="0"/>
            </w:tcBorders>
            <w:vAlign w:val="center"/>
          </w:tcPr>
          <w:p w14:paraId="2A7075A7">
            <w:pPr>
              <w:jc w:val="center"/>
              <w:rPr>
                <w:rFonts w:asciiTheme="minorEastAsia" w:hAnsiTheme="minorEastAsia" w:eastAsiaTheme="minorEastAsia"/>
                <w:szCs w:val="21"/>
              </w:rPr>
            </w:pPr>
            <w:r>
              <w:rPr>
                <w:rFonts w:hint="eastAsia" w:asciiTheme="minorEastAsia" w:hAnsiTheme="minorEastAsia" w:eastAsiaTheme="minorEastAsia"/>
                <w:szCs w:val="21"/>
              </w:rPr>
              <w:t>45</w:t>
            </w:r>
          </w:p>
        </w:tc>
        <w:tc>
          <w:tcPr>
            <w:tcW w:w="3497" w:type="dxa"/>
            <w:tcBorders>
              <w:top w:val="single" w:color="auto" w:sz="4" w:space="0"/>
              <w:left w:val="nil"/>
              <w:bottom w:val="single" w:color="auto" w:sz="4" w:space="0"/>
              <w:right w:val="single" w:color="auto" w:sz="4" w:space="0"/>
            </w:tcBorders>
            <w:vAlign w:val="bottom"/>
          </w:tcPr>
          <w:p w14:paraId="4E69E211">
            <w:pPr>
              <w:widowControl/>
              <w:jc w:val="left"/>
              <w:textAlignment w:val="bottom"/>
              <w:rPr>
                <w:rFonts w:asciiTheme="minorEastAsia" w:hAnsiTheme="minorEastAsia" w:eastAsiaTheme="minorEastAsia" w:cstheme="minorEastAsia"/>
                <w:szCs w:val="21"/>
              </w:rPr>
            </w:pPr>
            <w:r>
              <w:rPr>
                <w:rFonts w:cs="Calibri"/>
                <w:color w:val="000000"/>
                <w:kern w:val="0"/>
                <w:sz w:val="22"/>
                <w:lang w:bidi="ar"/>
              </w:rPr>
              <w:t>桦南县吉利加油站</w:t>
            </w:r>
          </w:p>
        </w:tc>
        <w:tc>
          <w:tcPr>
            <w:tcW w:w="2693" w:type="dxa"/>
            <w:tcBorders>
              <w:top w:val="single" w:color="auto" w:sz="4" w:space="0"/>
              <w:left w:val="nil"/>
              <w:bottom w:val="single" w:color="auto" w:sz="4" w:space="0"/>
              <w:right w:val="single" w:color="auto" w:sz="4" w:space="0"/>
            </w:tcBorders>
            <w:vAlign w:val="bottom"/>
          </w:tcPr>
          <w:p w14:paraId="7D8B324B">
            <w:pPr>
              <w:widowControl/>
              <w:jc w:val="left"/>
              <w:textAlignment w:val="bottom"/>
              <w:rPr>
                <w:rFonts w:asciiTheme="minorEastAsia" w:hAnsiTheme="minorEastAsia" w:eastAsiaTheme="minorEastAsia" w:cstheme="minorEastAsia"/>
                <w:color w:val="000000"/>
                <w:szCs w:val="21"/>
              </w:rPr>
            </w:pPr>
            <w:r>
              <w:rPr>
                <w:rFonts w:cs="Calibri"/>
                <w:color w:val="000000"/>
                <w:kern w:val="0"/>
                <w:sz w:val="22"/>
                <w:lang w:bidi="ar"/>
              </w:rPr>
              <w:t>大八浪乡种畜场三分场</w:t>
            </w:r>
          </w:p>
        </w:tc>
        <w:tc>
          <w:tcPr>
            <w:tcW w:w="5670" w:type="dxa"/>
            <w:tcBorders>
              <w:top w:val="single" w:color="auto" w:sz="4" w:space="0"/>
              <w:left w:val="nil"/>
              <w:bottom w:val="single" w:color="auto" w:sz="4" w:space="0"/>
              <w:right w:val="single" w:color="auto" w:sz="4" w:space="0"/>
            </w:tcBorders>
            <w:vAlign w:val="bottom"/>
          </w:tcPr>
          <w:p w14:paraId="0E865CB8">
            <w:pPr>
              <w:widowControl/>
              <w:jc w:val="left"/>
              <w:textAlignment w:val="bottom"/>
              <w:rPr>
                <w:rFonts w:asciiTheme="minorEastAsia" w:hAnsiTheme="minorEastAsia" w:eastAsiaTheme="minorEastAsia" w:cstheme="minorEastAsia"/>
                <w:color w:val="000000"/>
                <w:kern w:val="0"/>
                <w:szCs w:val="21"/>
              </w:rPr>
            </w:pPr>
            <w:r>
              <w:rPr>
                <w:rFonts w:cs="Calibri"/>
                <w:color w:val="000000"/>
                <w:kern w:val="0"/>
                <w:sz w:val="22"/>
                <w:lang w:bidi="ar"/>
              </w:rPr>
              <w:t>乙醇汽油、柴油</w:t>
            </w:r>
          </w:p>
        </w:tc>
        <w:tc>
          <w:tcPr>
            <w:tcW w:w="1701" w:type="dxa"/>
            <w:tcBorders>
              <w:top w:val="single" w:color="auto" w:sz="4" w:space="0"/>
              <w:left w:val="nil"/>
              <w:bottom w:val="single" w:color="auto" w:sz="4" w:space="0"/>
              <w:right w:val="single" w:color="auto" w:sz="4" w:space="0"/>
            </w:tcBorders>
            <w:vAlign w:val="center"/>
          </w:tcPr>
          <w:p w14:paraId="0DDA0BF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加油站</w:t>
            </w:r>
          </w:p>
        </w:tc>
      </w:tr>
      <w:tr w14:paraId="09D64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722" w:type="dxa"/>
            <w:tcBorders>
              <w:top w:val="single" w:color="auto" w:sz="4" w:space="0"/>
              <w:left w:val="single" w:color="auto" w:sz="4" w:space="0"/>
              <w:bottom w:val="single" w:color="auto" w:sz="4" w:space="0"/>
              <w:right w:val="single" w:color="auto" w:sz="4" w:space="0"/>
            </w:tcBorders>
            <w:vAlign w:val="center"/>
          </w:tcPr>
          <w:p w14:paraId="1C4A68E6">
            <w:pPr>
              <w:jc w:val="center"/>
              <w:rPr>
                <w:rFonts w:asciiTheme="minorEastAsia" w:hAnsiTheme="minorEastAsia" w:eastAsiaTheme="minorEastAsia"/>
                <w:szCs w:val="21"/>
              </w:rPr>
            </w:pPr>
            <w:r>
              <w:rPr>
                <w:rFonts w:hint="eastAsia" w:asciiTheme="minorEastAsia" w:hAnsiTheme="minorEastAsia" w:eastAsiaTheme="minorEastAsia"/>
                <w:szCs w:val="21"/>
              </w:rPr>
              <w:t>46</w:t>
            </w:r>
          </w:p>
        </w:tc>
        <w:tc>
          <w:tcPr>
            <w:tcW w:w="3497" w:type="dxa"/>
            <w:tcBorders>
              <w:top w:val="single" w:color="auto" w:sz="4" w:space="0"/>
              <w:left w:val="nil"/>
              <w:bottom w:val="single" w:color="auto" w:sz="4" w:space="0"/>
              <w:right w:val="single" w:color="auto" w:sz="4" w:space="0"/>
            </w:tcBorders>
            <w:vAlign w:val="bottom"/>
          </w:tcPr>
          <w:p w14:paraId="2E526A30">
            <w:pPr>
              <w:widowControl/>
              <w:jc w:val="left"/>
              <w:textAlignment w:val="bottom"/>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桦南县石诚气体有限公司</w:t>
            </w:r>
          </w:p>
        </w:tc>
        <w:tc>
          <w:tcPr>
            <w:tcW w:w="2693" w:type="dxa"/>
            <w:tcBorders>
              <w:top w:val="single" w:color="auto" w:sz="4" w:space="0"/>
              <w:left w:val="nil"/>
              <w:bottom w:val="single" w:color="auto" w:sz="4" w:space="0"/>
              <w:right w:val="single" w:color="auto" w:sz="4" w:space="0"/>
            </w:tcBorders>
            <w:vAlign w:val="center"/>
          </w:tcPr>
          <w:p w14:paraId="54E1B9F8">
            <w:pPr>
              <w:spacing w:line="32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 w:val="22"/>
              </w:rPr>
              <w:t>桦南镇正南街</w:t>
            </w:r>
          </w:p>
        </w:tc>
        <w:tc>
          <w:tcPr>
            <w:tcW w:w="5670" w:type="dxa"/>
            <w:tcBorders>
              <w:top w:val="single" w:color="auto" w:sz="4" w:space="0"/>
              <w:left w:val="nil"/>
              <w:bottom w:val="single" w:color="auto" w:sz="4" w:space="0"/>
              <w:right w:val="single" w:color="auto" w:sz="4" w:space="0"/>
            </w:tcBorders>
            <w:vAlign w:val="center"/>
          </w:tcPr>
          <w:p w14:paraId="0CC6D490">
            <w:pPr>
              <w:jc w:val="left"/>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氧气、氩气、二氧化碳</w:t>
            </w:r>
          </w:p>
        </w:tc>
        <w:tc>
          <w:tcPr>
            <w:tcW w:w="1701" w:type="dxa"/>
            <w:tcBorders>
              <w:top w:val="single" w:color="auto" w:sz="4" w:space="0"/>
              <w:left w:val="nil"/>
              <w:bottom w:val="single" w:color="auto" w:sz="4" w:space="0"/>
              <w:right w:val="single" w:color="auto" w:sz="4" w:space="0"/>
            </w:tcBorders>
            <w:vAlign w:val="center"/>
          </w:tcPr>
          <w:p w14:paraId="4647A064">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危险化学品经营</w:t>
            </w:r>
          </w:p>
        </w:tc>
      </w:tr>
      <w:tr w14:paraId="2D13E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22" w:type="dxa"/>
            <w:tcBorders>
              <w:top w:val="single" w:color="auto" w:sz="4" w:space="0"/>
              <w:left w:val="single" w:color="auto" w:sz="4" w:space="0"/>
              <w:bottom w:val="single" w:color="auto" w:sz="4" w:space="0"/>
              <w:right w:val="single" w:color="auto" w:sz="4" w:space="0"/>
            </w:tcBorders>
            <w:vAlign w:val="center"/>
          </w:tcPr>
          <w:p w14:paraId="324FAF9C">
            <w:pPr>
              <w:jc w:val="center"/>
              <w:rPr>
                <w:rFonts w:asciiTheme="minorEastAsia" w:hAnsiTheme="minorEastAsia" w:eastAsiaTheme="minorEastAsia"/>
                <w:szCs w:val="21"/>
              </w:rPr>
            </w:pPr>
            <w:r>
              <w:rPr>
                <w:rFonts w:hint="eastAsia" w:asciiTheme="minorEastAsia" w:hAnsiTheme="minorEastAsia" w:eastAsiaTheme="minorEastAsia"/>
                <w:szCs w:val="21"/>
              </w:rPr>
              <w:t>47</w:t>
            </w:r>
          </w:p>
        </w:tc>
        <w:tc>
          <w:tcPr>
            <w:tcW w:w="3497" w:type="dxa"/>
            <w:tcBorders>
              <w:top w:val="single" w:color="auto" w:sz="4" w:space="0"/>
              <w:left w:val="nil"/>
              <w:bottom w:val="single" w:color="auto" w:sz="4" w:space="0"/>
              <w:right w:val="single" w:color="auto" w:sz="4" w:space="0"/>
            </w:tcBorders>
            <w:vAlign w:val="bottom"/>
          </w:tcPr>
          <w:p w14:paraId="1DAF80DC">
            <w:pPr>
              <w:widowControl/>
              <w:jc w:val="left"/>
              <w:textAlignment w:val="bottom"/>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桦南县万财氧气乙炔经营部</w:t>
            </w:r>
          </w:p>
        </w:tc>
        <w:tc>
          <w:tcPr>
            <w:tcW w:w="2693" w:type="dxa"/>
            <w:tcBorders>
              <w:top w:val="single" w:color="auto" w:sz="4" w:space="0"/>
              <w:left w:val="nil"/>
              <w:bottom w:val="single" w:color="auto" w:sz="4" w:space="0"/>
              <w:right w:val="single" w:color="auto" w:sz="4" w:space="0"/>
            </w:tcBorders>
            <w:vAlign w:val="center"/>
          </w:tcPr>
          <w:p w14:paraId="695B01B2">
            <w:pPr>
              <w:spacing w:line="320" w:lineRule="exact"/>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铁西街胜利路道口西侧道北东数第一家</w:t>
            </w:r>
          </w:p>
        </w:tc>
        <w:tc>
          <w:tcPr>
            <w:tcW w:w="5670" w:type="dxa"/>
            <w:tcBorders>
              <w:top w:val="single" w:color="auto" w:sz="4" w:space="0"/>
              <w:left w:val="nil"/>
              <w:bottom w:val="single" w:color="auto" w:sz="4" w:space="0"/>
              <w:right w:val="single" w:color="auto" w:sz="4" w:space="0"/>
            </w:tcBorders>
            <w:vAlign w:val="center"/>
          </w:tcPr>
          <w:p w14:paraId="5026FE41">
            <w:pPr>
              <w:jc w:val="left"/>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氧气、乙炔、二氧化碳</w:t>
            </w:r>
          </w:p>
        </w:tc>
        <w:tc>
          <w:tcPr>
            <w:tcW w:w="1701" w:type="dxa"/>
            <w:tcBorders>
              <w:top w:val="single" w:color="auto" w:sz="4" w:space="0"/>
              <w:left w:val="nil"/>
              <w:bottom w:val="single" w:color="auto" w:sz="4" w:space="0"/>
              <w:right w:val="single" w:color="auto" w:sz="4" w:space="0"/>
            </w:tcBorders>
            <w:vAlign w:val="center"/>
          </w:tcPr>
          <w:p w14:paraId="61D3606C">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危险化学品经营</w:t>
            </w:r>
          </w:p>
        </w:tc>
      </w:tr>
      <w:tr w14:paraId="00549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22" w:type="dxa"/>
            <w:tcBorders>
              <w:top w:val="single" w:color="auto" w:sz="4" w:space="0"/>
              <w:left w:val="single" w:color="auto" w:sz="4" w:space="0"/>
              <w:bottom w:val="single" w:color="auto" w:sz="4" w:space="0"/>
              <w:right w:val="single" w:color="auto" w:sz="4" w:space="0"/>
            </w:tcBorders>
            <w:vAlign w:val="center"/>
          </w:tcPr>
          <w:p w14:paraId="69334DDF">
            <w:pPr>
              <w:jc w:val="center"/>
              <w:rPr>
                <w:rFonts w:asciiTheme="minorEastAsia" w:hAnsiTheme="minorEastAsia" w:eastAsiaTheme="minorEastAsia"/>
                <w:szCs w:val="21"/>
              </w:rPr>
            </w:pPr>
            <w:r>
              <w:rPr>
                <w:rFonts w:hint="eastAsia" w:asciiTheme="minorEastAsia" w:hAnsiTheme="minorEastAsia" w:eastAsiaTheme="minorEastAsia"/>
                <w:szCs w:val="21"/>
              </w:rPr>
              <w:t>48</w:t>
            </w:r>
          </w:p>
        </w:tc>
        <w:tc>
          <w:tcPr>
            <w:tcW w:w="3497" w:type="dxa"/>
            <w:tcBorders>
              <w:top w:val="single" w:color="auto" w:sz="4" w:space="0"/>
              <w:left w:val="nil"/>
              <w:bottom w:val="single" w:color="auto" w:sz="4" w:space="0"/>
              <w:right w:val="single" w:color="auto" w:sz="4" w:space="0"/>
            </w:tcBorders>
            <w:vAlign w:val="bottom"/>
          </w:tcPr>
          <w:p w14:paraId="562C5BCE">
            <w:pPr>
              <w:widowControl/>
              <w:jc w:val="left"/>
              <w:textAlignment w:val="bottom"/>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黑龙江鸿展生物能源有限公司</w:t>
            </w:r>
          </w:p>
        </w:tc>
        <w:tc>
          <w:tcPr>
            <w:tcW w:w="2693" w:type="dxa"/>
            <w:tcBorders>
              <w:top w:val="single" w:color="auto" w:sz="4" w:space="0"/>
              <w:left w:val="nil"/>
              <w:bottom w:val="single" w:color="auto" w:sz="4" w:space="0"/>
              <w:right w:val="single" w:color="auto" w:sz="4" w:space="0"/>
            </w:tcBorders>
            <w:vAlign w:val="center"/>
          </w:tcPr>
          <w:p w14:paraId="3264F76F">
            <w:pPr>
              <w:spacing w:line="320" w:lineRule="exact"/>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经济开发区</w:t>
            </w:r>
          </w:p>
        </w:tc>
        <w:tc>
          <w:tcPr>
            <w:tcW w:w="5670" w:type="dxa"/>
            <w:tcBorders>
              <w:top w:val="single" w:color="auto" w:sz="4" w:space="0"/>
              <w:left w:val="nil"/>
              <w:bottom w:val="single" w:color="auto" w:sz="4" w:space="0"/>
              <w:right w:val="single" w:color="auto" w:sz="4" w:space="0"/>
            </w:tcBorders>
            <w:vAlign w:val="center"/>
          </w:tcPr>
          <w:p w14:paraId="0037E564">
            <w:pPr>
              <w:jc w:val="left"/>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乙醇（无水）、变性乙醇、乙醇溶液</w:t>
            </w:r>
          </w:p>
        </w:tc>
        <w:tc>
          <w:tcPr>
            <w:tcW w:w="1701" w:type="dxa"/>
            <w:tcBorders>
              <w:top w:val="single" w:color="auto" w:sz="4" w:space="0"/>
              <w:left w:val="nil"/>
              <w:bottom w:val="single" w:color="auto" w:sz="4" w:space="0"/>
              <w:right w:val="single" w:color="auto" w:sz="4" w:space="0"/>
            </w:tcBorders>
            <w:vAlign w:val="center"/>
          </w:tcPr>
          <w:p w14:paraId="5D9BF50E">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危险化学品生产</w:t>
            </w:r>
          </w:p>
        </w:tc>
      </w:tr>
      <w:tr w14:paraId="2F159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22" w:type="dxa"/>
            <w:tcBorders>
              <w:top w:val="single" w:color="auto" w:sz="4" w:space="0"/>
              <w:left w:val="single" w:color="auto" w:sz="4" w:space="0"/>
              <w:bottom w:val="single" w:color="auto" w:sz="4" w:space="0"/>
              <w:right w:val="single" w:color="auto" w:sz="4" w:space="0"/>
            </w:tcBorders>
            <w:vAlign w:val="center"/>
          </w:tcPr>
          <w:p w14:paraId="6CF67D81">
            <w:pPr>
              <w:jc w:val="center"/>
              <w:rPr>
                <w:rFonts w:asciiTheme="minorEastAsia" w:hAnsiTheme="minorEastAsia" w:eastAsiaTheme="minorEastAsia"/>
                <w:szCs w:val="21"/>
              </w:rPr>
            </w:pPr>
            <w:r>
              <w:rPr>
                <w:rFonts w:hint="eastAsia" w:asciiTheme="minorEastAsia" w:hAnsiTheme="minorEastAsia" w:eastAsiaTheme="minorEastAsia"/>
                <w:szCs w:val="21"/>
              </w:rPr>
              <w:t>49</w:t>
            </w:r>
          </w:p>
        </w:tc>
        <w:tc>
          <w:tcPr>
            <w:tcW w:w="3497" w:type="dxa"/>
            <w:tcBorders>
              <w:top w:val="single" w:color="auto" w:sz="4" w:space="0"/>
              <w:left w:val="nil"/>
              <w:bottom w:val="single" w:color="auto" w:sz="4" w:space="0"/>
              <w:right w:val="single" w:color="auto" w:sz="4" w:space="0"/>
            </w:tcBorders>
            <w:vAlign w:val="bottom"/>
          </w:tcPr>
          <w:p w14:paraId="088BC37B">
            <w:pPr>
              <w:widowControl/>
              <w:jc w:val="left"/>
              <w:textAlignment w:val="bottom"/>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桦南县鸿汇实业有限责任公司</w:t>
            </w:r>
          </w:p>
        </w:tc>
        <w:tc>
          <w:tcPr>
            <w:tcW w:w="2693" w:type="dxa"/>
            <w:tcBorders>
              <w:top w:val="single" w:color="auto" w:sz="4" w:space="0"/>
              <w:left w:val="nil"/>
              <w:bottom w:val="single" w:color="auto" w:sz="4" w:space="0"/>
              <w:right w:val="single" w:color="auto" w:sz="4" w:space="0"/>
            </w:tcBorders>
            <w:vAlign w:val="center"/>
          </w:tcPr>
          <w:p w14:paraId="68F7A320">
            <w:pPr>
              <w:spacing w:line="320" w:lineRule="exact"/>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胜利街道</w:t>
            </w:r>
          </w:p>
        </w:tc>
        <w:tc>
          <w:tcPr>
            <w:tcW w:w="5670" w:type="dxa"/>
            <w:tcBorders>
              <w:top w:val="single" w:color="auto" w:sz="4" w:space="0"/>
              <w:left w:val="nil"/>
              <w:bottom w:val="single" w:color="auto" w:sz="4" w:space="0"/>
              <w:right w:val="single" w:color="auto" w:sz="4" w:space="0"/>
            </w:tcBorders>
            <w:vAlign w:val="center"/>
          </w:tcPr>
          <w:p w14:paraId="71EE5A68">
            <w:pPr>
              <w:jc w:val="left"/>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糠醛</w:t>
            </w:r>
          </w:p>
        </w:tc>
        <w:tc>
          <w:tcPr>
            <w:tcW w:w="1701" w:type="dxa"/>
            <w:tcBorders>
              <w:top w:val="single" w:color="auto" w:sz="4" w:space="0"/>
              <w:left w:val="nil"/>
              <w:bottom w:val="single" w:color="auto" w:sz="4" w:space="0"/>
              <w:right w:val="single" w:color="auto" w:sz="4" w:space="0"/>
            </w:tcBorders>
            <w:vAlign w:val="center"/>
          </w:tcPr>
          <w:p w14:paraId="6D3045D0">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危险化学品生产</w:t>
            </w:r>
          </w:p>
        </w:tc>
      </w:tr>
      <w:tr w14:paraId="5C852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22" w:type="dxa"/>
            <w:tcBorders>
              <w:top w:val="single" w:color="auto" w:sz="4" w:space="0"/>
              <w:left w:val="single" w:color="auto" w:sz="4" w:space="0"/>
              <w:bottom w:val="single" w:color="auto" w:sz="4" w:space="0"/>
              <w:right w:val="single" w:color="auto" w:sz="4" w:space="0"/>
            </w:tcBorders>
            <w:vAlign w:val="center"/>
          </w:tcPr>
          <w:p w14:paraId="268DF201">
            <w:pPr>
              <w:jc w:val="center"/>
              <w:rPr>
                <w:rFonts w:asciiTheme="minorEastAsia" w:hAnsiTheme="minorEastAsia" w:eastAsiaTheme="minorEastAsia"/>
                <w:szCs w:val="21"/>
              </w:rPr>
            </w:pPr>
            <w:r>
              <w:rPr>
                <w:rFonts w:hint="eastAsia" w:asciiTheme="minorEastAsia" w:hAnsiTheme="minorEastAsia" w:eastAsiaTheme="minorEastAsia"/>
                <w:szCs w:val="21"/>
              </w:rPr>
              <w:t>50</w:t>
            </w:r>
          </w:p>
        </w:tc>
        <w:tc>
          <w:tcPr>
            <w:tcW w:w="3497" w:type="dxa"/>
            <w:tcBorders>
              <w:top w:val="single" w:color="auto" w:sz="4" w:space="0"/>
              <w:left w:val="nil"/>
              <w:bottom w:val="single" w:color="auto" w:sz="4" w:space="0"/>
              <w:right w:val="single" w:color="auto" w:sz="4" w:space="0"/>
            </w:tcBorders>
            <w:vAlign w:val="bottom"/>
          </w:tcPr>
          <w:p w14:paraId="29497B5F">
            <w:pPr>
              <w:widowControl/>
              <w:jc w:val="left"/>
              <w:textAlignment w:val="bottom"/>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桦南华亿燃气有限公司</w:t>
            </w:r>
          </w:p>
        </w:tc>
        <w:tc>
          <w:tcPr>
            <w:tcW w:w="2693" w:type="dxa"/>
            <w:tcBorders>
              <w:top w:val="single" w:color="auto" w:sz="4" w:space="0"/>
              <w:left w:val="nil"/>
              <w:bottom w:val="single" w:color="auto" w:sz="4" w:space="0"/>
              <w:right w:val="single" w:color="auto" w:sz="4" w:space="0"/>
            </w:tcBorders>
            <w:vAlign w:val="center"/>
          </w:tcPr>
          <w:p w14:paraId="323C692E">
            <w:pPr>
              <w:spacing w:line="320" w:lineRule="exact"/>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南外环路先锋种业东侧</w:t>
            </w:r>
          </w:p>
        </w:tc>
        <w:tc>
          <w:tcPr>
            <w:tcW w:w="5670" w:type="dxa"/>
            <w:tcBorders>
              <w:top w:val="single" w:color="auto" w:sz="4" w:space="0"/>
              <w:left w:val="nil"/>
              <w:bottom w:val="single" w:color="auto" w:sz="4" w:space="0"/>
              <w:right w:val="single" w:color="auto" w:sz="4" w:space="0"/>
            </w:tcBorders>
            <w:vAlign w:val="center"/>
          </w:tcPr>
          <w:p w14:paraId="50B7FA17">
            <w:pPr>
              <w:jc w:val="left"/>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液化石油气</w:t>
            </w:r>
          </w:p>
        </w:tc>
        <w:tc>
          <w:tcPr>
            <w:tcW w:w="1701" w:type="dxa"/>
            <w:tcBorders>
              <w:top w:val="single" w:color="auto" w:sz="4" w:space="0"/>
              <w:left w:val="nil"/>
              <w:bottom w:val="single" w:color="auto" w:sz="4" w:space="0"/>
              <w:right w:val="single" w:color="auto" w:sz="4" w:space="0"/>
            </w:tcBorders>
            <w:vAlign w:val="center"/>
          </w:tcPr>
          <w:p w14:paraId="501DCEBD">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加气站</w:t>
            </w:r>
          </w:p>
        </w:tc>
      </w:tr>
      <w:tr w14:paraId="53189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22" w:type="dxa"/>
            <w:tcBorders>
              <w:top w:val="single" w:color="auto" w:sz="4" w:space="0"/>
              <w:left w:val="single" w:color="auto" w:sz="4" w:space="0"/>
              <w:bottom w:val="single" w:color="auto" w:sz="4" w:space="0"/>
              <w:right w:val="single" w:color="auto" w:sz="4" w:space="0"/>
            </w:tcBorders>
            <w:vAlign w:val="center"/>
          </w:tcPr>
          <w:p w14:paraId="71F15561">
            <w:pPr>
              <w:jc w:val="center"/>
              <w:rPr>
                <w:rFonts w:asciiTheme="minorEastAsia" w:hAnsiTheme="minorEastAsia" w:eastAsiaTheme="minorEastAsia"/>
                <w:szCs w:val="21"/>
              </w:rPr>
            </w:pPr>
            <w:r>
              <w:rPr>
                <w:rFonts w:hint="eastAsia" w:asciiTheme="minorEastAsia" w:hAnsiTheme="minorEastAsia" w:eastAsiaTheme="minorEastAsia"/>
                <w:szCs w:val="21"/>
              </w:rPr>
              <w:t>51</w:t>
            </w:r>
          </w:p>
        </w:tc>
        <w:tc>
          <w:tcPr>
            <w:tcW w:w="3497" w:type="dxa"/>
            <w:tcBorders>
              <w:top w:val="single" w:color="auto" w:sz="4" w:space="0"/>
              <w:left w:val="nil"/>
              <w:bottom w:val="single" w:color="auto" w:sz="4" w:space="0"/>
              <w:right w:val="single" w:color="auto" w:sz="4" w:space="0"/>
            </w:tcBorders>
            <w:vAlign w:val="bottom"/>
          </w:tcPr>
          <w:p w14:paraId="28DBE69D">
            <w:pPr>
              <w:widowControl/>
              <w:jc w:val="left"/>
              <w:textAlignment w:val="bottom"/>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佳木斯汇达燃气服务有限公司桦南分公司</w:t>
            </w:r>
          </w:p>
        </w:tc>
        <w:tc>
          <w:tcPr>
            <w:tcW w:w="2693" w:type="dxa"/>
            <w:tcBorders>
              <w:top w:val="single" w:color="auto" w:sz="4" w:space="0"/>
              <w:left w:val="nil"/>
              <w:bottom w:val="single" w:color="auto" w:sz="4" w:space="0"/>
              <w:right w:val="single" w:color="auto" w:sz="4" w:space="0"/>
            </w:tcBorders>
            <w:vAlign w:val="center"/>
          </w:tcPr>
          <w:p w14:paraId="3A0AEA88">
            <w:pPr>
              <w:spacing w:line="320" w:lineRule="exact"/>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桦石公路管理站</w:t>
            </w:r>
          </w:p>
        </w:tc>
        <w:tc>
          <w:tcPr>
            <w:tcW w:w="5670" w:type="dxa"/>
            <w:tcBorders>
              <w:top w:val="single" w:color="auto" w:sz="4" w:space="0"/>
              <w:left w:val="nil"/>
              <w:bottom w:val="single" w:color="auto" w:sz="4" w:space="0"/>
              <w:right w:val="single" w:color="auto" w:sz="4" w:space="0"/>
            </w:tcBorders>
            <w:vAlign w:val="center"/>
          </w:tcPr>
          <w:p w14:paraId="27DB1216">
            <w:pPr>
              <w:jc w:val="left"/>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液化石油气</w:t>
            </w:r>
          </w:p>
        </w:tc>
        <w:tc>
          <w:tcPr>
            <w:tcW w:w="1701" w:type="dxa"/>
            <w:tcBorders>
              <w:top w:val="single" w:color="auto" w:sz="4" w:space="0"/>
              <w:left w:val="nil"/>
              <w:bottom w:val="single" w:color="auto" w:sz="4" w:space="0"/>
              <w:right w:val="single" w:color="auto" w:sz="4" w:space="0"/>
            </w:tcBorders>
            <w:vAlign w:val="center"/>
          </w:tcPr>
          <w:p w14:paraId="373F7A0D">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加气站</w:t>
            </w:r>
          </w:p>
        </w:tc>
      </w:tr>
      <w:tr w14:paraId="19DF8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22" w:type="dxa"/>
            <w:tcBorders>
              <w:top w:val="single" w:color="auto" w:sz="4" w:space="0"/>
              <w:left w:val="single" w:color="auto" w:sz="4" w:space="0"/>
              <w:bottom w:val="single" w:color="auto" w:sz="4" w:space="0"/>
              <w:right w:val="single" w:color="auto" w:sz="4" w:space="0"/>
            </w:tcBorders>
            <w:vAlign w:val="center"/>
          </w:tcPr>
          <w:p w14:paraId="5E2A3938">
            <w:pPr>
              <w:jc w:val="center"/>
              <w:rPr>
                <w:rFonts w:asciiTheme="minorEastAsia" w:hAnsiTheme="minorEastAsia" w:eastAsiaTheme="minorEastAsia"/>
                <w:szCs w:val="21"/>
              </w:rPr>
            </w:pPr>
            <w:r>
              <w:rPr>
                <w:rFonts w:hint="eastAsia" w:asciiTheme="minorEastAsia" w:hAnsiTheme="minorEastAsia" w:eastAsiaTheme="minorEastAsia"/>
                <w:szCs w:val="21"/>
              </w:rPr>
              <w:t>52</w:t>
            </w:r>
          </w:p>
        </w:tc>
        <w:tc>
          <w:tcPr>
            <w:tcW w:w="3497" w:type="dxa"/>
            <w:tcBorders>
              <w:top w:val="single" w:color="auto" w:sz="4" w:space="0"/>
              <w:left w:val="nil"/>
              <w:bottom w:val="single" w:color="auto" w:sz="4" w:space="0"/>
              <w:right w:val="single" w:color="auto" w:sz="4" w:space="0"/>
            </w:tcBorders>
            <w:vAlign w:val="bottom"/>
          </w:tcPr>
          <w:p w14:paraId="1929DE52">
            <w:pPr>
              <w:widowControl/>
              <w:jc w:val="left"/>
              <w:textAlignment w:val="bottom"/>
              <w:rPr>
                <w:rFonts w:asciiTheme="minorEastAsia" w:hAnsiTheme="minorEastAsia" w:eastAsiaTheme="minorEastAsia" w:cstheme="minorEastAsia"/>
                <w:szCs w:val="21"/>
              </w:rPr>
            </w:pPr>
          </w:p>
        </w:tc>
        <w:tc>
          <w:tcPr>
            <w:tcW w:w="2693" w:type="dxa"/>
            <w:tcBorders>
              <w:top w:val="single" w:color="auto" w:sz="4" w:space="0"/>
              <w:left w:val="nil"/>
              <w:bottom w:val="single" w:color="auto" w:sz="4" w:space="0"/>
              <w:right w:val="single" w:color="auto" w:sz="4" w:space="0"/>
            </w:tcBorders>
            <w:vAlign w:val="center"/>
          </w:tcPr>
          <w:p w14:paraId="0AA4EA15">
            <w:pPr>
              <w:spacing w:line="320" w:lineRule="exact"/>
              <w:jc w:val="center"/>
              <w:rPr>
                <w:rFonts w:asciiTheme="minorEastAsia" w:hAnsiTheme="minorEastAsia" w:eastAsiaTheme="minorEastAsia" w:cstheme="minorEastAsia"/>
                <w:color w:val="000000"/>
                <w:szCs w:val="21"/>
              </w:rPr>
            </w:pPr>
          </w:p>
        </w:tc>
        <w:tc>
          <w:tcPr>
            <w:tcW w:w="5670" w:type="dxa"/>
            <w:tcBorders>
              <w:top w:val="single" w:color="auto" w:sz="4" w:space="0"/>
              <w:left w:val="nil"/>
              <w:bottom w:val="single" w:color="auto" w:sz="4" w:space="0"/>
              <w:right w:val="single" w:color="auto" w:sz="4" w:space="0"/>
            </w:tcBorders>
            <w:vAlign w:val="center"/>
          </w:tcPr>
          <w:p w14:paraId="1695F82A">
            <w:pPr>
              <w:jc w:val="left"/>
              <w:rPr>
                <w:rFonts w:asciiTheme="minorEastAsia" w:hAnsiTheme="minorEastAsia" w:eastAsiaTheme="minorEastAsia" w:cstheme="minorEastAsia"/>
                <w:color w:val="000000"/>
                <w:kern w:val="0"/>
                <w:szCs w:val="21"/>
              </w:rPr>
            </w:pPr>
          </w:p>
        </w:tc>
        <w:tc>
          <w:tcPr>
            <w:tcW w:w="1701" w:type="dxa"/>
            <w:tcBorders>
              <w:top w:val="single" w:color="auto" w:sz="4" w:space="0"/>
              <w:left w:val="nil"/>
              <w:bottom w:val="single" w:color="auto" w:sz="4" w:space="0"/>
              <w:right w:val="single" w:color="auto" w:sz="4" w:space="0"/>
            </w:tcBorders>
            <w:vAlign w:val="center"/>
          </w:tcPr>
          <w:p w14:paraId="4C8736FB">
            <w:pPr>
              <w:jc w:val="center"/>
              <w:rPr>
                <w:rFonts w:asciiTheme="minorEastAsia" w:hAnsiTheme="minorEastAsia" w:eastAsiaTheme="minorEastAsia"/>
                <w:sz w:val="24"/>
                <w:szCs w:val="24"/>
              </w:rPr>
            </w:pPr>
          </w:p>
        </w:tc>
      </w:tr>
    </w:tbl>
    <w:p w14:paraId="5E4869C4"/>
    <w:p w14:paraId="7ADD4C21">
      <w:pPr>
        <w:pStyle w:val="3"/>
        <w:keepNext w:val="0"/>
        <w:keepLines w:val="0"/>
        <w:spacing w:before="0" w:after="0" w:line="360" w:lineRule="auto"/>
        <w:rPr>
          <w:rFonts w:ascii="宋体" w:hAnsi="宋体"/>
          <w:kern w:val="0"/>
          <w:sz w:val="28"/>
          <w:szCs w:val="28"/>
        </w:rPr>
      </w:pPr>
      <w:bookmarkStart w:id="82" w:name="_Toc184287627"/>
      <w:r>
        <w:rPr>
          <w:rFonts w:hint="eastAsia" w:ascii="宋体" w:hAnsi="宋体"/>
          <w:kern w:val="0"/>
          <w:sz w:val="28"/>
          <w:szCs w:val="28"/>
        </w:rPr>
        <w:t>附件3：应急</w:t>
      </w:r>
      <w:r>
        <w:rPr>
          <w:rFonts w:ascii="宋体" w:hAnsi="宋体"/>
          <w:kern w:val="0"/>
          <w:sz w:val="28"/>
          <w:szCs w:val="28"/>
        </w:rPr>
        <w:t>救援队伍统计表</w:t>
      </w:r>
      <w:commentRangeStart w:id="2"/>
      <w:r>
        <w:rPr>
          <w:rFonts w:ascii="宋体" w:hAnsi="宋体"/>
          <w:kern w:val="0"/>
          <w:sz w:val="28"/>
          <w:szCs w:val="28"/>
          <w:highlight w:val="yellow"/>
        </w:rPr>
        <w:t>（</w:t>
      </w:r>
      <w:r>
        <w:rPr>
          <w:rFonts w:hint="eastAsia" w:ascii="宋体" w:hAnsi="宋体"/>
          <w:kern w:val="0"/>
          <w:sz w:val="28"/>
          <w:szCs w:val="28"/>
          <w:highlight w:val="yellow"/>
        </w:rPr>
        <w:t>是否</w:t>
      </w:r>
      <w:r>
        <w:rPr>
          <w:rFonts w:ascii="宋体" w:hAnsi="宋体"/>
          <w:kern w:val="0"/>
          <w:sz w:val="28"/>
          <w:szCs w:val="28"/>
          <w:highlight w:val="yellow"/>
        </w:rPr>
        <w:t>还有群众性的专职救援队伍？）</w:t>
      </w:r>
      <w:commentRangeEnd w:id="2"/>
      <w:r>
        <w:rPr>
          <w:rStyle w:val="16"/>
          <w:rFonts w:ascii="Calibri" w:hAnsi="Calibri"/>
          <w:b w:val="0"/>
          <w:bCs w:val="0"/>
        </w:rPr>
        <w:commentReference w:id="2"/>
      </w:r>
      <w:bookmarkEnd w:id="82"/>
    </w:p>
    <w:tbl>
      <w:tblPr>
        <w:tblStyle w:val="13"/>
        <w:tblW w:w="140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2363"/>
        <w:gridCol w:w="2268"/>
        <w:gridCol w:w="2977"/>
        <w:gridCol w:w="1276"/>
        <w:gridCol w:w="2126"/>
        <w:gridCol w:w="2269"/>
      </w:tblGrid>
      <w:tr w14:paraId="6F682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22" w:type="dxa"/>
            <w:tcBorders>
              <w:top w:val="single" w:color="auto" w:sz="4" w:space="0"/>
              <w:left w:val="single" w:color="auto" w:sz="4" w:space="0"/>
              <w:bottom w:val="single" w:color="auto" w:sz="4" w:space="0"/>
              <w:right w:val="single" w:color="auto" w:sz="4" w:space="0"/>
            </w:tcBorders>
            <w:vAlign w:val="center"/>
          </w:tcPr>
          <w:p w14:paraId="22CD1C68">
            <w:pPr>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序号</w:t>
            </w:r>
          </w:p>
        </w:tc>
        <w:tc>
          <w:tcPr>
            <w:tcW w:w="2363" w:type="dxa"/>
            <w:tcBorders>
              <w:top w:val="single" w:color="auto" w:sz="4" w:space="0"/>
              <w:left w:val="nil"/>
              <w:bottom w:val="single" w:color="auto" w:sz="4" w:space="0"/>
              <w:right w:val="single" w:color="auto" w:sz="4" w:space="0"/>
            </w:tcBorders>
            <w:vAlign w:val="center"/>
          </w:tcPr>
          <w:p w14:paraId="389ACCA3">
            <w:pPr>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单位名称</w:t>
            </w:r>
          </w:p>
        </w:tc>
        <w:tc>
          <w:tcPr>
            <w:tcW w:w="2268" w:type="dxa"/>
            <w:tcBorders>
              <w:top w:val="single" w:color="auto" w:sz="4" w:space="0"/>
              <w:left w:val="nil"/>
              <w:bottom w:val="single" w:color="auto" w:sz="4" w:space="0"/>
              <w:right w:val="single" w:color="auto" w:sz="4" w:space="0"/>
            </w:tcBorders>
            <w:vAlign w:val="center"/>
          </w:tcPr>
          <w:p w14:paraId="33FE19D8">
            <w:pPr>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位置</w:t>
            </w:r>
          </w:p>
        </w:tc>
        <w:tc>
          <w:tcPr>
            <w:tcW w:w="2977" w:type="dxa"/>
            <w:tcBorders>
              <w:top w:val="single" w:color="auto" w:sz="4" w:space="0"/>
              <w:left w:val="nil"/>
              <w:bottom w:val="single" w:color="auto" w:sz="4" w:space="0"/>
              <w:right w:val="single" w:color="auto" w:sz="4" w:space="0"/>
            </w:tcBorders>
            <w:vAlign w:val="center"/>
          </w:tcPr>
          <w:p w14:paraId="49B669A4">
            <w:pPr>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应急</w:t>
            </w:r>
            <w:r>
              <w:rPr>
                <w:rFonts w:asciiTheme="minorEastAsia" w:hAnsiTheme="minorEastAsia" w:eastAsiaTheme="minorEastAsia"/>
                <w:b/>
                <w:bCs/>
                <w:sz w:val="24"/>
                <w:szCs w:val="24"/>
              </w:rPr>
              <w:t>物资</w:t>
            </w:r>
          </w:p>
        </w:tc>
        <w:tc>
          <w:tcPr>
            <w:tcW w:w="1276" w:type="dxa"/>
            <w:tcBorders>
              <w:top w:val="single" w:color="auto" w:sz="4" w:space="0"/>
              <w:left w:val="single" w:color="auto" w:sz="4" w:space="0"/>
              <w:bottom w:val="single" w:color="auto" w:sz="4" w:space="0"/>
              <w:right w:val="single" w:color="auto" w:sz="4" w:space="0"/>
            </w:tcBorders>
            <w:vAlign w:val="center"/>
          </w:tcPr>
          <w:p w14:paraId="6FC4269F">
            <w:pPr>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人员数</w:t>
            </w:r>
          </w:p>
        </w:tc>
        <w:tc>
          <w:tcPr>
            <w:tcW w:w="2126" w:type="dxa"/>
            <w:tcBorders>
              <w:top w:val="single" w:color="auto" w:sz="4" w:space="0"/>
              <w:left w:val="nil"/>
              <w:bottom w:val="single" w:color="auto" w:sz="4" w:space="0"/>
              <w:right w:val="single" w:color="auto" w:sz="4" w:space="0"/>
            </w:tcBorders>
            <w:vAlign w:val="center"/>
          </w:tcPr>
          <w:p w14:paraId="20A3B9AD">
            <w:pPr>
              <w:jc w:val="center"/>
              <w:rPr>
                <w:rFonts w:asciiTheme="minorEastAsia" w:hAnsiTheme="minorEastAsia" w:eastAsiaTheme="minorEastAsia"/>
                <w:b/>
                <w:bCs/>
                <w:sz w:val="24"/>
                <w:szCs w:val="24"/>
              </w:rPr>
            </w:pPr>
            <w:r>
              <w:rPr>
                <w:rFonts w:asciiTheme="minorEastAsia" w:hAnsiTheme="minorEastAsia" w:eastAsiaTheme="minorEastAsia"/>
                <w:b/>
                <w:bCs/>
                <w:sz w:val="24"/>
                <w:szCs w:val="24"/>
              </w:rPr>
              <w:t>负责人</w:t>
            </w:r>
          </w:p>
        </w:tc>
        <w:tc>
          <w:tcPr>
            <w:tcW w:w="2269" w:type="dxa"/>
            <w:tcBorders>
              <w:top w:val="single" w:color="auto" w:sz="4" w:space="0"/>
              <w:left w:val="nil"/>
              <w:bottom w:val="single" w:color="auto" w:sz="4" w:space="0"/>
              <w:right w:val="single" w:color="auto" w:sz="4" w:space="0"/>
            </w:tcBorders>
            <w:vAlign w:val="center"/>
          </w:tcPr>
          <w:p w14:paraId="6289CE88">
            <w:pPr>
              <w:jc w:val="center"/>
              <w:rPr>
                <w:rFonts w:asciiTheme="minorEastAsia" w:hAnsiTheme="minorEastAsia" w:eastAsiaTheme="minorEastAsia"/>
                <w:b/>
                <w:bCs/>
                <w:sz w:val="24"/>
                <w:szCs w:val="24"/>
              </w:rPr>
            </w:pPr>
            <w:r>
              <w:rPr>
                <w:rFonts w:asciiTheme="minorEastAsia" w:hAnsiTheme="minorEastAsia" w:eastAsiaTheme="minorEastAsia"/>
                <w:b/>
                <w:bCs/>
                <w:sz w:val="24"/>
                <w:szCs w:val="24"/>
              </w:rPr>
              <w:t>联系电话</w:t>
            </w:r>
          </w:p>
        </w:tc>
      </w:tr>
      <w:tr w14:paraId="32C1C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722" w:type="dxa"/>
            <w:tcBorders>
              <w:top w:val="single" w:color="auto" w:sz="4" w:space="0"/>
              <w:left w:val="single" w:color="auto" w:sz="4" w:space="0"/>
              <w:bottom w:val="single" w:color="auto" w:sz="4" w:space="0"/>
              <w:right w:val="single" w:color="auto" w:sz="4" w:space="0"/>
            </w:tcBorders>
            <w:vAlign w:val="center"/>
          </w:tcPr>
          <w:p w14:paraId="31D66AD7">
            <w:pPr>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2363" w:type="dxa"/>
            <w:tcBorders>
              <w:top w:val="single" w:color="auto" w:sz="4" w:space="0"/>
              <w:left w:val="nil"/>
              <w:bottom w:val="single" w:color="auto" w:sz="4" w:space="0"/>
              <w:right w:val="single" w:color="auto" w:sz="4" w:space="0"/>
            </w:tcBorders>
            <w:vAlign w:val="center"/>
          </w:tcPr>
          <w:p w14:paraId="760578A8">
            <w:pPr>
              <w:jc w:val="center"/>
              <w:rPr>
                <w:rFonts w:asciiTheme="minorEastAsia" w:hAnsiTheme="minorEastAsia" w:eastAsiaTheme="minorEastAsia" w:cstheme="minorEastAsia"/>
                <w:szCs w:val="21"/>
              </w:rPr>
            </w:pPr>
            <w:r>
              <w:rPr>
                <w:rFonts w:asciiTheme="minorEastAsia" w:hAnsiTheme="minorEastAsia" w:eastAsiaTheme="minorEastAsia" w:cstheme="minorEastAsia"/>
                <w:szCs w:val="21"/>
              </w:rPr>
              <w:t>武警桦南中队</w:t>
            </w:r>
          </w:p>
        </w:tc>
        <w:tc>
          <w:tcPr>
            <w:tcW w:w="2268" w:type="dxa"/>
            <w:tcBorders>
              <w:top w:val="single" w:color="auto" w:sz="4" w:space="0"/>
              <w:left w:val="nil"/>
              <w:bottom w:val="single" w:color="auto" w:sz="4" w:space="0"/>
              <w:right w:val="single" w:color="auto" w:sz="4" w:space="0"/>
            </w:tcBorders>
            <w:vAlign w:val="center"/>
          </w:tcPr>
          <w:p w14:paraId="429BA6F5">
            <w:pPr>
              <w:jc w:val="center"/>
              <w:rPr>
                <w:rFonts w:asciiTheme="minorEastAsia" w:hAnsiTheme="minorEastAsia" w:eastAsiaTheme="minorEastAsia" w:cstheme="minorEastAsia"/>
                <w:color w:val="000000"/>
                <w:szCs w:val="21"/>
              </w:rPr>
            </w:pPr>
          </w:p>
        </w:tc>
        <w:tc>
          <w:tcPr>
            <w:tcW w:w="2977" w:type="dxa"/>
            <w:tcBorders>
              <w:top w:val="single" w:color="auto" w:sz="4" w:space="0"/>
              <w:left w:val="nil"/>
              <w:bottom w:val="single" w:color="auto" w:sz="4" w:space="0"/>
              <w:right w:val="single" w:color="auto" w:sz="4" w:space="0"/>
            </w:tcBorders>
            <w:vAlign w:val="center"/>
          </w:tcPr>
          <w:p w14:paraId="1D3300C5">
            <w:pPr>
              <w:widowControl/>
              <w:jc w:val="center"/>
              <w:rPr>
                <w:rFonts w:asciiTheme="minorEastAsia" w:hAnsiTheme="minorEastAsia" w:eastAsiaTheme="minorEastAsia" w:cstheme="minorEastAsia"/>
                <w:color w:val="000000"/>
                <w:kern w:val="0"/>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299FBA9D">
            <w:pPr>
              <w:widowControl/>
              <w:jc w:val="center"/>
              <w:rPr>
                <w:rFonts w:asciiTheme="minorEastAsia" w:hAnsiTheme="minorEastAsia" w:eastAsiaTheme="minorEastAsia" w:cstheme="minorEastAsia"/>
                <w:color w:val="000000"/>
                <w:kern w:val="0"/>
                <w:szCs w:val="21"/>
              </w:rPr>
            </w:pPr>
          </w:p>
        </w:tc>
        <w:tc>
          <w:tcPr>
            <w:tcW w:w="2126" w:type="dxa"/>
            <w:tcBorders>
              <w:top w:val="single" w:color="auto" w:sz="4" w:space="0"/>
              <w:left w:val="nil"/>
              <w:bottom w:val="single" w:color="auto" w:sz="4" w:space="0"/>
              <w:right w:val="single" w:color="auto" w:sz="4" w:space="0"/>
            </w:tcBorders>
            <w:vAlign w:val="center"/>
          </w:tcPr>
          <w:p w14:paraId="7F118F09">
            <w:pPr>
              <w:widowControl/>
              <w:jc w:val="center"/>
              <w:rPr>
                <w:rFonts w:asciiTheme="minorEastAsia" w:hAnsiTheme="minorEastAsia" w:eastAsiaTheme="minorEastAsia" w:cstheme="minorEastAsia"/>
                <w:color w:val="000000"/>
                <w:kern w:val="0"/>
                <w:szCs w:val="21"/>
              </w:rPr>
            </w:pPr>
          </w:p>
        </w:tc>
        <w:tc>
          <w:tcPr>
            <w:tcW w:w="2269" w:type="dxa"/>
            <w:tcBorders>
              <w:top w:val="single" w:color="auto" w:sz="4" w:space="0"/>
              <w:left w:val="nil"/>
              <w:bottom w:val="single" w:color="auto" w:sz="4" w:space="0"/>
              <w:right w:val="single" w:color="auto" w:sz="4" w:space="0"/>
            </w:tcBorders>
            <w:vAlign w:val="center"/>
          </w:tcPr>
          <w:p w14:paraId="430FEED6">
            <w:pPr>
              <w:jc w:val="center"/>
              <w:rPr>
                <w:rFonts w:asciiTheme="minorEastAsia" w:hAnsiTheme="minorEastAsia" w:eastAsiaTheme="minorEastAsia"/>
                <w:sz w:val="24"/>
                <w:szCs w:val="24"/>
              </w:rPr>
            </w:pPr>
          </w:p>
        </w:tc>
      </w:tr>
      <w:tr w14:paraId="1FCBB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22" w:type="dxa"/>
            <w:tcBorders>
              <w:top w:val="single" w:color="auto" w:sz="4" w:space="0"/>
              <w:left w:val="single" w:color="auto" w:sz="4" w:space="0"/>
              <w:bottom w:val="single" w:color="auto" w:sz="4" w:space="0"/>
              <w:right w:val="single" w:color="auto" w:sz="4" w:space="0"/>
            </w:tcBorders>
            <w:vAlign w:val="center"/>
          </w:tcPr>
          <w:p w14:paraId="0F3D7A7C">
            <w:pPr>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2363" w:type="dxa"/>
            <w:tcBorders>
              <w:top w:val="single" w:color="auto" w:sz="4" w:space="0"/>
              <w:left w:val="nil"/>
              <w:bottom w:val="single" w:color="auto" w:sz="4" w:space="0"/>
              <w:right w:val="single" w:color="auto" w:sz="4" w:space="0"/>
            </w:tcBorders>
            <w:vAlign w:val="center"/>
          </w:tcPr>
          <w:p w14:paraId="74B849B0">
            <w:pPr>
              <w:rPr>
                <w:rFonts w:asciiTheme="minorEastAsia" w:hAnsiTheme="minorEastAsia" w:eastAsiaTheme="minorEastAsia" w:cstheme="minorEastAsia"/>
                <w:szCs w:val="21"/>
              </w:rPr>
            </w:pPr>
            <w:r>
              <w:rPr>
                <w:rFonts w:asciiTheme="minorEastAsia" w:hAnsiTheme="minorEastAsia" w:eastAsiaTheme="minorEastAsia" w:cstheme="minorEastAsia"/>
                <w:szCs w:val="21"/>
              </w:rPr>
              <w:t>桦南县消防救援</w:t>
            </w:r>
            <w:r>
              <w:rPr>
                <w:rFonts w:hint="eastAsia" w:asciiTheme="minorEastAsia" w:hAnsiTheme="minorEastAsia" w:eastAsiaTheme="minorEastAsia" w:cstheme="minorEastAsia"/>
                <w:szCs w:val="21"/>
              </w:rPr>
              <w:t>大</w:t>
            </w:r>
            <w:r>
              <w:rPr>
                <w:rFonts w:asciiTheme="minorEastAsia" w:hAnsiTheme="minorEastAsia" w:eastAsiaTheme="minorEastAsia" w:cstheme="minorEastAsia"/>
                <w:szCs w:val="21"/>
              </w:rPr>
              <w:t>队</w:t>
            </w:r>
          </w:p>
        </w:tc>
        <w:tc>
          <w:tcPr>
            <w:tcW w:w="2268" w:type="dxa"/>
            <w:tcBorders>
              <w:top w:val="single" w:color="auto" w:sz="4" w:space="0"/>
              <w:left w:val="nil"/>
              <w:bottom w:val="single" w:color="auto" w:sz="4" w:space="0"/>
              <w:right w:val="single" w:color="auto" w:sz="4" w:space="0"/>
            </w:tcBorders>
            <w:vAlign w:val="center"/>
          </w:tcPr>
          <w:p w14:paraId="3123E2EE">
            <w:pPr>
              <w:jc w:val="center"/>
              <w:rPr>
                <w:rFonts w:asciiTheme="minorEastAsia" w:hAnsiTheme="minorEastAsia" w:eastAsiaTheme="minorEastAsia" w:cstheme="minorEastAsia"/>
                <w:color w:val="000000"/>
                <w:kern w:val="0"/>
                <w:szCs w:val="21"/>
              </w:rPr>
            </w:pPr>
          </w:p>
        </w:tc>
        <w:tc>
          <w:tcPr>
            <w:tcW w:w="2977" w:type="dxa"/>
            <w:tcBorders>
              <w:top w:val="single" w:color="auto" w:sz="4" w:space="0"/>
              <w:left w:val="nil"/>
              <w:bottom w:val="single" w:color="auto" w:sz="4" w:space="0"/>
              <w:right w:val="single" w:color="auto" w:sz="4" w:space="0"/>
            </w:tcBorders>
            <w:vAlign w:val="center"/>
          </w:tcPr>
          <w:p w14:paraId="7395F6EF">
            <w:pPr>
              <w:jc w:val="center"/>
              <w:rPr>
                <w:rFonts w:asciiTheme="minorEastAsia" w:hAnsiTheme="minorEastAsia" w:eastAsiaTheme="minorEastAsia" w:cstheme="minorEastAsia"/>
                <w:color w:val="000000"/>
                <w:kern w:val="0"/>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0D380E6B">
            <w:pPr>
              <w:jc w:val="center"/>
              <w:rPr>
                <w:rFonts w:asciiTheme="minorEastAsia" w:hAnsiTheme="minorEastAsia" w:eastAsiaTheme="minorEastAsia" w:cstheme="minorEastAsia"/>
                <w:color w:val="000000"/>
                <w:kern w:val="0"/>
                <w:szCs w:val="21"/>
              </w:rPr>
            </w:pPr>
          </w:p>
        </w:tc>
        <w:tc>
          <w:tcPr>
            <w:tcW w:w="2126" w:type="dxa"/>
            <w:tcBorders>
              <w:top w:val="single" w:color="auto" w:sz="4" w:space="0"/>
              <w:left w:val="nil"/>
              <w:bottom w:val="single" w:color="auto" w:sz="4" w:space="0"/>
              <w:right w:val="single" w:color="auto" w:sz="4" w:space="0"/>
            </w:tcBorders>
            <w:vAlign w:val="center"/>
          </w:tcPr>
          <w:p w14:paraId="70182885">
            <w:pPr>
              <w:jc w:val="center"/>
              <w:rPr>
                <w:rFonts w:asciiTheme="minorEastAsia" w:hAnsiTheme="minorEastAsia" w:eastAsiaTheme="minorEastAsia" w:cstheme="minorEastAsia"/>
                <w:color w:val="000000"/>
                <w:kern w:val="0"/>
                <w:szCs w:val="21"/>
              </w:rPr>
            </w:pPr>
          </w:p>
        </w:tc>
        <w:tc>
          <w:tcPr>
            <w:tcW w:w="2269" w:type="dxa"/>
            <w:tcBorders>
              <w:top w:val="single" w:color="auto" w:sz="4" w:space="0"/>
              <w:left w:val="nil"/>
              <w:bottom w:val="single" w:color="auto" w:sz="4" w:space="0"/>
              <w:right w:val="single" w:color="auto" w:sz="4" w:space="0"/>
            </w:tcBorders>
            <w:vAlign w:val="center"/>
          </w:tcPr>
          <w:p w14:paraId="469FA3F5">
            <w:pPr>
              <w:widowControl/>
              <w:jc w:val="center"/>
              <w:rPr>
                <w:rFonts w:cs="宋体" w:asciiTheme="minorEastAsia" w:hAnsiTheme="minorEastAsia" w:eastAsiaTheme="minorEastAsia"/>
                <w:color w:val="000000"/>
                <w:kern w:val="0"/>
                <w:sz w:val="24"/>
                <w:szCs w:val="24"/>
              </w:rPr>
            </w:pPr>
          </w:p>
        </w:tc>
      </w:tr>
      <w:tr w14:paraId="693D5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22" w:type="dxa"/>
            <w:tcBorders>
              <w:top w:val="single" w:color="auto" w:sz="4" w:space="0"/>
              <w:left w:val="single" w:color="auto" w:sz="4" w:space="0"/>
              <w:bottom w:val="single" w:color="auto" w:sz="4" w:space="0"/>
              <w:right w:val="single" w:color="auto" w:sz="4" w:space="0"/>
            </w:tcBorders>
            <w:vAlign w:val="center"/>
          </w:tcPr>
          <w:p w14:paraId="600B8097">
            <w:pPr>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2363" w:type="dxa"/>
            <w:tcBorders>
              <w:top w:val="single" w:color="auto" w:sz="4" w:space="0"/>
              <w:left w:val="nil"/>
              <w:bottom w:val="single" w:color="auto" w:sz="4" w:space="0"/>
              <w:right w:val="single" w:color="auto" w:sz="4" w:space="0"/>
            </w:tcBorders>
            <w:vAlign w:val="center"/>
          </w:tcPr>
          <w:p w14:paraId="427DF6A0">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双鸭山森林消防救援大队八中队（驻桦）</w:t>
            </w:r>
          </w:p>
        </w:tc>
        <w:tc>
          <w:tcPr>
            <w:tcW w:w="2268" w:type="dxa"/>
            <w:tcBorders>
              <w:top w:val="single" w:color="auto" w:sz="4" w:space="0"/>
              <w:left w:val="nil"/>
              <w:bottom w:val="single" w:color="auto" w:sz="4" w:space="0"/>
              <w:right w:val="single" w:color="auto" w:sz="4" w:space="0"/>
            </w:tcBorders>
            <w:vAlign w:val="center"/>
          </w:tcPr>
          <w:p w14:paraId="5CA91774">
            <w:pPr>
              <w:jc w:val="center"/>
              <w:rPr>
                <w:rFonts w:asciiTheme="minorEastAsia" w:hAnsiTheme="minorEastAsia" w:eastAsiaTheme="minorEastAsia" w:cstheme="minorEastAsia"/>
                <w:color w:val="000000"/>
                <w:kern w:val="0"/>
                <w:szCs w:val="21"/>
              </w:rPr>
            </w:pPr>
          </w:p>
        </w:tc>
        <w:tc>
          <w:tcPr>
            <w:tcW w:w="2977" w:type="dxa"/>
            <w:tcBorders>
              <w:top w:val="single" w:color="auto" w:sz="4" w:space="0"/>
              <w:left w:val="nil"/>
              <w:bottom w:val="single" w:color="auto" w:sz="4" w:space="0"/>
              <w:right w:val="single" w:color="auto" w:sz="4" w:space="0"/>
            </w:tcBorders>
            <w:vAlign w:val="center"/>
          </w:tcPr>
          <w:p w14:paraId="3420AD28">
            <w:pPr>
              <w:jc w:val="center"/>
              <w:rPr>
                <w:rFonts w:asciiTheme="minorEastAsia" w:hAnsiTheme="minorEastAsia" w:eastAsiaTheme="minorEastAsia" w:cstheme="minorEastAsia"/>
                <w:color w:val="000000"/>
                <w:kern w:val="0"/>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09BED0E4">
            <w:pPr>
              <w:jc w:val="center"/>
              <w:rPr>
                <w:rFonts w:asciiTheme="minorEastAsia" w:hAnsiTheme="minorEastAsia" w:eastAsiaTheme="minorEastAsia" w:cstheme="minorEastAsia"/>
                <w:color w:val="000000"/>
                <w:kern w:val="0"/>
                <w:szCs w:val="21"/>
              </w:rPr>
            </w:pPr>
          </w:p>
        </w:tc>
        <w:tc>
          <w:tcPr>
            <w:tcW w:w="2126" w:type="dxa"/>
            <w:tcBorders>
              <w:top w:val="single" w:color="auto" w:sz="4" w:space="0"/>
              <w:left w:val="nil"/>
              <w:bottom w:val="single" w:color="auto" w:sz="4" w:space="0"/>
              <w:right w:val="single" w:color="auto" w:sz="4" w:space="0"/>
            </w:tcBorders>
            <w:vAlign w:val="center"/>
          </w:tcPr>
          <w:p w14:paraId="1292853E">
            <w:pPr>
              <w:jc w:val="center"/>
              <w:rPr>
                <w:rFonts w:asciiTheme="minorEastAsia" w:hAnsiTheme="minorEastAsia" w:eastAsiaTheme="minorEastAsia" w:cstheme="minorEastAsia"/>
                <w:color w:val="000000"/>
                <w:kern w:val="0"/>
                <w:szCs w:val="21"/>
              </w:rPr>
            </w:pPr>
          </w:p>
        </w:tc>
        <w:tc>
          <w:tcPr>
            <w:tcW w:w="2269" w:type="dxa"/>
            <w:tcBorders>
              <w:top w:val="single" w:color="auto" w:sz="4" w:space="0"/>
              <w:left w:val="nil"/>
              <w:bottom w:val="single" w:color="auto" w:sz="4" w:space="0"/>
              <w:right w:val="single" w:color="auto" w:sz="4" w:space="0"/>
            </w:tcBorders>
            <w:vAlign w:val="center"/>
          </w:tcPr>
          <w:p w14:paraId="657CF0DA">
            <w:pPr>
              <w:widowControl/>
              <w:jc w:val="center"/>
              <w:rPr>
                <w:rFonts w:cs="宋体" w:asciiTheme="minorEastAsia" w:hAnsiTheme="minorEastAsia" w:eastAsiaTheme="minorEastAsia"/>
                <w:color w:val="000000"/>
                <w:kern w:val="0"/>
                <w:sz w:val="24"/>
                <w:szCs w:val="24"/>
              </w:rPr>
            </w:pPr>
          </w:p>
        </w:tc>
      </w:tr>
      <w:tr w14:paraId="1AAA1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22" w:type="dxa"/>
            <w:tcBorders>
              <w:top w:val="single" w:color="auto" w:sz="4" w:space="0"/>
              <w:left w:val="single" w:color="auto" w:sz="4" w:space="0"/>
              <w:bottom w:val="single" w:color="auto" w:sz="4" w:space="0"/>
              <w:right w:val="single" w:color="auto" w:sz="4" w:space="0"/>
            </w:tcBorders>
            <w:vAlign w:val="center"/>
          </w:tcPr>
          <w:p w14:paraId="19A81E5A">
            <w:pPr>
              <w:jc w:val="center"/>
              <w:rPr>
                <w:rFonts w:asciiTheme="minorEastAsia" w:hAnsiTheme="minorEastAsia" w:eastAsiaTheme="minorEastAsia"/>
                <w:szCs w:val="21"/>
              </w:rPr>
            </w:pPr>
            <w:r>
              <w:rPr>
                <w:rFonts w:hint="eastAsia" w:asciiTheme="minorEastAsia" w:hAnsiTheme="minorEastAsia" w:eastAsiaTheme="minorEastAsia"/>
                <w:szCs w:val="21"/>
              </w:rPr>
              <w:t>4</w:t>
            </w:r>
          </w:p>
        </w:tc>
        <w:tc>
          <w:tcPr>
            <w:tcW w:w="2363" w:type="dxa"/>
            <w:tcBorders>
              <w:top w:val="single" w:color="auto" w:sz="4" w:space="0"/>
              <w:left w:val="nil"/>
              <w:bottom w:val="single" w:color="auto" w:sz="4" w:space="0"/>
              <w:right w:val="single" w:color="auto" w:sz="4" w:space="0"/>
            </w:tcBorders>
            <w:vAlign w:val="center"/>
          </w:tcPr>
          <w:p w14:paraId="02036892">
            <w:pPr>
              <w:jc w:val="center"/>
              <w:rPr>
                <w:rFonts w:asciiTheme="minorEastAsia" w:hAnsiTheme="minorEastAsia" w:eastAsiaTheme="minorEastAsia" w:cstheme="minorEastAsia"/>
                <w:szCs w:val="21"/>
              </w:rPr>
            </w:pPr>
          </w:p>
        </w:tc>
        <w:tc>
          <w:tcPr>
            <w:tcW w:w="2268" w:type="dxa"/>
            <w:tcBorders>
              <w:top w:val="single" w:color="auto" w:sz="4" w:space="0"/>
              <w:left w:val="nil"/>
              <w:bottom w:val="single" w:color="auto" w:sz="4" w:space="0"/>
              <w:right w:val="single" w:color="auto" w:sz="4" w:space="0"/>
            </w:tcBorders>
            <w:vAlign w:val="center"/>
          </w:tcPr>
          <w:p w14:paraId="43A0DC25">
            <w:pPr>
              <w:jc w:val="center"/>
              <w:rPr>
                <w:rFonts w:asciiTheme="minorEastAsia" w:hAnsiTheme="minorEastAsia" w:eastAsiaTheme="minorEastAsia" w:cstheme="minorEastAsia"/>
                <w:color w:val="000000"/>
                <w:kern w:val="0"/>
                <w:szCs w:val="21"/>
              </w:rPr>
            </w:pPr>
          </w:p>
        </w:tc>
        <w:tc>
          <w:tcPr>
            <w:tcW w:w="2977" w:type="dxa"/>
            <w:tcBorders>
              <w:top w:val="single" w:color="auto" w:sz="4" w:space="0"/>
              <w:left w:val="nil"/>
              <w:bottom w:val="single" w:color="auto" w:sz="4" w:space="0"/>
              <w:right w:val="single" w:color="auto" w:sz="4" w:space="0"/>
            </w:tcBorders>
            <w:vAlign w:val="center"/>
          </w:tcPr>
          <w:p w14:paraId="73A16EE6">
            <w:pPr>
              <w:jc w:val="center"/>
              <w:rPr>
                <w:rFonts w:asciiTheme="minorEastAsia" w:hAnsiTheme="minorEastAsia" w:eastAsiaTheme="minorEastAsia" w:cstheme="minorEastAsia"/>
                <w:color w:val="000000"/>
                <w:kern w:val="0"/>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5606939A">
            <w:pPr>
              <w:jc w:val="center"/>
              <w:rPr>
                <w:rFonts w:asciiTheme="minorEastAsia" w:hAnsiTheme="minorEastAsia" w:eastAsiaTheme="minorEastAsia" w:cstheme="minorEastAsia"/>
                <w:color w:val="000000"/>
                <w:kern w:val="0"/>
                <w:szCs w:val="21"/>
              </w:rPr>
            </w:pPr>
          </w:p>
        </w:tc>
        <w:tc>
          <w:tcPr>
            <w:tcW w:w="2126" w:type="dxa"/>
            <w:tcBorders>
              <w:top w:val="single" w:color="auto" w:sz="4" w:space="0"/>
              <w:left w:val="nil"/>
              <w:bottom w:val="single" w:color="auto" w:sz="4" w:space="0"/>
              <w:right w:val="single" w:color="auto" w:sz="4" w:space="0"/>
            </w:tcBorders>
            <w:vAlign w:val="center"/>
          </w:tcPr>
          <w:p w14:paraId="7075F396">
            <w:pPr>
              <w:jc w:val="center"/>
              <w:rPr>
                <w:rFonts w:asciiTheme="minorEastAsia" w:hAnsiTheme="minorEastAsia" w:eastAsiaTheme="minorEastAsia" w:cstheme="minorEastAsia"/>
                <w:color w:val="000000"/>
                <w:kern w:val="0"/>
                <w:szCs w:val="21"/>
              </w:rPr>
            </w:pPr>
          </w:p>
        </w:tc>
        <w:tc>
          <w:tcPr>
            <w:tcW w:w="2269" w:type="dxa"/>
            <w:tcBorders>
              <w:top w:val="single" w:color="auto" w:sz="4" w:space="0"/>
              <w:left w:val="nil"/>
              <w:bottom w:val="single" w:color="auto" w:sz="4" w:space="0"/>
              <w:right w:val="single" w:color="auto" w:sz="4" w:space="0"/>
            </w:tcBorders>
            <w:vAlign w:val="center"/>
          </w:tcPr>
          <w:p w14:paraId="748FABBA">
            <w:pPr>
              <w:widowControl/>
              <w:jc w:val="center"/>
              <w:rPr>
                <w:rFonts w:cs="宋体" w:asciiTheme="minorEastAsia" w:hAnsiTheme="minorEastAsia" w:eastAsiaTheme="minorEastAsia"/>
                <w:color w:val="000000"/>
                <w:kern w:val="0"/>
                <w:sz w:val="24"/>
                <w:szCs w:val="24"/>
              </w:rPr>
            </w:pPr>
          </w:p>
        </w:tc>
      </w:tr>
      <w:tr w14:paraId="4F53E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722" w:type="dxa"/>
            <w:tcBorders>
              <w:top w:val="single" w:color="auto" w:sz="4" w:space="0"/>
              <w:left w:val="single" w:color="auto" w:sz="4" w:space="0"/>
              <w:bottom w:val="single" w:color="auto" w:sz="4" w:space="0"/>
              <w:right w:val="single" w:color="auto" w:sz="4" w:space="0"/>
            </w:tcBorders>
            <w:vAlign w:val="center"/>
          </w:tcPr>
          <w:p w14:paraId="10BC594F">
            <w:pPr>
              <w:jc w:val="center"/>
              <w:rPr>
                <w:rFonts w:asciiTheme="minorEastAsia" w:hAnsiTheme="minorEastAsia" w:eastAsiaTheme="minorEastAsia"/>
                <w:szCs w:val="21"/>
              </w:rPr>
            </w:pPr>
            <w:r>
              <w:rPr>
                <w:rFonts w:hint="eastAsia" w:asciiTheme="minorEastAsia" w:hAnsiTheme="minorEastAsia" w:eastAsiaTheme="minorEastAsia"/>
                <w:szCs w:val="21"/>
              </w:rPr>
              <w:t>5</w:t>
            </w:r>
          </w:p>
        </w:tc>
        <w:tc>
          <w:tcPr>
            <w:tcW w:w="2363" w:type="dxa"/>
            <w:tcBorders>
              <w:top w:val="single" w:color="auto" w:sz="4" w:space="0"/>
              <w:left w:val="nil"/>
              <w:bottom w:val="single" w:color="auto" w:sz="4" w:space="0"/>
              <w:right w:val="single" w:color="auto" w:sz="4" w:space="0"/>
            </w:tcBorders>
            <w:vAlign w:val="center"/>
          </w:tcPr>
          <w:p w14:paraId="2B0593DB">
            <w:pPr>
              <w:jc w:val="center"/>
              <w:rPr>
                <w:rFonts w:asciiTheme="minorEastAsia" w:hAnsiTheme="minorEastAsia" w:eastAsiaTheme="minorEastAsia" w:cstheme="minorEastAsia"/>
                <w:szCs w:val="21"/>
              </w:rPr>
            </w:pPr>
          </w:p>
        </w:tc>
        <w:tc>
          <w:tcPr>
            <w:tcW w:w="2268" w:type="dxa"/>
            <w:tcBorders>
              <w:top w:val="single" w:color="auto" w:sz="4" w:space="0"/>
              <w:left w:val="nil"/>
              <w:bottom w:val="single" w:color="auto" w:sz="4" w:space="0"/>
              <w:right w:val="single" w:color="auto" w:sz="4" w:space="0"/>
            </w:tcBorders>
            <w:vAlign w:val="center"/>
          </w:tcPr>
          <w:p w14:paraId="4186A033">
            <w:pPr>
              <w:jc w:val="center"/>
              <w:rPr>
                <w:rFonts w:asciiTheme="minorEastAsia" w:hAnsiTheme="minorEastAsia" w:eastAsiaTheme="minorEastAsia" w:cstheme="minorEastAsia"/>
                <w:color w:val="000000"/>
                <w:kern w:val="0"/>
                <w:szCs w:val="21"/>
              </w:rPr>
            </w:pPr>
          </w:p>
        </w:tc>
        <w:tc>
          <w:tcPr>
            <w:tcW w:w="2977" w:type="dxa"/>
            <w:tcBorders>
              <w:top w:val="single" w:color="auto" w:sz="4" w:space="0"/>
              <w:left w:val="nil"/>
              <w:bottom w:val="single" w:color="auto" w:sz="4" w:space="0"/>
              <w:right w:val="single" w:color="auto" w:sz="4" w:space="0"/>
            </w:tcBorders>
            <w:vAlign w:val="center"/>
          </w:tcPr>
          <w:p w14:paraId="70C5EBA2">
            <w:pPr>
              <w:jc w:val="center"/>
              <w:rPr>
                <w:rFonts w:asciiTheme="minorEastAsia" w:hAnsiTheme="minorEastAsia" w:eastAsiaTheme="minorEastAsia" w:cstheme="minorEastAsia"/>
                <w:color w:val="000000"/>
                <w:kern w:val="0"/>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5C8503C1">
            <w:pPr>
              <w:jc w:val="center"/>
              <w:rPr>
                <w:rFonts w:asciiTheme="minorEastAsia" w:hAnsiTheme="minorEastAsia" w:eastAsiaTheme="minorEastAsia" w:cstheme="minorEastAsia"/>
                <w:color w:val="000000"/>
                <w:kern w:val="0"/>
                <w:szCs w:val="21"/>
              </w:rPr>
            </w:pPr>
          </w:p>
        </w:tc>
        <w:tc>
          <w:tcPr>
            <w:tcW w:w="2126" w:type="dxa"/>
            <w:tcBorders>
              <w:top w:val="single" w:color="auto" w:sz="4" w:space="0"/>
              <w:left w:val="nil"/>
              <w:bottom w:val="single" w:color="auto" w:sz="4" w:space="0"/>
              <w:right w:val="single" w:color="auto" w:sz="4" w:space="0"/>
            </w:tcBorders>
            <w:vAlign w:val="center"/>
          </w:tcPr>
          <w:p w14:paraId="68EA42A7">
            <w:pPr>
              <w:jc w:val="center"/>
              <w:rPr>
                <w:rFonts w:asciiTheme="minorEastAsia" w:hAnsiTheme="minorEastAsia" w:eastAsiaTheme="minorEastAsia" w:cstheme="minorEastAsia"/>
                <w:color w:val="000000"/>
                <w:kern w:val="0"/>
                <w:szCs w:val="21"/>
              </w:rPr>
            </w:pPr>
          </w:p>
        </w:tc>
        <w:tc>
          <w:tcPr>
            <w:tcW w:w="2269" w:type="dxa"/>
            <w:tcBorders>
              <w:top w:val="single" w:color="auto" w:sz="4" w:space="0"/>
              <w:left w:val="nil"/>
              <w:bottom w:val="single" w:color="auto" w:sz="4" w:space="0"/>
              <w:right w:val="single" w:color="auto" w:sz="4" w:space="0"/>
            </w:tcBorders>
            <w:vAlign w:val="center"/>
          </w:tcPr>
          <w:p w14:paraId="5548F50F">
            <w:pPr>
              <w:widowControl/>
              <w:jc w:val="center"/>
              <w:rPr>
                <w:rFonts w:cs="宋体" w:asciiTheme="minorEastAsia" w:hAnsiTheme="minorEastAsia" w:eastAsiaTheme="minorEastAsia"/>
                <w:color w:val="000000"/>
                <w:kern w:val="0"/>
                <w:sz w:val="24"/>
                <w:szCs w:val="24"/>
              </w:rPr>
            </w:pPr>
          </w:p>
        </w:tc>
      </w:tr>
      <w:tr w14:paraId="30095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22" w:type="dxa"/>
            <w:tcBorders>
              <w:top w:val="single" w:color="auto" w:sz="4" w:space="0"/>
              <w:left w:val="single" w:color="auto" w:sz="4" w:space="0"/>
              <w:bottom w:val="single" w:color="auto" w:sz="4" w:space="0"/>
              <w:right w:val="single" w:color="auto" w:sz="4" w:space="0"/>
            </w:tcBorders>
            <w:vAlign w:val="center"/>
          </w:tcPr>
          <w:p w14:paraId="4DF853EC">
            <w:pPr>
              <w:jc w:val="center"/>
              <w:rPr>
                <w:rFonts w:asciiTheme="minorEastAsia" w:hAnsiTheme="minorEastAsia" w:eastAsiaTheme="minorEastAsia"/>
                <w:szCs w:val="21"/>
              </w:rPr>
            </w:pPr>
            <w:r>
              <w:rPr>
                <w:rFonts w:hint="eastAsia" w:asciiTheme="minorEastAsia" w:hAnsiTheme="minorEastAsia" w:eastAsiaTheme="minorEastAsia"/>
                <w:szCs w:val="21"/>
              </w:rPr>
              <w:t>6</w:t>
            </w:r>
          </w:p>
        </w:tc>
        <w:tc>
          <w:tcPr>
            <w:tcW w:w="2363" w:type="dxa"/>
            <w:tcBorders>
              <w:top w:val="single" w:color="auto" w:sz="4" w:space="0"/>
              <w:left w:val="nil"/>
              <w:bottom w:val="single" w:color="auto" w:sz="4" w:space="0"/>
              <w:right w:val="single" w:color="auto" w:sz="4" w:space="0"/>
            </w:tcBorders>
            <w:vAlign w:val="bottom"/>
          </w:tcPr>
          <w:p w14:paraId="7F8B0448">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黑龙江鸿展生物能源有限公司</w:t>
            </w:r>
          </w:p>
        </w:tc>
        <w:tc>
          <w:tcPr>
            <w:tcW w:w="2268" w:type="dxa"/>
            <w:tcBorders>
              <w:top w:val="single" w:color="auto" w:sz="4" w:space="0"/>
              <w:left w:val="nil"/>
              <w:bottom w:val="single" w:color="auto" w:sz="4" w:space="0"/>
              <w:right w:val="single" w:color="auto" w:sz="4" w:space="0"/>
            </w:tcBorders>
            <w:vAlign w:val="center"/>
          </w:tcPr>
          <w:p w14:paraId="6CB70F45">
            <w:pPr>
              <w:jc w:val="center"/>
              <w:rPr>
                <w:rFonts w:asciiTheme="minorEastAsia" w:hAnsiTheme="minorEastAsia" w:eastAsiaTheme="minorEastAsia" w:cstheme="minorEastAsia"/>
                <w:color w:val="000000"/>
                <w:kern w:val="0"/>
                <w:szCs w:val="21"/>
              </w:rPr>
            </w:pPr>
          </w:p>
        </w:tc>
        <w:tc>
          <w:tcPr>
            <w:tcW w:w="2977" w:type="dxa"/>
            <w:tcBorders>
              <w:top w:val="single" w:color="auto" w:sz="4" w:space="0"/>
              <w:left w:val="nil"/>
              <w:bottom w:val="single" w:color="auto" w:sz="4" w:space="0"/>
              <w:right w:val="single" w:color="auto" w:sz="4" w:space="0"/>
            </w:tcBorders>
            <w:vAlign w:val="center"/>
          </w:tcPr>
          <w:p w14:paraId="316DE673">
            <w:pPr>
              <w:jc w:val="center"/>
              <w:rPr>
                <w:rFonts w:asciiTheme="minorEastAsia" w:hAnsiTheme="minorEastAsia" w:eastAsiaTheme="minorEastAsia" w:cstheme="minorEastAsia"/>
                <w:color w:val="000000"/>
                <w:kern w:val="0"/>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733049BC">
            <w:pPr>
              <w:jc w:val="center"/>
              <w:rPr>
                <w:rFonts w:asciiTheme="minorEastAsia" w:hAnsiTheme="minorEastAsia" w:eastAsiaTheme="minorEastAsia" w:cstheme="minorEastAsia"/>
                <w:color w:val="000000"/>
                <w:kern w:val="0"/>
                <w:szCs w:val="21"/>
              </w:rPr>
            </w:pPr>
          </w:p>
        </w:tc>
        <w:tc>
          <w:tcPr>
            <w:tcW w:w="2126" w:type="dxa"/>
            <w:tcBorders>
              <w:top w:val="single" w:color="auto" w:sz="4" w:space="0"/>
              <w:left w:val="nil"/>
              <w:bottom w:val="single" w:color="auto" w:sz="4" w:space="0"/>
              <w:right w:val="single" w:color="auto" w:sz="4" w:space="0"/>
            </w:tcBorders>
            <w:vAlign w:val="center"/>
          </w:tcPr>
          <w:p w14:paraId="040E50B7">
            <w:pPr>
              <w:jc w:val="center"/>
              <w:rPr>
                <w:rFonts w:asciiTheme="minorEastAsia" w:hAnsiTheme="minorEastAsia" w:eastAsiaTheme="minorEastAsia" w:cstheme="minorEastAsia"/>
                <w:color w:val="000000"/>
                <w:kern w:val="0"/>
                <w:szCs w:val="21"/>
              </w:rPr>
            </w:pPr>
          </w:p>
        </w:tc>
        <w:tc>
          <w:tcPr>
            <w:tcW w:w="2269" w:type="dxa"/>
            <w:tcBorders>
              <w:top w:val="single" w:color="auto" w:sz="4" w:space="0"/>
              <w:left w:val="nil"/>
              <w:bottom w:val="single" w:color="auto" w:sz="4" w:space="0"/>
              <w:right w:val="single" w:color="auto" w:sz="4" w:space="0"/>
            </w:tcBorders>
            <w:vAlign w:val="center"/>
          </w:tcPr>
          <w:p w14:paraId="4611F3F8">
            <w:pPr>
              <w:jc w:val="center"/>
              <w:rPr>
                <w:rFonts w:asciiTheme="minorEastAsia" w:hAnsiTheme="minorEastAsia" w:eastAsiaTheme="minorEastAsia"/>
                <w:sz w:val="24"/>
                <w:szCs w:val="24"/>
              </w:rPr>
            </w:pPr>
          </w:p>
        </w:tc>
      </w:tr>
      <w:tr w14:paraId="656D3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22" w:type="dxa"/>
            <w:tcBorders>
              <w:top w:val="single" w:color="auto" w:sz="4" w:space="0"/>
              <w:left w:val="single" w:color="auto" w:sz="4" w:space="0"/>
              <w:bottom w:val="single" w:color="auto" w:sz="4" w:space="0"/>
              <w:right w:val="single" w:color="auto" w:sz="4" w:space="0"/>
            </w:tcBorders>
            <w:vAlign w:val="center"/>
          </w:tcPr>
          <w:p w14:paraId="07257F98">
            <w:pPr>
              <w:jc w:val="center"/>
              <w:rPr>
                <w:rFonts w:asciiTheme="minorEastAsia" w:hAnsiTheme="minorEastAsia" w:eastAsiaTheme="minorEastAsia"/>
                <w:szCs w:val="21"/>
              </w:rPr>
            </w:pPr>
            <w:r>
              <w:rPr>
                <w:rFonts w:hint="eastAsia" w:asciiTheme="minorEastAsia" w:hAnsiTheme="minorEastAsia" w:eastAsiaTheme="minorEastAsia"/>
                <w:szCs w:val="21"/>
              </w:rPr>
              <w:t>7</w:t>
            </w:r>
          </w:p>
        </w:tc>
        <w:tc>
          <w:tcPr>
            <w:tcW w:w="2363" w:type="dxa"/>
            <w:tcBorders>
              <w:top w:val="single" w:color="auto" w:sz="4" w:space="0"/>
              <w:left w:val="nil"/>
              <w:bottom w:val="single" w:color="auto" w:sz="4" w:space="0"/>
              <w:right w:val="single" w:color="auto" w:sz="4" w:space="0"/>
            </w:tcBorders>
            <w:vAlign w:val="bottom"/>
          </w:tcPr>
          <w:p w14:paraId="040D98C9">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桦南县鸿汇实业有限责任公司</w:t>
            </w:r>
          </w:p>
        </w:tc>
        <w:tc>
          <w:tcPr>
            <w:tcW w:w="2268" w:type="dxa"/>
            <w:tcBorders>
              <w:top w:val="single" w:color="auto" w:sz="4" w:space="0"/>
              <w:left w:val="nil"/>
              <w:bottom w:val="single" w:color="auto" w:sz="4" w:space="0"/>
              <w:right w:val="single" w:color="auto" w:sz="4" w:space="0"/>
            </w:tcBorders>
            <w:vAlign w:val="center"/>
          </w:tcPr>
          <w:p w14:paraId="0DDA966D">
            <w:pPr>
              <w:jc w:val="center"/>
              <w:rPr>
                <w:rFonts w:asciiTheme="minorEastAsia" w:hAnsiTheme="minorEastAsia" w:eastAsiaTheme="minorEastAsia" w:cstheme="minorEastAsia"/>
                <w:color w:val="000000"/>
                <w:kern w:val="0"/>
                <w:szCs w:val="21"/>
              </w:rPr>
            </w:pPr>
          </w:p>
        </w:tc>
        <w:tc>
          <w:tcPr>
            <w:tcW w:w="2977" w:type="dxa"/>
            <w:tcBorders>
              <w:top w:val="single" w:color="auto" w:sz="4" w:space="0"/>
              <w:left w:val="nil"/>
              <w:bottom w:val="single" w:color="auto" w:sz="4" w:space="0"/>
              <w:right w:val="single" w:color="auto" w:sz="4" w:space="0"/>
            </w:tcBorders>
            <w:vAlign w:val="center"/>
          </w:tcPr>
          <w:p w14:paraId="254E7855">
            <w:pPr>
              <w:jc w:val="center"/>
              <w:rPr>
                <w:rFonts w:asciiTheme="minorEastAsia" w:hAnsiTheme="minorEastAsia" w:eastAsiaTheme="minorEastAsia" w:cstheme="minorEastAsia"/>
                <w:color w:val="000000"/>
                <w:kern w:val="0"/>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353F5D70">
            <w:pPr>
              <w:jc w:val="center"/>
              <w:rPr>
                <w:rFonts w:asciiTheme="minorEastAsia" w:hAnsiTheme="minorEastAsia" w:eastAsiaTheme="minorEastAsia" w:cstheme="minorEastAsia"/>
                <w:color w:val="000000"/>
                <w:kern w:val="0"/>
                <w:szCs w:val="21"/>
              </w:rPr>
            </w:pPr>
          </w:p>
        </w:tc>
        <w:tc>
          <w:tcPr>
            <w:tcW w:w="2126" w:type="dxa"/>
            <w:tcBorders>
              <w:top w:val="single" w:color="auto" w:sz="4" w:space="0"/>
              <w:left w:val="nil"/>
              <w:bottom w:val="single" w:color="auto" w:sz="4" w:space="0"/>
              <w:right w:val="single" w:color="auto" w:sz="4" w:space="0"/>
            </w:tcBorders>
            <w:vAlign w:val="center"/>
          </w:tcPr>
          <w:p w14:paraId="5086D181">
            <w:pPr>
              <w:jc w:val="center"/>
              <w:rPr>
                <w:rFonts w:asciiTheme="minorEastAsia" w:hAnsiTheme="minorEastAsia" w:eastAsiaTheme="minorEastAsia" w:cstheme="minorEastAsia"/>
                <w:color w:val="000000"/>
                <w:kern w:val="0"/>
                <w:szCs w:val="21"/>
              </w:rPr>
            </w:pPr>
          </w:p>
        </w:tc>
        <w:tc>
          <w:tcPr>
            <w:tcW w:w="2269" w:type="dxa"/>
            <w:tcBorders>
              <w:top w:val="single" w:color="auto" w:sz="4" w:space="0"/>
              <w:left w:val="nil"/>
              <w:bottom w:val="single" w:color="auto" w:sz="4" w:space="0"/>
              <w:right w:val="single" w:color="auto" w:sz="4" w:space="0"/>
            </w:tcBorders>
            <w:vAlign w:val="center"/>
          </w:tcPr>
          <w:p w14:paraId="4402AF81">
            <w:pPr>
              <w:jc w:val="center"/>
              <w:rPr>
                <w:rFonts w:asciiTheme="minorEastAsia" w:hAnsiTheme="minorEastAsia" w:eastAsiaTheme="minorEastAsia"/>
                <w:sz w:val="24"/>
                <w:szCs w:val="24"/>
              </w:rPr>
            </w:pPr>
          </w:p>
        </w:tc>
      </w:tr>
      <w:tr w14:paraId="53A0A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722" w:type="dxa"/>
            <w:tcBorders>
              <w:top w:val="single" w:color="auto" w:sz="4" w:space="0"/>
              <w:left w:val="single" w:color="auto" w:sz="4" w:space="0"/>
              <w:bottom w:val="single" w:color="auto" w:sz="4" w:space="0"/>
              <w:right w:val="single" w:color="auto" w:sz="4" w:space="0"/>
            </w:tcBorders>
            <w:vAlign w:val="center"/>
          </w:tcPr>
          <w:p w14:paraId="54CD751F">
            <w:pPr>
              <w:jc w:val="center"/>
              <w:rPr>
                <w:rFonts w:asciiTheme="minorEastAsia" w:hAnsiTheme="minorEastAsia" w:eastAsiaTheme="minorEastAsia"/>
                <w:szCs w:val="21"/>
              </w:rPr>
            </w:pPr>
            <w:r>
              <w:rPr>
                <w:rFonts w:hint="eastAsia" w:asciiTheme="minorEastAsia" w:hAnsiTheme="minorEastAsia" w:eastAsiaTheme="minorEastAsia"/>
                <w:szCs w:val="21"/>
              </w:rPr>
              <w:t>8</w:t>
            </w:r>
          </w:p>
        </w:tc>
        <w:tc>
          <w:tcPr>
            <w:tcW w:w="2363" w:type="dxa"/>
            <w:tcBorders>
              <w:top w:val="single" w:color="auto" w:sz="4" w:space="0"/>
              <w:left w:val="nil"/>
              <w:bottom w:val="single" w:color="auto" w:sz="4" w:space="0"/>
              <w:right w:val="single" w:color="auto" w:sz="4" w:space="0"/>
            </w:tcBorders>
            <w:vAlign w:val="center"/>
          </w:tcPr>
          <w:p w14:paraId="523C55D9">
            <w:pPr>
              <w:jc w:val="center"/>
              <w:rPr>
                <w:rFonts w:asciiTheme="minorEastAsia" w:hAnsiTheme="minorEastAsia" w:eastAsiaTheme="minorEastAsia" w:cstheme="minorEastAsia"/>
                <w:szCs w:val="21"/>
              </w:rPr>
            </w:pPr>
            <w:r>
              <w:rPr>
                <w:rFonts w:asciiTheme="minorEastAsia" w:hAnsiTheme="minorEastAsia" w:eastAsiaTheme="minorEastAsia" w:cstheme="minorEastAsia"/>
                <w:szCs w:val="21"/>
              </w:rPr>
              <w:t>黑龙江省桦南林业局有限公司物资经销处（油库）</w:t>
            </w:r>
          </w:p>
        </w:tc>
        <w:tc>
          <w:tcPr>
            <w:tcW w:w="2268" w:type="dxa"/>
            <w:tcBorders>
              <w:top w:val="single" w:color="auto" w:sz="4" w:space="0"/>
              <w:left w:val="nil"/>
              <w:bottom w:val="single" w:color="auto" w:sz="4" w:space="0"/>
              <w:right w:val="single" w:color="auto" w:sz="4" w:space="0"/>
            </w:tcBorders>
            <w:vAlign w:val="center"/>
          </w:tcPr>
          <w:p w14:paraId="220051D1">
            <w:pPr>
              <w:jc w:val="center"/>
              <w:rPr>
                <w:rFonts w:asciiTheme="minorEastAsia" w:hAnsiTheme="minorEastAsia" w:eastAsiaTheme="minorEastAsia" w:cstheme="minorEastAsia"/>
                <w:color w:val="000000"/>
                <w:kern w:val="0"/>
                <w:szCs w:val="21"/>
              </w:rPr>
            </w:pPr>
          </w:p>
        </w:tc>
        <w:tc>
          <w:tcPr>
            <w:tcW w:w="2977" w:type="dxa"/>
            <w:tcBorders>
              <w:top w:val="single" w:color="auto" w:sz="4" w:space="0"/>
              <w:left w:val="nil"/>
              <w:bottom w:val="single" w:color="auto" w:sz="4" w:space="0"/>
              <w:right w:val="single" w:color="auto" w:sz="4" w:space="0"/>
            </w:tcBorders>
            <w:vAlign w:val="center"/>
          </w:tcPr>
          <w:p w14:paraId="5E7BF2A6">
            <w:pPr>
              <w:jc w:val="center"/>
              <w:rPr>
                <w:rFonts w:asciiTheme="minorEastAsia" w:hAnsiTheme="minorEastAsia" w:eastAsiaTheme="minorEastAsia" w:cstheme="minorEastAsia"/>
                <w:color w:val="000000"/>
                <w:kern w:val="0"/>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37DA2589">
            <w:pPr>
              <w:jc w:val="center"/>
              <w:rPr>
                <w:rFonts w:asciiTheme="minorEastAsia" w:hAnsiTheme="minorEastAsia" w:eastAsiaTheme="minorEastAsia" w:cstheme="minorEastAsia"/>
                <w:color w:val="000000"/>
                <w:kern w:val="0"/>
                <w:szCs w:val="21"/>
              </w:rPr>
            </w:pPr>
          </w:p>
        </w:tc>
        <w:tc>
          <w:tcPr>
            <w:tcW w:w="2126" w:type="dxa"/>
            <w:tcBorders>
              <w:top w:val="single" w:color="auto" w:sz="4" w:space="0"/>
              <w:left w:val="nil"/>
              <w:bottom w:val="single" w:color="auto" w:sz="4" w:space="0"/>
              <w:right w:val="single" w:color="auto" w:sz="4" w:space="0"/>
            </w:tcBorders>
            <w:vAlign w:val="center"/>
          </w:tcPr>
          <w:p w14:paraId="5C3B44E5">
            <w:pPr>
              <w:jc w:val="center"/>
              <w:rPr>
                <w:rFonts w:asciiTheme="minorEastAsia" w:hAnsiTheme="minorEastAsia" w:eastAsiaTheme="minorEastAsia" w:cstheme="minorEastAsia"/>
                <w:color w:val="000000"/>
                <w:kern w:val="0"/>
                <w:szCs w:val="21"/>
              </w:rPr>
            </w:pPr>
          </w:p>
        </w:tc>
        <w:tc>
          <w:tcPr>
            <w:tcW w:w="2269" w:type="dxa"/>
            <w:tcBorders>
              <w:top w:val="single" w:color="auto" w:sz="4" w:space="0"/>
              <w:left w:val="nil"/>
              <w:bottom w:val="single" w:color="auto" w:sz="4" w:space="0"/>
              <w:right w:val="single" w:color="auto" w:sz="4" w:space="0"/>
            </w:tcBorders>
            <w:vAlign w:val="center"/>
          </w:tcPr>
          <w:p w14:paraId="02032722">
            <w:pPr>
              <w:jc w:val="center"/>
              <w:rPr>
                <w:rFonts w:asciiTheme="minorEastAsia" w:hAnsiTheme="minorEastAsia" w:eastAsiaTheme="minorEastAsia"/>
                <w:sz w:val="24"/>
                <w:szCs w:val="24"/>
              </w:rPr>
            </w:pPr>
          </w:p>
        </w:tc>
      </w:tr>
      <w:tr w14:paraId="45244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722" w:type="dxa"/>
            <w:tcBorders>
              <w:top w:val="single" w:color="auto" w:sz="4" w:space="0"/>
              <w:left w:val="single" w:color="auto" w:sz="4" w:space="0"/>
              <w:bottom w:val="single" w:color="auto" w:sz="4" w:space="0"/>
              <w:right w:val="single" w:color="auto" w:sz="4" w:space="0"/>
            </w:tcBorders>
            <w:vAlign w:val="center"/>
          </w:tcPr>
          <w:p w14:paraId="67F1E20B">
            <w:pPr>
              <w:jc w:val="center"/>
              <w:rPr>
                <w:rFonts w:asciiTheme="minorEastAsia" w:hAnsiTheme="minorEastAsia" w:eastAsiaTheme="minorEastAsia"/>
                <w:szCs w:val="21"/>
              </w:rPr>
            </w:pPr>
            <w:r>
              <w:rPr>
                <w:rFonts w:hint="eastAsia" w:asciiTheme="minorEastAsia" w:hAnsiTheme="minorEastAsia" w:eastAsiaTheme="minorEastAsia"/>
                <w:szCs w:val="21"/>
              </w:rPr>
              <w:t>9</w:t>
            </w:r>
          </w:p>
        </w:tc>
        <w:tc>
          <w:tcPr>
            <w:tcW w:w="2363" w:type="dxa"/>
            <w:tcBorders>
              <w:top w:val="single" w:color="auto" w:sz="4" w:space="0"/>
              <w:left w:val="nil"/>
              <w:bottom w:val="single" w:color="auto" w:sz="4" w:space="0"/>
              <w:right w:val="single" w:color="auto" w:sz="4" w:space="0"/>
            </w:tcBorders>
            <w:vAlign w:val="center"/>
          </w:tcPr>
          <w:p w14:paraId="6ABB98FD">
            <w:pPr>
              <w:jc w:val="center"/>
              <w:rPr>
                <w:rFonts w:asciiTheme="minorEastAsia" w:hAnsiTheme="minorEastAsia" w:eastAsiaTheme="minorEastAsia" w:cstheme="minorEastAsia"/>
                <w:szCs w:val="21"/>
              </w:rPr>
            </w:pPr>
          </w:p>
        </w:tc>
        <w:tc>
          <w:tcPr>
            <w:tcW w:w="2268" w:type="dxa"/>
            <w:tcBorders>
              <w:top w:val="single" w:color="auto" w:sz="4" w:space="0"/>
              <w:left w:val="nil"/>
              <w:bottom w:val="single" w:color="auto" w:sz="4" w:space="0"/>
              <w:right w:val="single" w:color="auto" w:sz="4" w:space="0"/>
            </w:tcBorders>
            <w:vAlign w:val="center"/>
          </w:tcPr>
          <w:p w14:paraId="0D9830FB">
            <w:pPr>
              <w:jc w:val="center"/>
              <w:rPr>
                <w:rFonts w:asciiTheme="minorEastAsia" w:hAnsiTheme="minorEastAsia" w:eastAsiaTheme="minorEastAsia" w:cstheme="minorEastAsia"/>
                <w:color w:val="000000"/>
                <w:kern w:val="0"/>
                <w:szCs w:val="21"/>
              </w:rPr>
            </w:pPr>
          </w:p>
        </w:tc>
        <w:tc>
          <w:tcPr>
            <w:tcW w:w="2977" w:type="dxa"/>
            <w:tcBorders>
              <w:top w:val="single" w:color="auto" w:sz="4" w:space="0"/>
              <w:left w:val="nil"/>
              <w:bottom w:val="single" w:color="auto" w:sz="4" w:space="0"/>
              <w:right w:val="single" w:color="auto" w:sz="4" w:space="0"/>
            </w:tcBorders>
            <w:vAlign w:val="center"/>
          </w:tcPr>
          <w:p w14:paraId="60A5544B">
            <w:pPr>
              <w:jc w:val="center"/>
              <w:rPr>
                <w:rFonts w:asciiTheme="minorEastAsia" w:hAnsiTheme="minorEastAsia" w:eastAsiaTheme="minorEastAsia" w:cstheme="minorEastAsia"/>
                <w:color w:val="000000"/>
                <w:kern w:val="0"/>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4E8A5EA4">
            <w:pPr>
              <w:jc w:val="center"/>
              <w:rPr>
                <w:rFonts w:asciiTheme="minorEastAsia" w:hAnsiTheme="minorEastAsia" w:eastAsiaTheme="minorEastAsia" w:cstheme="minorEastAsia"/>
                <w:color w:val="000000"/>
                <w:kern w:val="0"/>
                <w:szCs w:val="21"/>
              </w:rPr>
            </w:pPr>
          </w:p>
        </w:tc>
        <w:tc>
          <w:tcPr>
            <w:tcW w:w="2126" w:type="dxa"/>
            <w:tcBorders>
              <w:top w:val="single" w:color="auto" w:sz="4" w:space="0"/>
              <w:left w:val="nil"/>
              <w:bottom w:val="single" w:color="auto" w:sz="4" w:space="0"/>
              <w:right w:val="single" w:color="auto" w:sz="4" w:space="0"/>
            </w:tcBorders>
            <w:vAlign w:val="center"/>
          </w:tcPr>
          <w:p w14:paraId="3A103F76">
            <w:pPr>
              <w:jc w:val="center"/>
              <w:rPr>
                <w:rFonts w:asciiTheme="minorEastAsia" w:hAnsiTheme="minorEastAsia" w:eastAsiaTheme="minorEastAsia" w:cstheme="minorEastAsia"/>
                <w:color w:val="000000"/>
                <w:kern w:val="0"/>
                <w:szCs w:val="21"/>
              </w:rPr>
            </w:pPr>
          </w:p>
        </w:tc>
        <w:tc>
          <w:tcPr>
            <w:tcW w:w="2269" w:type="dxa"/>
            <w:tcBorders>
              <w:top w:val="single" w:color="auto" w:sz="4" w:space="0"/>
              <w:left w:val="nil"/>
              <w:bottom w:val="single" w:color="auto" w:sz="4" w:space="0"/>
              <w:right w:val="single" w:color="auto" w:sz="4" w:space="0"/>
            </w:tcBorders>
            <w:vAlign w:val="center"/>
          </w:tcPr>
          <w:p w14:paraId="66541869">
            <w:pPr>
              <w:jc w:val="center"/>
              <w:rPr>
                <w:rFonts w:asciiTheme="minorEastAsia" w:hAnsiTheme="minorEastAsia" w:eastAsiaTheme="minorEastAsia"/>
                <w:sz w:val="24"/>
                <w:szCs w:val="24"/>
              </w:rPr>
            </w:pPr>
          </w:p>
        </w:tc>
      </w:tr>
    </w:tbl>
    <w:p w14:paraId="4F0392C4"/>
    <w:sectPr>
      <w:pgSz w:w="16838" w:h="11906" w:orient="landscape"/>
      <w:pgMar w:top="1797" w:right="1276" w:bottom="1797" w:left="1440" w:header="851" w:footer="992" w:gutter="0"/>
      <w:cols w:space="720" w:num="1"/>
      <w:titlePg/>
      <w:docGrid w:type="linesAndChar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Owner" w:date="2024-12-05T10:43:00Z" w:initials="O">
    <w:p w14:paraId="1B68438C">
      <w:pPr>
        <w:pStyle w:val="5"/>
      </w:pPr>
      <w:r>
        <w:t>确认一下机构是否与实际相符，尤其是别又遗漏</w:t>
      </w:r>
    </w:p>
  </w:comment>
  <w:comment w:id="1" w:author="Owner" w:date="2024-12-05T10:41:00Z" w:initials="O">
    <w:p w14:paraId="46633A7A">
      <w:pPr>
        <w:pStyle w:val="5"/>
      </w:pPr>
      <w:r>
        <w:t>这里的地址要看看，有的只有街道，是不是都是桦南镇的？我们的目的是，知道哪个单位，快速知道地址。</w:t>
      </w:r>
    </w:p>
  </w:comment>
  <w:comment w:id="2" w:author="Owner" w:date="2024-12-04T16:50:00Z" w:initials="O">
    <w:p w14:paraId="6EA321AB">
      <w:pPr>
        <w:pStyle w:val="5"/>
      </w:pPr>
      <w: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B68438C" w15:done="0"/>
  <w15:commentEx w15:paraId="46633A7A" w15:done="0"/>
  <w15:commentEx w15:paraId="6EA321A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C43E6">
    <w:pPr>
      <w:pStyle w:val="7"/>
      <w:jc w:val="center"/>
    </w:pPr>
    <w:r>
      <w:fldChar w:fldCharType="begin"/>
    </w:r>
    <w:r>
      <w:instrText xml:space="preserve">PAGE   \* MERGEFORMAT</w:instrText>
    </w:r>
    <w:r>
      <w:fldChar w:fldCharType="separate"/>
    </w:r>
    <w:r>
      <w:rPr>
        <w:lang w:val="zh-CN"/>
      </w:rPr>
      <w:t>2</w:t>
    </w:r>
    <w:r>
      <w:fldChar w:fldCharType="end"/>
    </w:r>
  </w:p>
  <w:p w14:paraId="6BC77194">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1C46B9"/>
    <w:multiLevelType w:val="multilevel"/>
    <w:tmpl w:val="011C46B9"/>
    <w:lvl w:ilvl="0" w:tentative="0">
      <w:start w:val="1"/>
      <w:numFmt w:val="decimal"/>
      <w:lvlText w:val="%1."/>
      <w:lvlJc w:val="left"/>
      <w:pPr>
        <w:ind w:left="420" w:hanging="420"/>
      </w:pPr>
      <w:rPr>
        <w:rFonts w:hint="eastAsia"/>
        <w:b w:val="0"/>
        <w:i w:val="0"/>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7BF53CE"/>
    <w:multiLevelType w:val="multilevel"/>
    <w:tmpl w:val="07BF53CE"/>
    <w:lvl w:ilvl="0" w:tentative="0">
      <w:start w:val="1"/>
      <w:numFmt w:val="decimalEnclosedCircleChinese"/>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decimalEnclosedCircleChinese"/>
      <w:lvlText w:val="%3　"/>
      <w:lvlJc w:val="lef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8316965"/>
    <w:multiLevelType w:val="multilevel"/>
    <w:tmpl w:val="08316965"/>
    <w:lvl w:ilvl="0" w:tentative="0">
      <w:start w:val="1"/>
      <w:numFmt w:val="decimal"/>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0D0525E6"/>
    <w:multiLevelType w:val="multilevel"/>
    <w:tmpl w:val="0D0525E6"/>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0F770BA2"/>
    <w:multiLevelType w:val="multilevel"/>
    <w:tmpl w:val="0F770BA2"/>
    <w:lvl w:ilvl="0" w:tentative="0">
      <w:start w:val="1"/>
      <w:numFmt w:val="decimalEnclosedCircleChinese"/>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decimalEnclosedCircleChinese"/>
      <w:lvlText w:val="%3　"/>
      <w:lvlJc w:val="lef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086277D"/>
    <w:multiLevelType w:val="multilevel"/>
    <w:tmpl w:val="1086277D"/>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13351F4E"/>
    <w:multiLevelType w:val="multilevel"/>
    <w:tmpl w:val="13351F4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decimal"/>
      <w:lvlText w:val="%3."/>
      <w:lvlJc w:val="lef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81521DF"/>
    <w:multiLevelType w:val="multilevel"/>
    <w:tmpl w:val="181521D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decimal"/>
      <w:lvlText w:val="%3)"/>
      <w:lvlJc w:val="lef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B850040"/>
    <w:multiLevelType w:val="multilevel"/>
    <w:tmpl w:val="1B850040"/>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1BB80F45"/>
    <w:multiLevelType w:val="multilevel"/>
    <w:tmpl w:val="1BB80F45"/>
    <w:lvl w:ilvl="0" w:tentative="0">
      <w:start w:val="1"/>
      <w:numFmt w:val="decimal"/>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0">
    <w:nsid w:val="1C8E3C18"/>
    <w:multiLevelType w:val="multilevel"/>
    <w:tmpl w:val="1C8E3C18"/>
    <w:lvl w:ilvl="0" w:tentative="0">
      <w:start w:val="1"/>
      <w:numFmt w:val="decimal"/>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1">
    <w:nsid w:val="1CFF1895"/>
    <w:multiLevelType w:val="multilevel"/>
    <w:tmpl w:val="1CFF189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E5A14B9"/>
    <w:multiLevelType w:val="multilevel"/>
    <w:tmpl w:val="1E5A14B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230A7EF5"/>
    <w:multiLevelType w:val="multilevel"/>
    <w:tmpl w:val="230A7EF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2CC41757"/>
    <w:multiLevelType w:val="multilevel"/>
    <w:tmpl w:val="2CC41757"/>
    <w:lvl w:ilvl="0" w:tentative="0">
      <w:start w:val="1"/>
      <w:numFmt w:val="decimal"/>
      <w:lvlText w:val="%1."/>
      <w:lvlJc w:val="left"/>
      <w:pPr>
        <w:ind w:left="420" w:hanging="420"/>
      </w:pPr>
      <w:rPr>
        <w:rFonts w:hint="eastAsia"/>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2DB122A0"/>
    <w:multiLevelType w:val="multilevel"/>
    <w:tmpl w:val="2DB122A0"/>
    <w:lvl w:ilvl="0" w:tentative="0">
      <w:start w:val="1"/>
      <w:numFmt w:val="decimal"/>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6">
    <w:nsid w:val="31F07C02"/>
    <w:multiLevelType w:val="multilevel"/>
    <w:tmpl w:val="31F07C02"/>
    <w:lvl w:ilvl="0" w:tentative="0">
      <w:start w:val="1"/>
      <w:numFmt w:val="decimal"/>
      <w:lvlText w:val="%1."/>
      <w:lvlJc w:val="left"/>
      <w:pPr>
        <w:ind w:left="980" w:hanging="4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7">
    <w:nsid w:val="36A756A2"/>
    <w:multiLevelType w:val="multilevel"/>
    <w:tmpl w:val="36A756A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39DC7B5F"/>
    <w:multiLevelType w:val="multilevel"/>
    <w:tmpl w:val="39DC7B5F"/>
    <w:lvl w:ilvl="0" w:tentative="0">
      <w:start w:val="1"/>
      <w:numFmt w:val="decimal"/>
      <w:lvlText w:val="%1)"/>
      <w:lvlJc w:val="left"/>
      <w:pPr>
        <w:ind w:left="990" w:hanging="420"/>
      </w:pPr>
    </w:lvl>
    <w:lvl w:ilvl="1" w:tentative="0">
      <w:start w:val="1"/>
      <w:numFmt w:val="lowerLetter"/>
      <w:lvlText w:val="%2)"/>
      <w:lvlJc w:val="left"/>
      <w:pPr>
        <w:ind w:left="1410" w:hanging="420"/>
      </w:pPr>
    </w:lvl>
    <w:lvl w:ilvl="2" w:tentative="0">
      <w:start w:val="1"/>
      <w:numFmt w:val="lowerRoman"/>
      <w:lvlText w:val="%3."/>
      <w:lvlJc w:val="right"/>
      <w:pPr>
        <w:ind w:left="1830" w:hanging="420"/>
      </w:pPr>
    </w:lvl>
    <w:lvl w:ilvl="3" w:tentative="0">
      <w:start w:val="1"/>
      <w:numFmt w:val="decimal"/>
      <w:lvlText w:val="%4."/>
      <w:lvlJc w:val="left"/>
      <w:pPr>
        <w:ind w:left="2250" w:hanging="420"/>
      </w:pPr>
    </w:lvl>
    <w:lvl w:ilvl="4" w:tentative="0">
      <w:start w:val="1"/>
      <w:numFmt w:val="lowerLetter"/>
      <w:lvlText w:val="%5)"/>
      <w:lvlJc w:val="left"/>
      <w:pPr>
        <w:ind w:left="2670" w:hanging="420"/>
      </w:pPr>
    </w:lvl>
    <w:lvl w:ilvl="5" w:tentative="0">
      <w:start w:val="1"/>
      <w:numFmt w:val="lowerRoman"/>
      <w:lvlText w:val="%6."/>
      <w:lvlJc w:val="right"/>
      <w:pPr>
        <w:ind w:left="3090" w:hanging="420"/>
      </w:pPr>
    </w:lvl>
    <w:lvl w:ilvl="6" w:tentative="0">
      <w:start w:val="1"/>
      <w:numFmt w:val="decimal"/>
      <w:lvlText w:val="%7."/>
      <w:lvlJc w:val="left"/>
      <w:pPr>
        <w:ind w:left="3510" w:hanging="420"/>
      </w:pPr>
    </w:lvl>
    <w:lvl w:ilvl="7" w:tentative="0">
      <w:start w:val="1"/>
      <w:numFmt w:val="lowerLetter"/>
      <w:lvlText w:val="%8)"/>
      <w:lvlJc w:val="left"/>
      <w:pPr>
        <w:ind w:left="3930" w:hanging="420"/>
      </w:pPr>
    </w:lvl>
    <w:lvl w:ilvl="8" w:tentative="0">
      <w:start w:val="1"/>
      <w:numFmt w:val="lowerRoman"/>
      <w:lvlText w:val="%9."/>
      <w:lvlJc w:val="right"/>
      <w:pPr>
        <w:ind w:left="4350" w:hanging="420"/>
      </w:pPr>
    </w:lvl>
  </w:abstractNum>
  <w:abstractNum w:abstractNumId="19">
    <w:nsid w:val="3B765422"/>
    <w:multiLevelType w:val="multilevel"/>
    <w:tmpl w:val="3B765422"/>
    <w:lvl w:ilvl="0" w:tentative="0">
      <w:start w:val="1"/>
      <w:numFmt w:val="decimal"/>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0">
    <w:nsid w:val="41800590"/>
    <w:multiLevelType w:val="multilevel"/>
    <w:tmpl w:val="4180059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418304B0"/>
    <w:multiLevelType w:val="multilevel"/>
    <w:tmpl w:val="418304B0"/>
    <w:lvl w:ilvl="0" w:tentative="0">
      <w:start w:val="1"/>
      <w:numFmt w:val="decimal"/>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2">
    <w:nsid w:val="458962D0"/>
    <w:multiLevelType w:val="multilevel"/>
    <w:tmpl w:val="458962D0"/>
    <w:lvl w:ilvl="0" w:tentative="0">
      <w:start w:val="1"/>
      <w:numFmt w:val="decimal"/>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3">
    <w:nsid w:val="46323016"/>
    <w:multiLevelType w:val="multilevel"/>
    <w:tmpl w:val="46323016"/>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4">
    <w:nsid w:val="4A5D16CB"/>
    <w:multiLevelType w:val="multilevel"/>
    <w:tmpl w:val="4A5D16C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4C214519"/>
    <w:multiLevelType w:val="multilevel"/>
    <w:tmpl w:val="4C214519"/>
    <w:lvl w:ilvl="0" w:tentative="0">
      <w:start w:val="1"/>
      <w:numFmt w:val="decimal"/>
      <w:lvlText w:val="%1."/>
      <w:lvlJc w:val="left"/>
      <w:pPr>
        <w:ind w:left="420" w:hanging="420"/>
      </w:pPr>
      <w:rPr>
        <w:rFonts w:hint="eastAsia"/>
        <w:b w:val="0"/>
        <w:i w:val="0"/>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4CAC3A48"/>
    <w:multiLevelType w:val="multilevel"/>
    <w:tmpl w:val="4CAC3A48"/>
    <w:lvl w:ilvl="0" w:tentative="0">
      <w:start w:val="1"/>
      <w:numFmt w:val="decimalEnclosedCircleChinese"/>
      <w:lvlText w:val="%1　"/>
      <w:lvlJc w:val="left"/>
      <w:pPr>
        <w:ind w:left="980" w:hanging="42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7">
    <w:nsid w:val="518E09A3"/>
    <w:multiLevelType w:val="multilevel"/>
    <w:tmpl w:val="518E09A3"/>
    <w:lvl w:ilvl="0" w:tentative="0">
      <w:start w:val="1"/>
      <w:numFmt w:val="decimal"/>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8">
    <w:nsid w:val="5ABF153D"/>
    <w:multiLevelType w:val="multilevel"/>
    <w:tmpl w:val="5ABF153D"/>
    <w:lvl w:ilvl="0" w:tentative="0">
      <w:start w:val="1"/>
      <w:numFmt w:val="decimal"/>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9">
    <w:nsid w:val="5CA61009"/>
    <w:multiLevelType w:val="multilevel"/>
    <w:tmpl w:val="5CA6100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5E7E5EE1"/>
    <w:multiLevelType w:val="multilevel"/>
    <w:tmpl w:val="5E7E5EE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62EC3F03"/>
    <w:multiLevelType w:val="multilevel"/>
    <w:tmpl w:val="62EC3F03"/>
    <w:lvl w:ilvl="0" w:tentative="0">
      <w:start w:val="1"/>
      <w:numFmt w:val="decimal"/>
      <w:lvlText w:val="%1)"/>
      <w:lvlJc w:val="left"/>
      <w:pPr>
        <w:ind w:left="420" w:hanging="420"/>
      </w:pPr>
      <w:rPr>
        <w:rFonts w:hint="eastAsia"/>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646F4053"/>
    <w:multiLevelType w:val="multilevel"/>
    <w:tmpl w:val="646F405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660F2480"/>
    <w:multiLevelType w:val="multilevel"/>
    <w:tmpl w:val="660F2480"/>
    <w:lvl w:ilvl="0" w:tentative="0">
      <w:start w:val="1"/>
      <w:numFmt w:val="decimal"/>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4">
    <w:nsid w:val="66674DCD"/>
    <w:multiLevelType w:val="multilevel"/>
    <w:tmpl w:val="66674DCD"/>
    <w:lvl w:ilvl="0" w:tentative="0">
      <w:start w:val="1"/>
      <w:numFmt w:val="decimal"/>
      <w:lvlText w:val="%1."/>
      <w:lvlJc w:val="left"/>
      <w:pPr>
        <w:ind w:left="420" w:hanging="420"/>
      </w:pPr>
      <w:rPr>
        <w:rFonts w:hint="eastAsia"/>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667D0B60"/>
    <w:multiLevelType w:val="multilevel"/>
    <w:tmpl w:val="667D0B60"/>
    <w:lvl w:ilvl="0" w:tentative="0">
      <w:start w:val="1"/>
      <w:numFmt w:val="decimal"/>
      <w:lvlText w:val="%1)"/>
      <w:lvlJc w:val="left"/>
      <w:pPr>
        <w:ind w:left="420" w:hanging="420"/>
      </w:pPr>
      <w:rPr>
        <w:rFonts w:hint="eastAsia"/>
        <w:sz w:val="2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6">
    <w:nsid w:val="69936903"/>
    <w:multiLevelType w:val="multilevel"/>
    <w:tmpl w:val="69936903"/>
    <w:lvl w:ilvl="0" w:tentative="0">
      <w:start w:val="1"/>
      <w:numFmt w:val="decimal"/>
      <w:lvlText w:val="%1)"/>
      <w:lvlJc w:val="left"/>
      <w:pPr>
        <w:ind w:left="420" w:hanging="420"/>
      </w:pPr>
      <w:rPr>
        <w:rFonts w:hint="eastAsia"/>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6B9759B2"/>
    <w:multiLevelType w:val="multilevel"/>
    <w:tmpl w:val="6B9759B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decimal"/>
      <w:lvlText w:val="%3."/>
      <w:lvlJc w:val="lef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6F66F707"/>
    <w:multiLevelType w:val="singleLevel"/>
    <w:tmpl w:val="6F66F707"/>
    <w:lvl w:ilvl="0" w:tentative="0">
      <w:start w:val="1"/>
      <w:numFmt w:val="decimal"/>
      <w:lvlText w:val="%1)"/>
      <w:lvlJc w:val="left"/>
      <w:pPr>
        <w:ind w:left="425" w:hanging="425"/>
      </w:pPr>
      <w:rPr>
        <w:rFonts w:hint="default"/>
      </w:rPr>
    </w:lvl>
  </w:abstractNum>
  <w:abstractNum w:abstractNumId="39">
    <w:nsid w:val="72D2327C"/>
    <w:multiLevelType w:val="multilevel"/>
    <w:tmpl w:val="72D2327C"/>
    <w:lvl w:ilvl="0" w:tentative="0">
      <w:start w:val="1"/>
      <w:numFmt w:val="decimalEnclosedCircleChinese"/>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decimalEnclosedCircleChinese"/>
      <w:lvlText w:val="%3　"/>
      <w:lvlJc w:val="lef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73943E26"/>
    <w:multiLevelType w:val="multilevel"/>
    <w:tmpl w:val="73943E2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793417DF"/>
    <w:multiLevelType w:val="multilevel"/>
    <w:tmpl w:val="793417DF"/>
    <w:lvl w:ilvl="0" w:tentative="0">
      <w:start w:val="1"/>
      <w:numFmt w:val="decimal"/>
      <w:lvlText w:val="%1)"/>
      <w:lvlJc w:val="left"/>
      <w:pPr>
        <w:ind w:left="420" w:hanging="420"/>
      </w:pPr>
      <w:rPr>
        <w:rFonts w:hint="eastAsia"/>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2">
    <w:nsid w:val="799B733E"/>
    <w:multiLevelType w:val="multilevel"/>
    <w:tmpl w:val="799B733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3">
    <w:nsid w:val="7B5D703D"/>
    <w:multiLevelType w:val="multilevel"/>
    <w:tmpl w:val="7B5D703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7C76152F"/>
    <w:multiLevelType w:val="multilevel"/>
    <w:tmpl w:val="7C76152F"/>
    <w:lvl w:ilvl="0" w:tentative="0">
      <w:start w:val="1"/>
      <w:numFmt w:val="decimalEnclosedCircleChinese"/>
      <w:lvlText w:val="%1　"/>
      <w:lvlJc w:val="left"/>
      <w:pPr>
        <w:ind w:left="1555" w:hanging="420"/>
      </w:pPr>
      <w:rPr>
        <w:rFonts w:hint="eastAsia"/>
      </w:rPr>
    </w:lvl>
    <w:lvl w:ilvl="1" w:tentative="0">
      <w:start w:val="1"/>
      <w:numFmt w:val="lowerLetter"/>
      <w:lvlText w:val="%2)"/>
      <w:lvlJc w:val="left"/>
      <w:pPr>
        <w:ind w:left="1975" w:hanging="420"/>
      </w:pPr>
    </w:lvl>
    <w:lvl w:ilvl="2" w:tentative="0">
      <w:start w:val="1"/>
      <w:numFmt w:val="lowerRoman"/>
      <w:lvlText w:val="%3."/>
      <w:lvlJc w:val="right"/>
      <w:pPr>
        <w:ind w:left="2395" w:hanging="420"/>
      </w:pPr>
    </w:lvl>
    <w:lvl w:ilvl="3" w:tentative="0">
      <w:start w:val="1"/>
      <w:numFmt w:val="decimal"/>
      <w:lvlText w:val="%4."/>
      <w:lvlJc w:val="left"/>
      <w:pPr>
        <w:ind w:left="2815" w:hanging="420"/>
      </w:pPr>
    </w:lvl>
    <w:lvl w:ilvl="4" w:tentative="0">
      <w:start w:val="1"/>
      <w:numFmt w:val="lowerLetter"/>
      <w:lvlText w:val="%5)"/>
      <w:lvlJc w:val="left"/>
      <w:pPr>
        <w:ind w:left="3235" w:hanging="420"/>
      </w:pPr>
    </w:lvl>
    <w:lvl w:ilvl="5" w:tentative="0">
      <w:start w:val="1"/>
      <w:numFmt w:val="lowerRoman"/>
      <w:lvlText w:val="%6."/>
      <w:lvlJc w:val="right"/>
      <w:pPr>
        <w:ind w:left="3655" w:hanging="420"/>
      </w:pPr>
    </w:lvl>
    <w:lvl w:ilvl="6" w:tentative="0">
      <w:start w:val="1"/>
      <w:numFmt w:val="decimal"/>
      <w:lvlText w:val="%7."/>
      <w:lvlJc w:val="left"/>
      <w:pPr>
        <w:ind w:left="4075" w:hanging="420"/>
      </w:pPr>
    </w:lvl>
    <w:lvl w:ilvl="7" w:tentative="0">
      <w:start w:val="1"/>
      <w:numFmt w:val="lowerLetter"/>
      <w:lvlText w:val="%8)"/>
      <w:lvlJc w:val="left"/>
      <w:pPr>
        <w:ind w:left="4495" w:hanging="420"/>
      </w:pPr>
    </w:lvl>
    <w:lvl w:ilvl="8" w:tentative="0">
      <w:start w:val="1"/>
      <w:numFmt w:val="lowerRoman"/>
      <w:lvlText w:val="%9."/>
      <w:lvlJc w:val="right"/>
      <w:pPr>
        <w:ind w:left="4915" w:hanging="420"/>
      </w:pPr>
    </w:lvl>
  </w:abstractNum>
  <w:abstractNum w:abstractNumId="45">
    <w:nsid w:val="7CF9339B"/>
    <w:multiLevelType w:val="multilevel"/>
    <w:tmpl w:val="7CF9339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7E10724A"/>
    <w:multiLevelType w:val="multilevel"/>
    <w:tmpl w:val="7E10724A"/>
    <w:lvl w:ilvl="0" w:tentative="0">
      <w:start w:val="1"/>
      <w:numFmt w:val="decimalEnclosedCircleChinese"/>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decimalEnclosedCircleChinese"/>
      <w:lvlText w:val="%3　"/>
      <w:lvlJc w:val="lef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7">
    <w:nsid w:val="7E1D7EC7"/>
    <w:multiLevelType w:val="multilevel"/>
    <w:tmpl w:val="7E1D7EC7"/>
    <w:lvl w:ilvl="0" w:tentative="0">
      <w:start w:val="1"/>
      <w:numFmt w:val="decimal"/>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11"/>
  </w:num>
  <w:num w:numId="2">
    <w:abstractNumId w:val="16"/>
  </w:num>
  <w:num w:numId="3">
    <w:abstractNumId w:val="10"/>
  </w:num>
  <w:num w:numId="4">
    <w:abstractNumId w:val="44"/>
  </w:num>
  <w:num w:numId="5">
    <w:abstractNumId w:val="26"/>
  </w:num>
  <w:num w:numId="6">
    <w:abstractNumId w:val="35"/>
  </w:num>
  <w:num w:numId="7">
    <w:abstractNumId w:val="36"/>
  </w:num>
  <w:num w:numId="8">
    <w:abstractNumId w:val="24"/>
  </w:num>
  <w:num w:numId="9">
    <w:abstractNumId w:val="17"/>
  </w:num>
  <w:num w:numId="10">
    <w:abstractNumId w:val="40"/>
  </w:num>
  <w:num w:numId="11">
    <w:abstractNumId w:val="20"/>
  </w:num>
  <w:num w:numId="12">
    <w:abstractNumId w:val="31"/>
  </w:num>
  <w:num w:numId="13">
    <w:abstractNumId w:val="41"/>
  </w:num>
  <w:num w:numId="14">
    <w:abstractNumId w:val="18"/>
  </w:num>
  <w:num w:numId="15">
    <w:abstractNumId w:val="34"/>
  </w:num>
  <w:num w:numId="16">
    <w:abstractNumId w:val="47"/>
  </w:num>
  <w:num w:numId="17">
    <w:abstractNumId w:val="0"/>
  </w:num>
  <w:num w:numId="18">
    <w:abstractNumId w:val="25"/>
  </w:num>
  <w:num w:numId="19">
    <w:abstractNumId w:val="13"/>
  </w:num>
  <w:num w:numId="20">
    <w:abstractNumId w:val="5"/>
  </w:num>
  <w:num w:numId="21">
    <w:abstractNumId w:val="23"/>
  </w:num>
  <w:num w:numId="22">
    <w:abstractNumId w:val="8"/>
  </w:num>
  <w:num w:numId="23">
    <w:abstractNumId w:val="3"/>
  </w:num>
  <w:num w:numId="24">
    <w:abstractNumId w:val="45"/>
  </w:num>
  <w:num w:numId="25">
    <w:abstractNumId w:val="9"/>
  </w:num>
  <w:num w:numId="26">
    <w:abstractNumId w:val="22"/>
  </w:num>
  <w:num w:numId="27">
    <w:abstractNumId w:val="33"/>
  </w:num>
  <w:num w:numId="28">
    <w:abstractNumId w:val="7"/>
  </w:num>
  <w:num w:numId="29">
    <w:abstractNumId w:val="30"/>
  </w:num>
  <w:num w:numId="30">
    <w:abstractNumId w:val="21"/>
  </w:num>
  <w:num w:numId="31">
    <w:abstractNumId w:val="6"/>
  </w:num>
  <w:num w:numId="32">
    <w:abstractNumId w:val="14"/>
  </w:num>
  <w:num w:numId="33">
    <w:abstractNumId w:val="28"/>
  </w:num>
  <w:num w:numId="34">
    <w:abstractNumId w:val="27"/>
  </w:num>
  <w:num w:numId="35">
    <w:abstractNumId w:val="19"/>
  </w:num>
  <w:num w:numId="36">
    <w:abstractNumId w:val="2"/>
  </w:num>
  <w:num w:numId="37">
    <w:abstractNumId w:val="15"/>
  </w:num>
  <w:num w:numId="38">
    <w:abstractNumId w:val="12"/>
  </w:num>
  <w:num w:numId="39">
    <w:abstractNumId w:val="42"/>
  </w:num>
  <w:num w:numId="40">
    <w:abstractNumId w:val="29"/>
  </w:num>
  <w:num w:numId="41">
    <w:abstractNumId w:val="37"/>
  </w:num>
  <w:num w:numId="42">
    <w:abstractNumId w:val="32"/>
  </w:num>
  <w:num w:numId="43">
    <w:abstractNumId w:val="43"/>
  </w:num>
  <w:num w:numId="44">
    <w:abstractNumId w:val="38"/>
  </w:num>
  <w:num w:numId="45">
    <w:abstractNumId w:val="46"/>
  </w:num>
  <w:num w:numId="46">
    <w:abstractNumId w:val="39"/>
  </w:num>
  <w:num w:numId="47">
    <w:abstractNumId w:val="1"/>
  </w:num>
  <w:num w:numId="48">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Owner">
    <w15:presenceInfo w15:providerId="None" w15:userId="Own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545"/>
    <w:rsid w:val="000134FD"/>
    <w:rsid w:val="00021B00"/>
    <w:rsid w:val="00030237"/>
    <w:rsid w:val="000554EC"/>
    <w:rsid w:val="00062AFE"/>
    <w:rsid w:val="00062D4A"/>
    <w:rsid w:val="00075E49"/>
    <w:rsid w:val="0008453F"/>
    <w:rsid w:val="000A05B2"/>
    <w:rsid w:val="000A5034"/>
    <w:rsid w:val="000B327D"/>
    <w:rsid w:val="000B3906"/>
    <w:rsid w:val="000B4BEF"/>
    <w:rsid w:val="000C4B6B"/>
    <w:rsid w:val="000E29CC"/>
    <w:rsid w:val="000F6C7C"/>
    <w:rsid w:val="00100B57"/>
    <w:rsid w:val="0010698A"/>
    <w:rsid w:val="00115FDA"/>
    <w:rsid w:val="00117564"/>
    <w:rsid w:val="001349B3"/>
    <w:rsid w:val="00134EA6"/>
    <w:rsid w:val="00135660"/>
    <w:rsid w:val="00142E66"/>
    <w:rsid w:val="00151C77"/>
    <w:rsid w:val="00164372"/>
    <w:rsid w:val="00172602"/>
    <w:rsid w:val="00183162"/>
    <w:rsid w:val="001C2EC7"/>
    <w:rsid w:val="001C766E"/>
    <w:rsid w:val="001C79B5"/>
    <w:rsid w:val="001D5632"/>
    <w:rsid w:val="001E04FD"/>
    <w:rsid w:val="001E1597"/>
    <w:rsid w:val="001F03D4"/>
    <w:rsid w:val="001F5C05"/>
    <w:rsid w:val="002075F7"/>
    <w:rsid w:val="00213F6B"/>
    <w:rsid w:val="00233B17"/>
    <w:rsid w:val="00234015"/>
    <w:rsid w:val="002431B7"/>
    <w:rsid w:val="0025363F"/>
    <w:rsid w:val="002661A6"/>
    <w:rsid w:val="002751F7"/>
    <w:rsid w:val="00290292"/>
    <w:rsid w:val="002A0C89"/>
    <w:rsid w:val="002C5684"/>
    <w:rsid w:val="002C5AD2"/>
    <w:rsid w:val="002C5BC7"/>
    <w:rsid w:val="003135CA"/>
    <w:rsid w:val="00333C96"/>
    <w:rsid w:val="00341087"/>
    <w:rsid w:val="003476A7"/>
    <w:rsid w:val="0035386E"/>
    <w:rsid w:val="0036303C"/>
    <w:rsid w:val="0036405C"/>
    <w:rsid w:val="00377250"/>
    <w:rsid w:val="0038126A"/>
    <w:rsid w:val="00392997"/>
    <w:rsid w:val="00395033"/>
    <w:rsid w:val="003A06F6"/>
    <w:rsid w:val="003A2CBD"/>
    <w:rsid w:val="003A7BA5"/>
    <w:rsid w:val="003D03EA"/>
    <w:rsid w:val="003F0F3F"/>
    <w:rsid w:val="003F7821"/>
    <w:rsid w:val="00414A39"/>
    <w:rsid w:val="004235CA"/>
    <w:rsid w:val="00425521"/>
    <w:rsid w:val="00427545"/>
    <w:rsid w:val="00427B00"/>
    <w:rsid w:val="00430A85"/>
    <w:rsid w:val="004356DB"/>
    <w:rsid w:val="00442ED3"/>
    <w:rsid w:val="00443E4D"/>
    <w:rsid w:val="00452D6A"/>
    <w:rsid w:val="00467E25"/>
    <w:rsid w:val="00482FAB"/>
    <w:rsid w:val="00485C88"/>
    <w:rsid w:val="00486F47"/>
    <w:rsid w:val="004A005F"/>
    <w:rsid w:val="004A7474"/>
    <w:rsid w:val="004A774C"/>
    <w:rsid w:val="004B5516"/>
    <w:rsid w:val="004C53CB"/>
    <w:rsid w:val="004C5993"/>
    <w:rsid w:val="004D0A44"/>
    <w:rsid w:val="004D1A6A"/>
    <w:rsid w:val="004D6F77"/>
    <w:rsid w:val="0050203C"/>
    <w:rsid w:val="005277EF"/>
    <w:rsid w:val="00554FEB"/>
    <w:rsid w:val="00556BE9"/>
    <w:rsid w:val="00560356"/>
    <w:rsid w:val="0056127C"/>
    <w:rsid w:val="00571B9C"/>
    <w:rsid w:val="005765BE"/>
    <w:rsid w:val="005844A5"/>
    <w:rsid w:val="00592E6A"/>
    <w:rsid w:val="005C4295"/>
    <w:rsid w:val="005D2A81"/>
    <w:rsid w:val="005E6A6D"/>
    <w:rsid w:val="005F0FB1"/>
    <w:rsid w:val="005F37FD"/>
    <w:rsid w:val="00612CDB"/>
    <w:rsid w:val="00624882"/>
    <w:rsid w:val="0063292B"/>
    <w:rsid w:val="0063330C"/>
    <w:rsid w:val="00651046"/>
    <w:rsid w:val="00663A76"/>
    <w:rsid w:val="00665412"/>
    <w:rsid w:val="0067011B"/>
    <w:rsid w:val="00684D6E"/>
    <w:rsid w:val="00685C30"/>
    <w:rsid w:val="006863AA"/>
    <w:rsid w:val="006960F4"/>
    <w:rsid w:val="006C561F"/>
    <w:rsid w:val="006D11D2"/>
    <w:rsid w:val="006D572E"/>
    <w:rsid w:val="006E5BDB"/>
    <w:rsid w:val="006F4376"/>
    <w:rsid w:val="006F5C83"/>
    <w:rsid w:val="00726178"/>
    <w:rsid w:val="007346FE"/>
    <w:rsid w:val="007410B4"/>
    <w:rsid w:val="0074131C"/>
    <w:rsid w:val="00741938"/>
    <w:rsid w:val="0075302D"/>
    <w:rsid w:val="00753C94"/>
    <w:rsid w:val="0077065B"/>
    <w:rsid w:val="0078387D"/>
    <w:rsid w:val="00790C87"/>
    <w:rsid w:val="00792E5D"/>
    <w:rsid w:val="007963CA"/>
    <w:rsid w:val="007A15B7"/>
    <w:rsid w:val="007B305D"/>
    <w:rsid w:val="007C2D5F"/>
    <w:rsid w:val="007C6197"/>
    <w:rsid w:val="007F4802"/>
    <w:rsid w:val="007F6EA6"/>
    <w:rsid w:val="00807CFF"/>
    <w:rsid w:val="0081212F"/>
    <w:rsid w:val="0081240B"/>
    <w:rsid w:val="00831812"/>
    <w:rsid w:val="00831959"/>
    <w:rsid w:val="008416A2"/>
    <w:rsid w:val="0085088C"/>
    <w:rsid w:val="00864941"/>
    <w:rsid w:val="00871F26"/>
    <w:rsid w:val="0087603B"/>
    <w:rsid w:val="00880E20"/>
    <w:rsid w:val="0089653D"/>
    <w:rsid w:val="008A3BD5"/>
    <w:rsid w:val="008A59E9"/>
    <w:rsid w:val="008B2E0E"/>
    <w:rsid w:val="008C0FA0"/>
    <w:rsid w:val="008C1545"/>
    <w:rsid w:val="008D7642"/>
    <w:rsid w:val="008E3989"/>
    <w:rsid w:val="00902A3F"/>
    <w:rsid w:val="00904FD2"/>
    <w:rsid w:val="0090788D"/>
    <w:rsid w:val="009201F1"/>
    <w:rsid w:val="009401B7"/>
    <w:rsid w:val="00952FC5"/>
    <w:rsid w:val="00967E8B"/>
    <w:rsid w:val="00971CFA"/>
    <w:rsid w:val="0098115D"/>
    <w:rsid w:val="00981CF2"/>
    <w:rsid w:val="009A09C6"/>
    <w:rsid w:val="009B0747"/>
    <w:rsid w:val="009B11BB"/>
    <w:rsid w:val="009C3D2A"/>
    <w:rsid w:val="009C6D46"/>
    <w:rsid w:val="009E16DC"/>
    <w:rsid w:val="009F6EB0"/>
    <w:rsid w:val="009F786B"/>
    <w:rsid w:val="00A23351"/>
    <w:rsid w:val="00A34AB5"/>
    <w:rsid w:val="00A51858"/>
    <w:rsid w:val="00A56991"/>
    <w:rsid w:val="00A649C3"/>
    <w:rsid w:val="00A668DC"/>
    <w:rsid w:val="00A7335A"/>
    <w:rsid w:val="00A96272"/>
    <w:rsid w:val="00A969BF"/>
    <w:rsid w:val="00AC0C93"/>
    <w:rsid w:val="00AD2746"/>
    <w:rsid w:val="00AD4711"/>
    <w:rsid w:val="00AE0B6C"/>
    <w:rsid w:val="00AE2890"/>
    <w:rsid w:val="00AF2225"/>
    <w:rsid w:val="00B13CB0"/>
    <w:rsid w:val="00B160FE"/>
    <w:rsid w:val="00B24C7E"/>
    <w:rsid w:val="00B37E24"/>
    <w:rsid w:val="00B4007D"/>
    <w:rsid w:val="00B4034A"/>
    <w:rsid w:val="00B41655"/>
    <w:rsid w:val="00B5225F"/>
    <w:rsid w:val="00B92EC5"/>
    <w:rsid w:val="00BA087B"/>
    <w:rsid w:val="00BA3ECE"/>
    <w:rsid w:val="00BC5009"/>
    <w:rsid w:val="00BC56CD"/>
    <w:rsid w:val="00BD4C7F"/>
    <w:rsid w:val="00C0391E"/>
    <w:rsid w:val="00C20884"/>
    <w:rsid w:val="00C25269"/>
    <w:rsid w:val="00C374FA"/>
    <w:rsid w:val="00C41C31"/>
    <w:rsid w:val="00C4755F"/>
    <w:rsid w:val="00C478BC"/>
    <w:rsid w:val="00C512EF"/>
    <w:rsid w:val="00C6241F"/>
    <w:rsid w:val="00C64213"/>
    <w:rsid w:val="00C65EC8"/>
    <w:rsid w:val="00C854B7"/>
    <w:rsid w:val="00C91BA2"/>
    <w:rsid w:val="00C943BF"/>
    <w:rsid w:val="00C975AE"/>
    <w:rsid w:val="00CC1C22"/>
    <w:rsid w:val="00CC3910"/>
    <w:rsid w:val="00CE52D0"/>
    <w:rsid w:val="00CE635A"/>
    <w:rsid w:val="00CF7B74"/>
    <w:rsid w:val="00D175E5"/>
    <w:rsid w:val="00D24667"/>
    <w:rsid w:val="00D2468F"/>
    <w:rsid w:val="00D425AD"/>
    <w:rsid w:val="00D5230B"/>
    <w:rsid w:val="00D546F6"/>
    <w:rsid w:val="00D57B66"/>
    <w:rsid w:val="00D613CE"/>
    <w:rsid w:val="00D66440"/>
    <w:rsid w:val="00D87142"/>
    <w:rsid w:val="00D92E50"/>
    <w:rsid w:val="00DA668C"/>
    <w:rsid w:val="00DC44FE"/>
    <w:rsid w:val="00DC48B7"/>
    <w:rsid w:val="00DD6660"/>
    <w:rsid w:val="00DD6897"/>
    <w:rsid w:val="00DE3E1D"/>
    <w:rsid w:val="00DF4A69"/>
    <w:rsid w:val="00E12FA0"/>
    <w:rsid w:val="00E2586F"/>
    <w:rsid w:val="00E50652"/>
    <w:rsid w:val="00E574BA"/>
    <w:rsid w:val="00E6455C"/>
    <w:rsid w:val="00E70413"/>
    <w:rsid w:val="00E81E81"/>
    <w:rsid w:val="00E92D64"/>
    <w:rsid w:val="00E94AEF"/>
    <w:rsid w:val="00EA040B"/>
    <w:rsid w:val="00EA6D48"/>
    <w:rsid w:val="00EB1C1D"/>
    <w:rsid w:val="00EB281F"/>
    <w:rsid w:val="00EB605F"/>
    <w:rsid w:val="00EB67DF"/>
    <w:rsid w:val="00ED4C92"/>
    <w:rsid w:val="00EE1114"/>
    <w:rsid w:val="00EE6D18"/>
    <w:rsid w:val="00EF0A8F"/>
    <w:rsid w:val="00EF1918"/>
    <w:rsid w:val="00EF2898"/>
    <w:rsid w:val="00EF357B"/>
    <w:rsid w:val="00EF4148"/>
    <w:rsid w:val="00F0036B"/>
    <w:rsid w:val="00F27F08"/>
    <w:rsid w:val="00F3447E"/>
    <w:rsid w:val="00F3551A"/>
    <w:rsid w:val="00F37587"/>
    <w:rsid w:val="00F511B0"/>
    <w:rsid w:val="00F5772A"/>
    <w:rsid w:val="00F70FCC"/>
    <w:rsid w:val="00F913A0"/>
    <w:rsid w:val="00FA4B33"/>
    <w:rsid w:val="00FC09F8"/>
    <w:rsid w:val="00FD7060"/>
    <w:rsid w:val="00FE1454"/>
    <w:rsid w:val="00FE3634"/>
    <w:rsid w:val="10F324B1"/>
    <w:rsid w:val="1552125A"/>
    <w:rsid w:val="26505133"/>
    <w:rsid w:val="52A36F0F"/>
    <w:rsid w:val="65F76C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1"/>
    <w:unhideWhenUsed/>
    <w:qFormat/>
    <w:uiPriority w:val="9"/>
    <w:pPr>
      <w:keepNext/>
      <w:keepLines/>
      <w:spacing w:before="260" w:after="260" w:line="416" w:lineRule="auto"/>
      <w:outlineLvl w:val="1"/>
    </w:pPr>
    <w:rPr>
      <w:rFonts w:ascii="Cambria" w:hAnsi="Cambria"/>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0"/>
    <w:unhideWhenUsed/>
    <w:qFormat/>
    <w:uiPriority w:val="99"/>
    <w:rPr>
      <w:rFonts w:ascii="宋体"/>
      <w:sz w:val="18"/>
      <w:szCs w:val="18"/>
    </w:rPr>
  </w:style>
  <w:style w:type="paragraph" w:styleId="5">
    <w:name w:val="annotation text"/>
    <w:basedOn w:val="1"/>
    <w:link w:val="25"/>
    <w:semiHidden/>
    <w:unhideWhenUsed/>
    <w:qFormat/>
    <w:uiPriority w:val="99"/>
    <w:pPr>
      <w:jc w:val="left"/>
    </w:pPr>
  </w:style>
  <w:style w:type="paragraph" w:styleId="6">
    <w:name w:val="Balloon Text"/>
    <w:basedOn w:val="1"/>
    <w:link w:val="24"/>
    <w:semiHidden/>
    <w:unhideWhenUsed/>
    <w:qFormat/>
    <w:uiPriority w:val="99"/>
    <w:rPr>
      <w:sz w:val="18"/>
      <w:szCs w:val="18"/>
    </w:rPr>
  </w:style>
  <w:style w:type="paragraph" w:styleId="7">
    <w:name w:val="footer"/>
    <w:basedOn w:val="1"/>
    <w:link w:val="23"/>
    <w:unhideWhenUsed/>
    <w:qFormat/>
    <w:uiPriority w:val="99"/>
    <w:pPr>
      <w:tabs>
        <w:tab w:val="center" w:pos="4153"/>
        <w:tab w:val="right" w:pos="8306"/>
      </w:tabs>
      <w:snapToGrid w:val="0"/>
      <w:jc w:val="left"/>
    </w:pPr>
    <w:rPr>
      <w:sz w:val="18"/>
      <w:szCs w:val="18"/>
    </w:rPr>
  </w:style>
  <w:style w:type="paragraph" w:styleId="8">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pPr>
      <w:tabs>
        <w:tab w:val="right" w:leader="dot" w:pos="8296"/>
      </w:tabs>
      <w:spacing w:line="360" w:lineRule="auto"/>
    </w:pPr>
  </w:style>
  <w:style w:type="paragraph" w:styleId="10">
    <w:name w:val="toc 2"/>
    <w:basedOn w:val="1"/>
    <w:next w:val="1"/>
    <w:unhideWhenUsed/>
    <w:qFormat/>
    <w:uiPriority w:val="39"/>
    <w:pPr>
      <w:ind w:left="420" w:leftChars="200"/>
    </w:pPr>
  </w:style>
  <w:style w:type="paragraph" w:styleId="11">
    <w:name w:val="Normal (Web)"/>
    <w:basedOn w:val="1"/>
    <w:semiHidden/>
    <w:unhideWhenUsed/>
    <w:qFormat/>
    <w:uiPriority w:val="99"/>
    <w:pPr>
      <w:widowControl/>
      <w:spacing w:before="100" w:beforeAutospacing="1" w:after="100" w:afterAutospacing="1" w:line="360" w:lineRule="atLeast"/>
      <w:jc w:val="left"/>
    </w:pPr>
    <w:rPr>
      <w:rFonts w:ascii="宋体" w:hAnsi="宋体" w:cs="宋体"/>
      <w:kern w:val="0"/>
      <w:sz w:val="24"/>
      <w:szCs w:val="24"/>
    </w:rPr>
  </w:style>
  <w:style w:type="paragraph" w:styleId="12">
    <w:name w:val="annotation subject"/>
    <w:basedOn w:val="5"/>
    <w:next w:val="5"/>
    <w:link w:val="26"/>
    <w:semiHidden/>
    <w:unhideWhenUsed/>
    <w:qFormat/>
    <w:uiPriority w:val="99"/>
    <w:rPr>
      <w:b/>
      <w:bCs/>
    </w:rPr>
  </w:style>
  <w:style w:type="character" w:styleId="15">
    <w:name w:val="Hyperlink"/>
    <w:unhideWhenUsed/>
    <w:qFormat/>
    <w:uiPriority w:val="99"/>
    <w:rPr>
      <w:color w:val="0000FF"/>
      <w:u w:val="single"/>
    </w:rPr>
  </w:style>
  <w:style w:type="character" w:styleId="16">
    <w:name w:val="annotation reference"/>
    <w:semiHidden/>
    <w:unhideWhenUsed/>
    <w:qFormat/>
    <w:uiPriority w:val="99"/>
    <w:rPr>
      <w:sz w:val="21"/>
      <w:szCs w:val="21"/>
    </w:rPr>
  </w:style>
  <w:style w:type="paragraph" w:customStyle="1" w:styleId="17">
    <w:name w:val="列出段落1"/>
    <w:basedOn w:val="1"/>
    <w:qFormat/>
    <w:uiPriority w:val="34"/>
    <w:pPr>
      <w:ind w:firstLine="420" w:firstLineChars="200"/>
    </w:pPr>
  </w:style>
  <w:style w:type="paragraph" w:customStyle="1" w:styleId="18">
    <w:name w:val="样式 首行缩进:  2 字符"/>
    <w:basedOn w:val="1"/>
    <w:qFormat/>
    <w:uiPriority w:val="0"/>
    <w:pPr>
      <w:ind w:firstLine="640" w:firstLineChars="200"/>
    </w:pPr>
    <w:rPr>
      <w:rFonts w:ascii="Times New Roman" w:hAnsi="Times New Roman" w:eastAsia="仿宋_GB2312" w:cs="宋体"/>
      <w:sz w:val="32"/>
      <w:szCs w:val="20"/>
    </w:rPr>
  </w:style>
  <w:style w:type="character" w:customStyle="1" w:styleId="19">
    <w:name w:val="标题 1 Char"/>
    <w:link w:val="2"/>
    <w:qFormat/>
    <w:uiPriority w:val="9"/>
    <w:rPr>
      <w:b/>
      <w:bCs/>
      <w:kern w:val="44"/>
      <w:sz w:val="44"/>
      <w:szCs w:val="44"/>
    </w:rPr>
  </w:style>
  <w:style w:type="character" w:customStyle="1" w:styleId="20">
    <w:name w:val="文档结构图 Char"/>
    <w:link w:val="4"/>
    <w:qFormat/>
    <w:uiPriority w:val="99"/>
    <w:rPr>
      <w:rFonts w:ascii="宋体" w:eastAsia="宋体"/>
      <w:sz w:val="18"/>
      <w:szCs w:val="18"/>
    </w:rPr>
  </w:style>
  <w:style w:type="character" w:customStyle="1" w:styleId="21">
    <w:name w:val="标题 2 Char"/>
    <w:link w:val="3"/>
    <w:qFormat/>
    <w:uiPriority w:val="9"/>
    <w:rPr>
      <w:rFonts w:ascii="Cambria" w:hAnsi="Cambria" w:eastAsia="宋体"/>
      <w:b/>
      <w:bCs/>
      <w:sz w:val="32"/>
      <w:szCs w:val="32"/>
    </w:rPr>
  </w:style>
  <w:style w:type="character" w:customStyle="1" w:styleId="22">
    <w:name w:val="页眉 Char"/>
    <w:link w:val="8"/>
    <w:qFormat/>
    <w:uiPriority w:val="99"/>
    <w:rPr>
      <w:sz w:val="18"/>
      <w:szCs w:val="18"/>
    </w:rPr>
  </w:style>
  <w:style w:type="character" w:customStyle="1" w:styleId="23">
    <w:name w:val="页脚 Char"/>
    <w:link w:val="7"/>
    <w:qFormat/>
    <w:uiPriority w:val="99"/>
    <w:rPr>
      <w:sz w:val="18"/>
      <w:szCs w:val="18"/>
    </w:rPr>
  </w:style>
  <w:style w:type="character" w:customStyle="1" w:styleId="24">
    <w:name w:val="批注框文本 Char"/>
    <w:link w:val="6"/>
    <w:semiHidden/>
    <w:qFormat/>
    <w:uiPriority w:val="99"/>
    <w:rPr>
      <w:sz w:val="18"/>
      <w:szCs w:val="18"/>
    </w:rPr>
  </w:style>
  <w:style w:type="character" w:customStyle="1" w:styleId="25">
    <w:name w:val="批注文字 Char"/>
    <w:link w:val="5"/>
    <w:semiHidden/>
    <w:qFormat/>
    <w:uiPriority w:val="99"/>
    <w:rPr>
      <w:kern w:val="2"/>
      <w:sz w:val="21"/>
      <w:szCs w:val="22"/>
    </w:rPr>
  </w:style>
  <w:style w:type="character" w:customStyle="1" w:styleId="26">
    <w:name w:val="批注主题 Char"/>
    <w:link w:val="12"/>
    <w:semiHidden/>
    <w:qFormat/>
    <w:uiPriority w:val="99"/>
    <w:rPr>
      <w:b/>
      <w:bCs/>
      <w:kern w:val="2"/>
      <w:sz w:val="21"/>
      <w:szCs w:val="22"/>
    </w:rPr>
  </w:style>
  <w:style w:type="paragraph" w:styleId="27">
    <w:name w:val="List Paragraph"/>
    <w:basedOn w:val="1"/>
    <w:qFormat/>
    <w:uiPriority w:val="34"/>
    <w:pPr>
      <w:ind w:firstLine="420" w:firstLineChars="200"/>
    </w:pPr>
    <w:rPr>
      <w:rFonts w:asciiTheme="minorHAnsi" w:hAnsiTheme="minorHAnsi" w:eastAsiaTheme="minorEastAsia" w:cstheme="minorBidi"/>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94FBF-0F98-446B-9D35-2E5E23813C5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46</Pages>
  <Words>18516</Words>
  <Characters>18652</Characters>
  <Lines>177</Lines>
  <Paragraphs>49</Paragraphs>
  <TotalTime>134</TotalTime>
  <ScaleCrop>false</ScaleCrop>
  <LinksUpToDate>false</LinksUpToDate>
  <CharactersWithSpaces>18795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2024-11-19T01:02:00Z</dcterms:created>
  <dc:creator>dreamsummit</dc:creator>
  <cp:lastModifiedBy>平凡先生</cp:lastModifiedBy>
  <cp:lastPrinted>2020-06-06T00:28:00Z</cp:lastPrinted>
  <dcterms:modified xsi:type="dcterms:W3CDTF">2025-03-05T07:28:29Z</dcterms:modified>
  <dc:title>佳木斯市东风区</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6101089EEC674DA2A96B396020CF7028_13</vt:lpwstr>
  </property>
  <property fmtid="{D5CDD505-2E9C-101B-9397-08002B2CF9AE}" pid="4" name="KSOTemplateDocerSaveRecord">
    <vt:lpwstr>eyJoZGlkIjoiMzg3YTg1MDI2YjhlZTZmNDA0NTY0OWZkMjFiNWM1MTgiLCJ1c2VySWQiOiI0ODk1NzMwMzMifQ==</vt:lpwstr>
  </property>
</Properties>
</file>