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宋体" w:cs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Times New Roman" w:hAnsi="宋体" w:cs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宋体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桦南县政府</w:t>
      </w:r>
      <w:r>
        <w:rPr>
          <w:rFonts w:ascii="Times New Roman" w:hAnsi="Times New Roman" w:cs="Times New Roman"/>
          <w:b/>
          <w:bCs/>
          <w:sz w:val="44"/>
          <w:szCs w:val="44"/>
        </w:rPr>
        <w:t>2</w:t>
      </w:r>
      <w:r>
        <w:rPr>
          <w:rFonts w:hint="eastAsia" w:ascii="Times New Roman" w:hAnsi="Times New Roman" w:cs="Times New Roman"/>
          <w:b/>
          <w:bCs/>
          <w:sz w:val="44"/>
          <w:szCs w:val="44"/>
        </w:rPr>
        <w:t>020</w:t>
      </w:r>
      <w:r>
        <w:rPr>
          <w:rFonts w:hint="eastAsia" w:ascii="Times New Roman" w:hAnsi="宋体" w:cs="宋体"/>
          <w:b/>
          <w:bCs/>
          <w:sz w:val="44"/>
          <w:szCs w:val="44"/>
        </w:rPr>
        <w:t>年政府性</w:t>
      </w:r>
    </w:p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一般债务公开情况说明</w:t>
      </w:r>
    </w:p>
    <w:p>
      <w:pPr>
        <w:spacing w:line="600" w:lineRule="exac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一、截止</w:t>
      </w:r>
      <w:r>
        <w:rPr>
          <w:rFonts w:ascii="黑体" w:hAnsi="黑体" w:eastAsia="黑体" w:cs="黑体"/>
          <w:sz w:val="32"/>
          <w:szCs w:val="32"/>
        </w:rPr>
        <w:t>201</w:t>
      </w:r>
      <w:r>
        <w:rPr>
          <w:rFonts w:hint="eastAsia" w:ascii="黑体" w:hAnsi="黑体" w:eastAsia="黑体" w:cs="黑体"/>
          <w:sz w:val="32"/>
          <w:szCs w:val="32"/>
        </w:rPr>
        <w:t>9年末债务情况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</w:rPr>
        <w:t>9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</w:t>
      </w:r>
      <w:r>
        <w:rPr>
          <w:rFonts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</w:rPr>
        <w:t>9</w:t>
      </w:r>
      <w:r>
        <w:rPr>
          <w:rFonts w:hint="eastAsia" w:ascii="Times New Roman" w:hAnsi="仿宋" w:eastAsia="仿宋" w:cs="仿宋"/>
          <w:sz w:val="32"/>
          <w:szCs w:val="32"/>
        </w:rPr>
        <w:t>年政府一般债务限额为</w:t>
      </w: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</w:rPr>
        <w:t>41897</w:t>
      </w:r>
      <w:r>
        <w:rPr>
          <w:rFonts w:hint="eastAsia" w:ascii="Times New Roman" w:hAnsi="仿宋" w:eastAsia="仿宋" w:cs="仿宋"/>
          <w:sz w:val="32"/>
          <w:szCs w:val="32"/>
        </w:rPr>
        <w:t>万元。</w:t>
      </w: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Times New Roman" w:hAnsi="仿宋" w:eastAsia="仿宋" w:cs="仿宋"/>
          <w:sz w:val="32"/>
          <w:szCs w:val="32"/>
        </w:rPr>
      </w:pP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</w:rPr>
        <w:t>9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日，桦南县政府一般债务余额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234324</w:t>
      </w:r>
      <w:r>
        <w:rPr>
          <w:rFonts w:hint="eastAsia" w:ascii="Times New Roman" w:hAnsi="仿宋" w:eastAsia="仿宋" w:cs="仿宋"/>
          <w:sz w:val="32"/>
          <w:szCs w:val="32"/>
        </w:rPr>
        <w:t>万元。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>2019年当期新增地方政府一般债券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40407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万元，其中，政府置换债券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2777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万元，政府新增债券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37630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万元，具体使用项目为：偿还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到期</w:t>
      </w:r>
      <w:r>
        <w:rPr>
          <w:rFonts w:hint="default" w:ascii="Times New Roman" w:hAnsi="Times New Roman" w:eastAsia="仿宋" w:cs="Times New Roman"/>
          <w:sz w:val="32"/>
          <w:szCs w:val="32"/>
        </w:rPr>
        <w:t>政府债券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本金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2777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工业园区</w:t>
      </w:r>
      <w:r>
        <w:rPr>
          <w:rFonts w:hint="default" w:ascii="Times New Roman" w:hAnsi="Times New Roman" w:eastAsia="仿宋" w:cs="Times New Roman"/>
          <w:sz w:val="32"/>
          <w:szCs w:val="32"/>
        </w:rPr>
        <w:t>基础设施及铁路线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19200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山水林田湖草生态保护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438万元、消防设备购置150万元、土龙山污水收集管网500万元、农村饮水安全2126万元、义务教育均衡发展8000万元、交通危桥改造2483万元、牡佳高铁1711万元、交通水毁路基、路面、水毁涵洞234万元、秸秆综合利用1335万元、农村厕所372万元、防洪工程水毁修复500万元、农村生活垃圾分类治理581万元。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我县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防范和化解财政金融风险防控措施</w:t>
      </w:r>
    </w:p>
    <w:p>
      <w:pPr>
        <w:spacing w:line="600" w:lineRule="exact"/>
        <w:ind w:firstLine="643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（一）成立政府性债务领导小组。</w:t>
      </w:r>
      <w:r>
        <w:rPr>
          <w:rFonts w:eastAsia="仿宋_GB2312"/>
          <w:color w:val="000000"/>
          <w:sz w:val="32"/>
          <w:szCs w:val="32"/>
        </w:rPr>
        <w:t>成立以县领导为组长，财政局、审计局等部门为成员单位的政府性债务领导小组，对我县政府性债务的举借、使用、管理情况进行自查自纠，同时对资金按照统筹规划，归口管理的原则使用。</w:t>
      </w:r>
    </w:p>
    <w:p>
      <w:pPr>
        <w:spacing w:line="600" w:lineRule="exact"/>
        <w:ind w:firstLine="643" w:firstLineChars="200"/>
        <w:rPr>
          <w:rFonts w:eastAsia="黑体"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（二）制定《桦南县人民政府关于加强政府性债务管理的意见》。</w:t>
      </w:r>
      <w:r>
        <w:rPr>
          <w:rFonts w:eastAsia="仿宋_GB2312"/>
          <w:color w:val="000000"/>
          <w:sz w:val="32"/>
          <w:szCs w:val="32"/>
        </w:rPr>
        <w:t>为严格控制和管理政府性债务，坚持求真务实，不走过场，进一步科学规范县直各部门和单位、乡镇人民政府举借、使用、偿还或提供担保债务的行为，防范和化解政府性债务风险，促进我县经济社会持续健康发展，我县于2014年出台了《桦南县人民政府关于加强政府性债务管理的意见》（桦政发﹝2014﹞13号），从加强政府债务管理的重要性和范围；严格规范政府性债务举借行为；明确落实政府性债务管理的主体及职责；加强政府性债务资金使用与偿还的监管；严格责任追究等五个方面对我县政府性债务管理工作进行统一规范。把政府性债务作为各单位和部门、乡镇人民政府经济责任计主要内容，进一步加强政府性债务资金使用与偿还的监管，明确了除了通过申请地方政府债券举借债务外，一律严禁发生新的债务，切实做到政府性债务管理有法可依，有据可循。</w:t>
      </w:r>
    </w:p>
    <w:p>
      <w:pPr>
        <w:tabs>
          <w:tab w:val="left" w:pos="615"/>
        </w:tabs>
        <w:spacing w:line="600" w:lineRule="exact"/>
        <w:ind w:firstLine="321" w:firstLineChars="100"/>
        <w:rPr>
          <w:rFonts w:hint="eastAsia" w:eastAsia="仿宋_GB2312"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（三）制定《桦南县政府性债务风险应急处置预案 》。</w:t>
      </w:r>
      <w:r>
        <w:rPr>
          <w:rFonts w:eastAsia="仿宋_GB2312"/>
          <w:color w:val="000000"/>
          <w:sz w:val="32"/>
          <w:szCs w:val="32"/>
        </w:rPr>
        <w:t>2017年8月23日，桦南县人民政府制定了《桦南县政府性债务风险应急处置预案 》，按照政府性债务风险事件的性质、影响范围和危害程度等情况，政府性债务风险事件划分为四个等级，并针对不同等级制定了防范措施，县政府负责政府性债务的统一规划和总体安排，县财政局实行归口管理，进一步完善政府债务限额管理制度、预算管理制度、风险管理制度以及跟踪监督和责任追究制度，夯实管理基础，堵塞管理漏洞。</w:t>
      </w:r>
    </w:p>
    <w:p>
      <w:pPr>
        <w:tabs>
          <w:tab w:val="left" w:pos="615"/>
        </w:tabs>
        <w:spacing w:line="600" w:lineRule="exact"/>
        <w:ind w:firstLine="160" w:firstLineChars="5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(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四)申请地方政府再融资债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券</w:t>
      </w:r>
    </w:p>
    <w:p>
      <w:pPr>
        <w:tabs>
          <w:tab w:val="left" w:pos="615"/>
        </w:tabs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    积极申请地方政府再融资债券用来偿还到期的债券本金，缓解地方政府债务偿还压力，防止地方政府债务规模过大、增长过快，遏制债务规模增长。</w:t>
      </w:r>
    </w:p>
    <w:p>
      <w:pPr>
        <w:tabs>
          <w:tab w:val="left" w:pos="615"/>
        </w:tabs>
        <w:spacing w:line="600" w:lineRule="exact"/>
        <w:ind w:firstLine="161" w:firstLineChars="50"/>
        <w:rPr>
          <w:rFonts w:hint="eastAsia"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</w:t>
      </w:r>
      <w:r>
        <w:rPr>
          <w:rFonts w:hint="eastAsia" w:eastAsia="楷体_GB2312"/>
          <w:b/>
          <w:color w:val="000000"/>
          <w:sz w:val="32"/>
          <w:szCs w:val="32"/>
          <w:lang w:eastAsia="zh-CN"/>
        </w:rPr>
        <w:t>五</w:t>
      </w:r>
      <w:r>
        <w:rPr>
          <w:rFonts w:eastAsia="楷体_GB2312"/>
          <w:b/>
          <w:color w:val="000000"/>
          <w:sz w:val="32"/>
          <w:szCs w:val="32"/>
        </w:rPr>
        <w:t>）</w:t>
      </w:r>
      <w:r>
        <w:rPr>
          <w:rFonts w:eastAsia="仿宋_GB2312"/>
          <w:b/>
          <w:sz w:val="32"/>
          <w:szCs w:val="32"/>
        </w:rPr>
        <w:t>制定化解债务存量方案，</w:t>
      </w:r>
      <w:r>
        <w:rPr>
          <w:rFonts w:eastAsia="楷体_GB2312"/>
          <w:b/>
          <w:color w:val="000000"/>
          <w:sz w:val="32"/>
          <w:szCs w:val="32"/>
        </w:rPr>
        <w:t>将偿债资金纳入财政预算管理。</w:t>
      </w:r>
    </w:p>
    <w:p>
      <w:pPr>
        <w:tabs>
          <w:tab w:val="left" w:pos="615"/>
        </w:tabs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制定化解债务存量方案，通过调整支出结构、盘活闲置资产等方式化解债务存量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color w:val="000000"/>
          <w:sz w:val="32"/>
          <w:szCs w:val="32"/>
        </w:rPr>
        <w:t>按《预算法》和国务院《关于加强地方政府性债务意见》(43号文件)要求将政府债务纳入全口径预算管理，在保证基本公共服务资金的前提下，积极调整支出结构，最大限度压缩一般性支出，优先安排债务还本付息，加强财政支出责任监测，切实增强债务风险防范意识，降低债务风险。</w:t>
      </w:r>
    </w:p>
    <w:p>
      <w:pPr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今后的工作中，我们将认真落实《中华人民共和国预算法》和国务院、财政厅的有关文件精神，严格按照省市有关防控债务风险的决策部署要求，增强风险意识、忧患意识。积极稳妥防控债务风险，守住风险底线，加强政府债务管理，将应由政府偿还的债务全额纳入预算管理，最大限度的压缩一般性支出，优先安排债务还本息，加强财政支出责任监测，切实增强债务风险意识。</w:t>
      </w:r>
    </w:p>
    <w:p>
      <w:pPr>
        <w:rPr>
          <w:rFonts w:ascii="Times New Roman" w:hAnsi="Times New Roman" w:eastAsia="仿宋" w:cs="Times New Roman"/>
          <w:sz w:val="32"/>
          <w:szCs w:val="32"/>
        </w:rPr>
      </w:pPr>
    </w:p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                     </w:t>
      </w:r>
      <w:r>
        <w:rPr>
          <w:rFonts w:hint="eastAsia" w:ascii="Times New Roman" w:hAnsi="仿宋" w:eastAsia="仿宋" w:cs="仿宋"/>
          <w:sz w:val="32"/>
          <w:szCs w:val="32"/>
        </w:rPr>
        <w:t>桦南县财政局</w:t>
      </w:r>
    </w:p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                    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17</w:t>
      </w:r>
      <w:r>
        <w:rPr>
          <w:rFonts w:hint="eastAsia" w:ascii="Times New Roman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1F7193B"/>
    <w:rsid w:val="000E2BD7"/>
    <w:rsid w:val="000F1FE6"/>
    <w:rsid w:val="001336B0"/>
    <w:rsid w:val="001C2A40"/>
    <w:rsid w:val="00200B1D"/>
    <w:rsid w:val="00462AF5"/>
    <w:rsid w:val="004B7592"/>
    <w:rsid w:val="004F42ED"/>
    <w:rsid w:val="00565C99"/>
    <w:rsid w:val="006E1070"/>
    <w:rsid w:val="006E78E2"/>
    <w:rsid w:val="007D3893"/>
    <w:rsid w:val="00B04ED6"/>
    <w:rsid w:val="00B132CE"/>
    <w:rsid w:val="00C41078"/>
    <w:rsid w:val="00D679B4"/>
    <w:rsid w:val="00FA2758"/>
    <w:rsid w:val="11F7193B"/>
    <w:rsid w:val="1255227D"/>
    <w:rsid w:val="1429362D"/>
    <w:rsid w:val="1B6E3986"/>
    <w:rsid w:val="1BD97C8B"/>
    <w:rsid w:val="1E344DFE"/>
    <w:rsid w:val="2F202121"/>
    <w:rsid w:val="2FA3492D"/>
    <w:rsid w:val="30C313B6"/>
    <w:rsid w:val="385E1FAF"/>
    <w:rsid w:val="3E080CC1"/>
    <w:rsid w:val="4EA22239"/>
    <w:rsid w:val="51216948"/>
    <w:rsid w:val="5BC37DD3"/>
    <w:rsid w:val="64A15E15"/>
    <w:rsid w:val="6FDB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cs="Calibri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244</Words>
  <Characters>1395</Characters>
  <Lines>11</Lines>
  <Paragraphs>3</Paragraphs>
  <TotalTime>2</TotalTime>
  <ScaleCrop>false</ScaleCrop>
  <LinksUpToDate>false</LinksUpToDate>
  <CharactersWithSpaces>1636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2019-01-07T08:23:00Z</dcterms:created>
  <dc:creator>Administrator</dc:creator>
  <cp:lastModifiedBy>邹-小酒儿</cp:lastModifiedBy>
  <dcterms:modified xsi:type="dcterms:W3CDTF">2020-01-07T08:58:12Z</dcterms:modified>
  <dc:title>桦南县政府2018年政府性一般债务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16E4721C3C614361BE228E38A7ADDC57</vt:lpwstr>
  </property>
</Properties>
</file>