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20" w:lineRule="exact"/>
        <w:jc w:val="left"/>
        <w:rPr>
          <w:rFonts w:ascii="黑体" w:hAnsi="黑体" w:eastAsia="黑体"/>
          <w:sz w:val="32"/>
          <w:szCs w:val="32"/>
        </w:rPr>
      </w:pPr>
      <w:r>
        <w:rPr>
          <w:rFonts w:hint="eastAsia" w:ascii="黑体" w:hAnsi="黑体" w:eastAsia="黑体"/>
          <w:sz w:val="32"/>
          <w:szCs w:val="32"/>
        </w:rPr>
        <w:t>附件</w:t>
      </w:r>
    </w:p>
    <w:p>
      <w:pPr>
        <w:spacing w:line="520" w:lineRule="exact"/>
        <w:jc w:val="center"/>
        <w:rPr>
          <w:rFonts w:ascii="华文中宋" w:hAnsi="华文中宋" w:eastAsia="华文中宋"/>
          <w:b/>
          <w:sz w:val="44"/>
          <w:szCs w:val="44"/>
        </w:rPr>
      </w:pPr>
      <w:r>
        <w:rPr>
          <w:rFonts w:hint="eastAsia" w:ascii="华文中宋" w:hAnsi="华文中宋" w:eastAsia="华文中宋"/>
          <w:b/>
          <w:sz w:val="44"/>
          <w:szCs w:val="44"/>
          <w:lang w:eastAsia="zh-CN"/>
        </w:rPr>
        <w:t>桦南县应急管理局</w:t>
      </w:r>
      <w:r>
        <w:rPr>
          <w:rFonts w:hint="eastAsia" w:ascii="华文中宋" w:hAnsi="华文中宋" w:eastAsia="华文中宋"/>
          <w:b/>
          <w:sz w:val="44"/>
          <w:szCs w:val="44"/>
        </w:rPr>
        <w:t>随机抽查重点事项清单</w:t>
      </w:r>
    </w:p>
    <w:p>
      <w:pPr>
        <w:spacing w:line="320" w:lineRule="exact"/>
        <w:jc w:val="left"/>
        <w:rPr>
          <w:rFonts w:ascii="华文中宋" w:hAnsi="华文中宋" w:eastAsia="华文中宋"/>
          <w:sz w:val="36"/>
          <w:szCs w:val="36"/>
        </w:rPr>
      </w:pPr>
    </w:p>
    <w:p>
      <w:pPr>
        <w:spacing w:line="320" w:lineRule="exact"/>
        <w:jc w:val="left"/>
        <w:rPr>
          <w:rFonts w:ascii="华文中宋" w:hAnsi="华文中宋" w:eastAsia="华文中宋"/>
          <w:sz w:val="36"/>
          <w:szCs w:val="36"/>
        </w:rPr>
      </w:pPr>
      <w:r>
        <w:rPr>
          <w:rFonts w:hint="eastAsia" w:ascii="华文中宋" w:hAnsi="华文中宋" w:eastAsia="华文中宋"/>
          <w:sz w:val="36"/>
          <w:szCs w:val="36"/>
        </w:rPr>
        <w:t>说明：</w:t>
      </w:r>
    </w:p>
    <w:p>
      <w:pPr>
        <w:spacing w:line="320" w:lineRule="exact"/>
        <w:jc w:val="left"/>
        <w:rPr>
          <w:rFonts w:ascii="华文中宋" w:hAnsi="华文中宋" w:eastAsia="华文中宋"/>
          <w:sz w:val="36"/>
          <w:szCs w:val="36"/>
        </w:rPr>
      </w:pP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1、抽查主体，主要是指按照分级、属地原则确定的对相关生产经营单位负有监督管理职责的安全监管部门。</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2、对非煤矿山、危险化学品、冶金等生产经营单位（主要是企业，下同）进行随机抽查的，以《清单》所列的相关重点事项为主，同时参照安全生产、职业卫生随机抽查综合事项。</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抽查频次，一般按年度计算，有两个统计分析口径：一是以抽查对象为标准，即对某类生产经营单位在一年内的抽查次数及其在相关执法数据中的占比；二是以抽查事项为标准，即对某一事项在一年内抽查的次数及其在相关执法数据中的占比。抽查频次由各级安全监管部门参照《清单》的相关要求，结合本地区实际确定和调整。</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4、《清单》中行政法规所列的国务院令号、部门规章所列的部门令号是公布相关行政法规、部门规章的令号，相关法规规章修改的，其文本以最新修改为准。</w:t>
      </w:r>
    </w:p>
    <w:p>
      <w:pPr>
        <w:pageBreakBefore/>
        <w:spacing w:line="560" w:lineRule="exact"/>
        <w:jc w:val="left"/>
        <w:rPr>
          <w:rFonts w:ascii="仿宋_GB2312" w:hAnsi="宋体" w:eastAsia="仿宋_GB2312"/>
          <w:sz w:val="32"/>
          <w:szCs w:val="32"/>
        </w:rPr>
      </w:pPr>
    </w:p>
    <w:p>
      <w:pPr>
        <w:spacing w:line="560" w:lineRule="exact"/>
        <w:jc w:val="left"/>
        <w:rPr>
          <w:rFonts w:ascii="仿宋_GB2312" w:hAnsi="宋体" w:eastAsia="仿宋_GB2312"/>
          <w:sz w:val="32"/>
          <w:szCs w:val="32"/>
        </w:rPr>
      </w:pPr>
      <w:r>
        <w:rPr>
          <w:rFonts w:hint="eastAsia" w:ascii="黑体" w:hAnsi="黑体" w:eastAsia="黑体"/>
          <w:sz w:val="32"/>
          <w:szCs w:val="32"/>
        </w:rPr>
        <w:t>一、安全生产随机抽查综合事项</w:t>
      </w:r>
    </w:p>
    <w:p/>
    <w:tbl>
      <w:tblPr>
        <w:tblStyle w:val="6"/>
        <w:tblW w:w="0" w:type="auto"/>
        <w:jc w:val="center"/>
        <w:tblLayout w:type="fixed"/>
        <w:tblCellMar>
          <w:top w:w="15" w:type="dxa"/>
          <w:left w:w="108" w:type="dxa"/>
          <w:bottom w:w="15" w:type="dxa"/>
          <w:right w:w="108" w:type="dxa"/>
        </w:tblCellMar>
      </w:tblPr>
      <w:tblGrid>
        <w:gridCol w:w="1063"/>
        <w:gridCol w:w="1077"/>
        <w:gridCol w:w="2187"/>
        <w:gridCol w:w="4294"/>
        <w:gridCol w:w="2851"/>
        <w:gridCol w:w="2407"/>
      </w:tblGrid>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序号</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抽查对象</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抽查事项</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抽查依据</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抽查主体</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生产经营单位（下同）</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安全生产责任制和安全生产规章制度、操作规程制定、执行和适时修改情况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《安全生产法》第十八条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安全投入及劳动防护用品经费、安全培训经费保障情况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《安全生产法》第十八条、第二十条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3</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安全生产管理机构设置、安全生产管理人员配备情况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《安全生产法》第二十一条</w:t>
            </w:r>
            <w:r>
              <w:rPr>
                <w:rFonts w:ascii="宋体" w:hAnsi="宋体" w:cs="宋体"/>
                <w:color w:val="000000"/>
                <w:kern w:val="0"/>
                <w:szCs w:val="21"/>
              </w:rPr>
              <w:t xml:space="preserve"> </w:t>
            </w:r>
          </w:p>
          <w:p>
            <w:pPr>
              <w:widowControl/>
              <w:adjustRightInd w:val="0"/>
              <w:snapToGrid w:val="0"/>
              <w:spacing w:line="320" w:lineRule="exact"/>
              <w:rPr>
                <w:rFonts w:ascii="宋体" w:hAnsi="宋体" w:cs="宋体"/>
                <w:color w:val="000000"/>
                <w:kern w:val="0"/>
                <w:szCs w:val="21"/>
              </w:rPr>
            </w:pP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4</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从业人员安全生产教育和培训计划、实施及档案管理情况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《安全生产法》第十八条、第二十四条、第二十五条、第二十六条；《生产经营单位安全培训规定》(国家安全监管总局令第3号)、《安全生产培训管理办法》（国家安全监管总局令第44号）</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5</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特种作业人员持证上岗、培训及档案情况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二十七条；《生产经营单位安全培训规定》（国家安全监管总局令第3号）、《特种作业人员安全技术培训考核管理规定》（国家安全监管总局令第30号）《安全生产培训管理办法》（国家安全监管总局令第44号）</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6</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建设项目安全评价及建设项目安全设施“三同时”情况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《安全生产法》第二十八、第二十九条、第三十条、第三十一条；《建设项目安全设施“三同时”监督管理办法》（国家安全监管总局令第36号）</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7</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安全警示标志情况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《安全生产法》第三十二条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8</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安全设备情况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《安全生产法》第三十三条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9</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重大危险源安全管理情况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《安全生产法》第三十七条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10</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事故隐患排查治理情况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《安全生产法》第三十八条；《安全生产事故隐患排查治理暂行规定》（国家安全监管总局令第16号）</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11</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生产经营场所与员工宿舍安全距离及安全出口情况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《安全生产法》第三十九条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12</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危险作业安全管理情况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《安全生产法》第四十条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13</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劳动防护用品管理情况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《安全生产法》第四十二条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14</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生产经营项目、场所、设备发包、出租管理情况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《安全生产法》第四十六条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57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15</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应急预案编制、演练和应急组织人员设置及应急救援器材、设备及物质配备情况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《安全生产法》第十八条、第七十八条、第七十九条</w:t>
            </w:r>
            <w:r>
              <w:rPr>
                <w:rFonts w:hint="eastAsia" w:ascii="Times New Roman" w:hAnsi="Times New Roman"/>
              </w:rPr>
              <w:t>；《生产安全事故应急预案管理办法》（国家安全监管总局令第88号）</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r>
        <w:tblPrEx>
          <w:tblCellMar>
            <w:top w:w="15" w:type="dxa"/>
            <w:left w:w="108" w:type="dxa"/>
            <w:bottom w:w="15" w:type="dxa"/>
            <w:right w:w="108" w:type="dxa"/>
          </w:tblCellMar>
        </w:tblPrEx>
        <w:trPr>
          <w:trHeight w:val="201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16</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rPr>
              <w:t>吸取事故教训，督促并落实</w:t>
            </w:r>
            <w:r>
              <w:rPr>
                <w:rFonts w:hint="eastAsia" w:ascii="宋体" w:hAnsi="宋体" w:cs="宋体"/>
                <w:color w:val="000000"/>
                <w:kern w:val="0"/>
                <w:szCs w:val="21"/>
              </w:rPr>
              <w:t>事故防范整改措施情况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《生产安全事故报告和调查处理条例》（国务院令第493号）第二十六条、第三十三条、第三十五条、 第三十六条</w:t>
            </w:r>
          </w:p>
        </w:tc>
        <w:tc>
          <w:tcPr>
            <w:tcW w:w="2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rPr>
              <w:t>组织事故调查的安全监管部门</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rPr>
              <w:t>一、有关生产经营单位及其相关人员违反本项规定的，针对所涉及的违法行为和事故隐患，依照《安全生产法》等法律法规的规定处理，并按有关规定从重处罚。</w:t>
            </w:r>
          </w:p>
          <w:p>
            <w:pPr>
              <w:widowControl/>
              <w:adjustRightInd w:val="0"/>
              <w:snapToGrid w:val="0"/>
              <w:spacing w:line="320" w:lineRule="exact"/>
              <w:jc w:val="left"/>
              <w:rPr>
                <w:rFonts w:ascii="宋体" w:hAnsi="宋体" w:cs="宋体"/>
                <w:color w:val="000000"/>
                <w:kern w:val="0"/>
                <w:szCs w:val="21"/>
              </w:rPr>
            </w:pPr>
            <w:r>
              <w:rPr>
                <w:rFonts w:hint="eastAsia" w:ascii="宋体" w:hAnsi="宋体" w:cs="宋体"/>
                <w:color w:val="000000"/>
                <w:kern w:val="0"/>
                <w:szCs w:val="21"/>
              </w:rPr>
              <w:t>二、</w:t>
            </w:r>
            <w:r>
              <w:rPr>
                <w:rFonts w:hint="eastAsia"/>
              </w:rPr>
              <w:t>落实</w:t>
            </w:r>
            <w:r>
              <w:rPr>
                <w:rFonts w:hint="eastAsia" w:ascii="宋体" w:hAnsi="宋体" w:cs="宋体"/>
                <w:color w:val="000000"/>
                <w:kern w:val="0"/>
                <w:szCs w:val="21"/>
              </w:rPr>
              <w:t>事故防范整改措施期间，每年检查一般不少于1次。</w:t>
            </w:r>
          </w:p>
        </w:tc>
      </w:tr>
      <w:tr>
        <w:tblPrEx>
          <w:tblCellMar>
            <w:top w:w="15" w:type="dxa"/>
            <w:left w:w="108" w:type="dxa"/>
            <w:bottom w:w="15" w:type="dxa"/>
            <w:right w:w="108" w:type="dxa"/>
          </w:tblCellMar>
        </w:tblPrEx>
        <w:trPr>
          <w:trHeight w:val="201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17</w:t>
            </w:r>
          </w:p>
        </w:tc>
        <w:tc>
          <w:tcPr>
            <w:tcW w:w="1077" w:type="dxa"/>
            <w:tcBorders>
              <w:top w:val="single" w:color="000000" w:sz="4" w:space="0"/>
              <w:left w:val="single" w:color="000000" w:sz="4" w:space="0"/>
              <w:bottom w:val="single" w:color="000000" w:sz="4" w:space="0"/>
              <w:right w:val="single" w:color="000000" w:sz="4" w:space="0"/>
            </w:tcBorders>
            <w:vAlign w:val="center"/>
          </w:tc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pPr>
            <w:r>
              <w:rPr>
                <w:rFonts w:hint="eastAsia"/>
              </w:rPr>
              <w:t>安全评价机构资质条件保持及过程控制、安全生产检测检验机构资质条件保持及质量管理体系执行情况</w:t>
            </w:r>
          </w:p>
        </w:tc>
        <w:tc>
          <w:tcPr>
            <w:tcW w:w="42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Cs w:val="21"/>
              </w:rPr>
            </w:pPr>
            <w:r>
              <w:rPr>
                <w:rFonts w:hint="eastAsia" w:ascii="宋体" w:hAnsi="宋体" w:cs="宋体"/>
                <w:color w:val="000000"/>
                <w:kern w:val="0"/>
                <w:szCs w:val="21"/>
              </w:rPr>
              <w:t>《安全生产法》第六十九条；《安全评价机构管理规定》（国家安全监管总局令第22号）、《安全生产检测检验机构管理规定》（国家安全监管总局令第12号）</w:t>
            </w:r>
          </w:p>
        </w:tc>
        <w:tc>
          <w:tcPr>
            <w:tcW w:w="2851"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20" w:lineRule="exact"/>
              <w:jc w:val="left"/>
              <w:rPr>
                <w:rFonts w:ascii="宋体" w:hAnsi="宋体" w:cs="宋体"/>
                <w:color w:val="000000"/>
                <w:kern w:val="0"/>
                <w:szCs w:val="21"/>
              </w:rPr>
            </w:pPr>
          </w:p>
          <w:p>
            <w:pPr>
              <w:widowControl/>
              <w:adjustRightInd w:val="0"/>
              <w:snapToGrid w:val="0"/>
              <w:spacing w:line="320" w:lineRule="exact"/>
              <w:jc w:val="left"/>
              <w:rPr>
                <w:rFonts w:ascii="宋体" w:hAnsi="宋体" w:cs="宋体"/>
                <w:color w:val="000000"/>
                <w:kern w:val="0"/>
                <w:szCs w:val="21"/>
              </w:rPr>
            </w:pPr>
          </w:p>
          <w:p>
            <w:pPr>
              <w:widowControl/>
              <w:adjustRightInd w:val="0"/>
              <w:snapToGrid w:val="0"/>
              <w:spacing w:line="320" w:lineRule="exact"/>
              <w:jc w:val="left"/>
              <w:rPr>
                <w:rFonts w:ascii="宋体" w:hAnsi="宋体" w:cs="宋体"/>
                <w:color w:val="000000"/>
                <w:kern w:val="0"/>
                <w:szCs w:val="21"/>
              </w:rPr>
            </w:pPr>
          </w:p>
          <w:p>
            <w:pPr>
              <w:widowControl/>
              <w:adjustRightInd w:val="0"/>
              <w:snapToGrid w:val="0"/>
              <w:spacing w:line="320" w:lineRule="exact"/>
              <w:ind w:firstLine="630" w:firstLineChars="300"/>
              <w:jc w:val="lef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left"/>
              <w:rPr>
                <w:rFonts w:ascii="宋体" w:hAnsi="宋体" w:cs="宋体"/>
                <w:color w:val="000000"/>
                <w:kern w:val="0"/>
                <w:szCs w:val="21"/>
              </w:rPr>
            </w:pPr>
          </w:p>
        </w:tc>
      </w:tr>
    </w:tbl>
    <w:p>
      <w:pPr>
        <w:spacing w:line="520" w:lineRule="exact"/>
        <w:rPr>
          <w:rFonts w:ascii="仿宋_GB2312" w:eastAsia="仿宋_GB2312"/>
          <w:sz w:val="32"/>
          <w:szCs w:val="32"/>
        </w:rPr>
      </w:pPr>
    </w:p>
    <w:p>
      <w:pPr>
        <w:spacing w:line="520" w:lineRule="exact"/>
        <w:rPr>
          <w:rFonts w:ascii="仿宋_GB2312" w:eastAsia="仿宋_GB2312"/>
          <w:sz w:val="32"/>
          <w:szCs w:val="32"/>
        </w:rPr>
      </w:pPr>
    </w:p>
    <w:p>
      <w:pPr>
        <w:pageBreakBefore/>
        <w:spacing w:line="520" w:lineRule="exact"/>
        <w:rPr>
          <w:rFonts w:ascii="仿宋_GB2312" w:eastAsia="仿宋_GB2312"/>
          <w:sz w:val="32"/>
          <w:szCs w:val="32"/>
        </w:rPr>
      </w:pPr>
    </w:p>
    <w:p>
      <w:pPr>
        <w:spacing w:line="520" w:lineRule="exact"/>
        <w:rPr>
          <w:rFonts w:ascii="黑体" w:hAnsi="黑体" w:eastAsia="黑体"/>
          <w:sz w:val="32"/>
          <w:szCs w:val="32"/>
        </w:rPr>
      </w:pPr>
      <w:r>
        <w:rPr>
          <w:rFonts w:hint="eastAsia" w:ascii="黑体" w:hAnsi="黑体" w:eastAsia="黑体"/>
          <w:sz w:val="32"/>
          <w:szCs w:val="32"/>
        </w:rPr>
        <w:t>二、职业卫生随机抽查综合事项</w:t>
      </w:r>
    </w:p>
    <w:p>
      <w:pPr>
        <w:spacing w:line="520" w:lineRule="exact"/>
        <w:rPr>
          <w:rFonts w:ascii="黑体" w:hAnsi="黑体" w:eastAsia="黑体"/>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774"/>
        <w:gridCol w:w="1985"/>
        <w:gridCol w:w="3006"/>
        <w:gridCol w:w="3581"/>
        <w:gridCol w:w="229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5" w:hRule="atLeast"/>
          <w:jc w:val="center"/>
        </w:trPr>
        <w:tc>
          <w:tcPr>
            <w:tcW w:w="774"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序号</w:t>
            </w:r>
          </w:p>
        </w:tc>
        <w:tc>
          <w:tcPr>
            <w:tcW w:w="1985"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抽查对象</w:t>
            </w:r>
          </w:p>
        </w:tc>
        <w:tc>
          <w:tcPr>
            <w:tcW w:w="3006"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抽查事项</w:t>
            </w:r>
          </w:p>
        </w:tc>
        <w:tc>
          <w:tcPr>
            <w:tcW w:w="3581"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检查依据</w:t>
            </w:r>
          </w:p>
        </w:tc>
        <w:tc>
          <w:tcPr>
            <w:tcW w:w="2290"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抽查主体</w:t>
            </w:r>
          </w:p>
        </w:tc>
        <w:tc>
          <w:tcPr>
            <w:tcW w:w="2243"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w:t>
            </w:r>
          </w:p>
        </w:tc>
        <w:tc>
          <w:tcPr>
            <w:tcW w:w="1985"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用人单位（下同）</w:t>
            </w:r>
          </w:p>
        </w:tc>
        <w:tc>
          <w:tcPr>
            <w:tcW w:w="3006"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产生职业病危害的用人单位工作场所职业卫生设立条件符合情况</w:t>
            </w:r>
          </w:p>
        </w:tc>
        <w:tc>
          <w:tcPr>
            <w:tcW w:w="3581" w:type="dxa"/>
            <w:vAlign w:val="center"/>
          </w:tcPr>
          <w:p>
            <w:pPr>
              <w:rPr>
                <w:rFonts w:ascii="宋体" w:hAnsi="宋体" w:cs="宋体"/>
                <w:kern w:val="0"/>
                <w:szCs w:val="21"/>
              </w:rPr>
            </w:pPr>
            <w:r>
              <w:rPr>
                <w:rFonts w:hint="eastAsia" w:ascii="宋体" w:hAnsi="宋体" w:cs="宋体"/>
                <w:kern w:val="0"/>
                <w:szCs w:val="21"/>
              </w:rPr>
              <w:t>《职业病防治法》第十五条；《工作场所职业卫生监督管理规定》（国家安全监管总局令第47号）</w:t>
            </w:r>
          </w:p>
        </w:tc>
        <w:tc>
          <w:tcPr>
            <w:tcW w:w="2290"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职业病危害项目申报情况</w:t>
            </w:r>
          </w:p>
        </w:tc>
        <w:tc>
          <w:tcPr>
            <w:tcW w:w="3581" w:type="dxa"/>
            <w:vAlign w:val="center"/>
          </w:tcPr>
          <w:p>
            <w:pPr>
              <w:widowControl/>
              <w:adjustRightInd w:val="0"/>
              <w:snapToGrid w:val="0"/>
              <w:spacing w:line="320" w:lineRule="exact"/>
              <w:rPr>
                <w:rFonts w:ascii="宋体" w:hAnsi="宋体" w:cs="宋体"/>
                <w:color w:val="333333"/>
                <w:kern w:val="0"/>
                <w:szCs w:val="21"/>
              </w:rPr>
            </w:pPr>
            <w:r>
              <w:rPr>
                <w:rFonts w:hint="eastAsia" w:ascii="宋体" w:hAnsi="宋体" w:cs="宋体"/>
                <w:color w:val="333333"/>
                <w:kern w:val="0"/>
                <w:szCs w:val="21"/>
              </w:rPr>
              <w:t>《职业病防治法》第十六条；《职业病危害项目申报办法》（国家安全监管总局令第48号）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职业病防治管理措施情况</w:t>
            </w:r>
          </w:p>
        </w:tc>
        <w:tc>
          <w:tcPr>
            <w:tcW w:w="3581" w:type="dxa"/>
            <w:vAlign w:val="center"/>
          </w:tcPr>
          <w:p>
            <w:pPr>
              <w:widowControl/>
              <w:adjustRightInd w:val="0"/>
              <w:snapToGrid w:val="0"/>
              <w:spacing w:line="320" w:lineRule="exact"/>
              <w:rPr>
                <w:rFonts w:ascii="宋体" w:hAnsi="宋体" w:cs="宋体"/>
                <w:color w:val="333333"/>
                <w:kern w:val="0"/>
                <w:szCs w:val="21"/>
              </w:rPr>
            </w:pPr>
            <w:r>
              <w:rPr>
                <w:rFonts w:hint="eastAsia" w:ascii="宋体" w:hAnsi="宋体" w:cs="宋体"/>
                <w:color w:val="333333"/>
                <w:kern w:val="0"/>
                <w:szCs w:val="21"/>
              </w:rPr>
              <w:t>《职业病防治法》第二十条；</w:t>
            </w:r>
            <w:r>
              <w:rPr>
                <w:rFonts w:hint="eastAsia" w:ascii="宋体" w:hAnsi="宋体" w:cs="宋体"/>
                <w:color w:val="000000"/>
                <w:kern w:val="0"/>
                <w:szCs w:val="21"/>
              </w:rPr>
              <w:t>《工作场所职业卫生监督管理规定》（国家安全监管总局令第47号）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职业病防护设施设置运行与个人防护用品配备情况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《职业病防治法》第二十二条；《工作场所职业卫生监督管理规定》（国家安全监管总局令第47号）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产生职业病危害的用人单位职业病危害和职业病防治事项警示说明情况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《职业病防治法》第二十四条；《工作场所职业卫生监督管理规定》（国家安全监管总局令第47号）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可能发生急性职业损伤工作场所应急设施设置或者配备情况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《职业病防治法》第二十五条；《工作场所职业卫生监督管理规定》（国家安全监管总局令第47号）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职业病危害因素日常监测与定期检测情况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《职业病防治法》第二十六条；《工作场所职业卫生监督管理规定》（国家安全监管总局令第47号）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职业卫生培训情况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《职业病防治法》第三十四条；《工作场所职业卫生监督管理规定》（国家安全监管总局令第47号）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劳动者职业健康检查情况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《职业病防治法》第三十五条；</w:t>
            </w:r>
            <w:r>
              <w:rPr>
                <w:rFonts w:hint="eastAsia" w:ascii="Times New Roman" w:hAnsi="Times New Roman"/>
              </w:rPr>
              <w:t>《用人单位职业健康监护监督管理办法》（国家安全监管总局令第49号）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职业健康监护档案情况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《职业病防治法》第三十六条；</w:t>
            </w:r>
            <w:r>
              <w:rPr>
                <w:rFonts w:hint="eastAsia" w:ascii="Times New Roman" w:hAnsi="Times New Roman"/>
              </w:rPr>
              <w:t>《用人单位职业健康监护监督管理办法》（国家安全监管总局令第49号）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建设项目职业病危害预评价、职业病危害防护设施设计、建设项目控制效果评价及职业病防护设施竣工验收情况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《职业病防治法》第十七条、第十八条；《建设项目职业卫生“三同时”监督管理暂行办法》（国家安全监管总局令第51号）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43"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40" w:hRule="atLeast"/>
          <w:jc w:val="center"/>
        </w:trPr>
        <w:tc>
          <w:tcPr>
            <w:tcW w:w="774"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1985" w:type="dxa"/>
            <w:vAlign w:val="center"/>
          </w:tcPr>
          <w:p/>
        </w:tc>
        <w:tc>
          <w:tcPr>
            <w:tcW w:w="3006"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职业卫生技术服务机构资质条件保持及技术服务规范性和客观真实性情况</w:t>
            </w:r>
          </w:p>
        </w:tc>
        <w:tc>
          <w:tcPr>
            <w:tcW w:w="3581"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《职业病防治法》第二十六条；《职业卫生技术服务机构监督管理暂行办法》（国家安全监管总局令第50号）</w:t>
            </w:r>
          </w:p>
        </w:tc>
        <w:tc>
          <w:tcPr>
            <w:tcW w:w="2290"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r>
              <w:rPr>
                <w:rFonts w:hint="eastAsia" w:ascii="宋体" w:hAnsi="宋体" w:cs="宋体"/>
                <w:color w:val="000000"/>
                <w:kern w:val="0"/>
                <w:szCs w:val="21"/>
              </w:rPr>
              <w:t>、许可审批部门</w:t>
            </w:r>
          </w:p>
        </w:tc>
        <w:tc>
          <w:tcPr>
            <w:tcW w:w="2243"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每5年覆盖1次。</w:t>
            </w:r>
          </w:p>
        </w:tc>
      </w:tr>
    </w:tbl>
    <w:p>
      <w:pPr>
        <w:pageBreakBefore/>
        <w:spacing w:line="520" w:lineRule="exact"/>
        <w:rPr>
          <w:rFonts w:ascii="仿宋_GB2312" w:eastAsia="仿宋_GB2312"/>
          <w:sz w:val="32"/>
          <w:szCs w:val="32"/>
        </w:rPr>
      </w:pPr>
    </w:p>
    <w:p>
      <w:pPr>
        <w:spacing w:line="520" w:lineRule="exact"/>
        <w:rPr>
          <w:rFonts w:ascii="黑体" w:hAnsi="黑体" w:eastAsia="黑体"/>
          <w:sz w:val="32"/>
          <w:szCs w:val="32"/>
        </w:rPr>
      </w:pPr>
      <w:r>
        <w:rPr>
          <w:rFonts w:hint="eastAsia" w:ascii="黑体" w:hAnsi="黑体" w:eastAsia="黑体"/>
          <w:sz w:val="32"/>
          <w:szCs w:val="32"/>
        </w:rPr>
        <w:t>三、非煤矿山企业随机抽查重点事项</w:t>
      </w:r>
    </w:p>
    <w:p>
      <w:pPr>
        <w:spacing w:line="520" w:lineRule="exact"/>
        <w:rPr>
          <w:rFonts w:ascii="仿宋_GB2312" w:eastAsia="仿宋_GB2312"/>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2"/>
        <w:gridCol w:w="3547"/>
        <w:gridCol w:w="3542"/>
        <w:gridCol w:w="198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序号</w:t>
            </w:r>
          </w:p>
        </w:tc>
        <w:tc>
          <w:tcPr>
            <w:tcW w:w="1702"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抽查对象</w:t>
            </w:r>
          </w:p>
        </w:tc>
        <w:tc>
          <w:tcPr>
            <w:tcW w:w="3547"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抽查事项</w:t>
            </w:r>
          </w:p>
        </w:tc>
        <w:tc>
          <w:tcPr>
            <w:tcW w:w="3542"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检查依据</w:t>
            </w:r>
          </w:p>
        </w:tc>
        <w:tc>
          <w:tcPr>
            <w:tcW w:w="1985"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抽查主体</w:t>
            </w:r>
          </w:p>
        </w:tc>
        <w:tc>
          <w:tcPr>
            <w:tcW w:w="2287"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87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702" w:type="dxa"/>
            <w:vAlign w:val="center"/>
          </w:tcPr>
          <w:p>
            <w:pPr>
              <w:widowControl/>
              <w:adjustRightInd w:val="0"/>
              <w:snapToGrid w:val="0"/>
              <w:spacing w:after="280" w:line="320" w:lineRule="exact"/>
              <w:rPr>
                <w:rFonts w:ascii="宋体" w:hAnsi="宋体" w:cs="宋体"/>
                <w:color w:val="000000"/>
                <w:kern w:val="0"/>
                <w:szCs w:val="21"/>
              </w:rPr>
            </w:pPr>
            <w:r>
              <w:rPr>
                <w:rFonts w:hint="eastAsia" w:ascii="宋体" w:hAnsi="宋体" w:cs="宋体"/>
                <w:color w:val="000000"/>
                <w:kern w:val="0"/>
                <w:szCs w:val="21"/>
              </w:rPr>
              <w:t>非煤矿山（通用）</w:t>
            </w:r>
          </w:p>
        </w:tc>
        <w:tc>
          <w:tcPr>
            <w:tcW w:w="3547" w:type="dxa"/>
            <w:vAlign w:val="center"/>
          </w:tcPr>
          <w:p>
            <w:pPr>
              <w:widowControl/>
              <w:adjustRightInd w:val="0"/>
              <w:snapToGrid w:val="0"/>
              <w:spacing w:line="320" w:lineRule="exact"/>
              <w:rPr>
                <w:rFonts w:ascii="宋体" w:hAnsi="宋体" w:cs="宋体"/>
                <w:color w:val="000000"/>
                <w:kern w:val="0"/>
                <w:szCs w:val="21"/>
              </w:rPr>
            </w:pPr>
          </w:p>
        </w:tc>
        <w:tc>
          <w:tcPr>
            <w:tcW w:w="3542" w:type="dxa"/>
            <w:vAlign w:val="center"/>
          </w:tcPr>
          <w:p>
            <w:pPr>
              <w:widowControl/>
              <w:adjustRightInd w:val="0"/>
              <w:snapToGrid w:val="0"/>
              <w:spacing w:line="320" w:lineRule="exact"/>
              <w:rPr>
                <w:rFonts w:ascii="宋体" w:hAnsi="宋体" w:cs="宋体"/>
                <w:color w:val="000000"/>
                <w:kern w:val="0"/>
                <w:szCs w:val="21"/>
              </w:rPr>
            </w:pPr>
          </w:p>
        </w:tc>
        <w:tc>
          <w:tcPr>
            <w:tcW w:w="1985"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8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大、中型地下矿山、露天矿山以及三等以上尾矿库一年检查一般不少于1次；大、中型地下矿山、露天矿山以及四、五等尾矿库每年检查一般不少于2次。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pPr>
              <w:widowControl/>
              <w:adjustRightInd w:val="0"/>
              <w:snapToGrid w:val="0"/>
              <w:spacing w:after="280" w:line="320" w:lineRule="exact"/>
              <w:rPr>
                <w:rFonts w:ascii="宋体" w:hAnsi="宋体" w:cs="宋体"/>
                <w:color w:val="000000"/>
                <w:kern w:val="0"/>
                <w:szCs w:val="21"/>
              </w:rPr>
            </w:p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1.1  基建改扩建矿山设计审查和预评价报告编制情况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《安全生产法》第二十九条、第三十条</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71"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pPr>
              <w:widowControl/>
              <w:adjustRightInd w:val="0"/>
              <w:snapToGrid w:val="0"/>
              <w:spacing w:line="320" w:lineRule="exact"/>
              <w:rPr>
                <w:rFonts w:ascii="宋体" w:hAnsi="宋体" w:cs="宋体"/>
                <w:color w:val="000000"/>
                <w:kern w:val="0"/>
                <w:szCs w:val="21"/>
              </w:rPr>
            </w:p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1.2  证照齐全情况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《安全生产许可证条例》第二条</w:t>
            </w:r>
          </w:p>
        </w:tc>
        <w:tc>
          <w:tcPr>
            <w:tcW w:w="1985"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r>
              <w:rPr>
                <w:rFonts w:hint="eastAsia" w:ascii="宋体" w:hAnsi="宋体" w:cs="宋体"/>
                <w:color w:val="000000"/>
                <w:kern w:val="0"/>
                <w:szCs w:val="21"/>
              </w:rPr>
              <w:t>、许可审批部门</w:t>
            </w: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1.3  安全管理机构设置、安全生产责任制建立和从业人员培训情况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《安全生产法》第二十一条、第二十五条</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1.4  主要负责人、安全管理人员考核合格和特种作业人员持证上岗情况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《安全生产法》第二十四条、第二十七条</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50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1.5  安全投入情况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《安全生产法》第二十条</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1.6  淘汰危及安全生产工艺、设备情况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《安全生产法》第三十五条</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1.7  图纸真实性情况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《金属非金属矿山安全规程》（GB16423-2006）第4章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1.8  应急救援队伍建立、应急演练和应急装备、物资配备情况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《安全生产法》第七十八条</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50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70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地下矿山</w:t>
            </w:r>
          </w:p>
        </w:tc>
        <w:tc>
          <w:tcPr>
            <w:tcW w:w="3547" w:type="dxa"/>
            <w:vAlign w:val="center"/>
          </w:tcPr>
          <w:p>
            <w:pPr>
              <w:widowControl/>
              <w:adjustRightInd w:val="0"/>
              <w:snapToGrid w:val="0"/>
              <w:spacing w:line="320" w:lineRule="exact"/>
              <w:rPr>
                <w:rFonts w:ascii="宋体" w:hAnsi="宋体" w:cs="宋体"/>
                <w:color w:val="000000"/>
                <w:kern w:val="0"/>
                <w:szCs w:val="21"/>
              </w:rPr>
            </w:pPr>
          </w:p>
        </w:tc>
        <w:tc>
          <w:tcPr>
            <w:tcW w:w="3542" w:type="dxa"/>
            <w:vAlign w:val="center"/>
          </w:tcPr>
          <w:p>
            <w:pPr>
              <w:widowControl/>
              <w:adjustRightInd w:val="0"/>
              <w:snapToGrid w:val="0"/>
              <w:spacing w:line="320" w:lineRule="exact"/>
              <w:rPr>
                <w:rFonts w:ascii="宋体" w:hAnsi="宋体" w:cs="宋体"/>
                <w:color w:val="000000"/>
                <w:kern w:val="0"/>
                <w:szCs w:val="21"/>
              </w:rPr>
            </w:pPr>
          </w:p>
        </w:tc>
        <w:tc>
          <w:tcPr>
            <w:tcW w:w="1985"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50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pPr>
              <w:widowControl/>
              <w:adjustRightInd w:val="0"/>
              <w:snapToGrid w:val="0"/>
              <w:spacing w:line="320" w:lineRule="exact"/>
              <w:rPr>
                <w:rFonts w:ascii="宋体" w:hAnsi="宋体" w:cs="宋体"/>
                <w:color w:val="000000"/>
                <w:kern w:val="0"/>
                <w:szCs w:val="21"/>
              </w:rPr>
            </w:p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2.1  矿领导下井带班情况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《金属非金属地下矿山企业领导带班下井及监督检查暂行规定》（国家安全监管总局令第34号）</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2"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2.2  安全出口情况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《矿山安全法》第十条；《金属非金属矿山安全规程》（GB16423-2006）第6章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Merge w:val="restart"/>
            <w:vAlign w:val="center"/>
          </w:tcPr>
          <w:p>
            <w:pPr>
              <w:widowControl/>
              <w:adjustRightInd w:val="0"/>
              <w:snapToGrid w:val="0"/>
              <w:spacing w:line="320" w:lineRule="exact"/>
              <w:jc w:val="center"/>
              <w:rPr>
                <w:rFonts w:ascii="宋体" w:hAnsi="宋体" w:cs="宋体"/>
                <w:color w:val="000000"/>
                <w:kern w:val="0"/>
                <w:szCs w:val="21"/>
              </w:rPr>
            </w:pPr>
          </w:p>
        </w:tc>
        <w:tc>
          <w:tcPr>
            <w:tcW w:w="1702" w:type="dxa"/>
            <w:vMerge w:val="restart"/>
            <w:vAlign w:val="center"/>
          </w:tcPr>
          <w:p/>
        </w:tc>
        <w:tc>
          <w:tcPr>
            <w:tcW w:w="3547" w:type="dxa"/>
            <w:vMerge w:val="restart"/>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2.3  主通风机运行监控情况</w:t>
            </w:r>
          </w:p>
        </w:tc>
        <w:tc>
          <w:tcPr>
            <w:tcW w:w="3542" w:type="dxa"/>
            <w:vMerge w:val="restart"/>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《金属非金属矿山安全规程》（GB16423-2006）第6章；《金属非金属地下矿山通风技术规范》（AQ2013-2008）第6章</w:t>
            </w:r>
          </w:p>
        </w:tc>
        <w:tc>
          <w:tcPr>
            <w:tcW w:w="1985" w:type="dxa"/>
            <w:vMerge w:val="restart"/>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Merge w:val="continue"/>
            <w:vAlign w:val="center"/>
          </w:tcPr>
          <w:p>
            <w:pPr>
              <w:widowControl/>
              <w:adjustRightInd w:val="0"/>
              <w:snapToGrid w:val="0"/>
              <w:spacing w:line="320" w:lineRule="exact"/>
              <w:jc w:val="center"/>
              <w:rPr>
                <w:rFonts w:ascii="宋体" w:hAnsi="宋体" w:cs="宋体"/>
                <w:color w:val="000000"/>
                <w:kern w:val="0"/>
                <w:szCs w:val="21"/>
              </w:rPr>
            </w:pPr>
          </w:p>
        </w:tc>
        <w:tc>
          <w:tcPr>
            <w:tcW w:w="1702" w:type="dxa"/>
            <w:vMerge w:val="continue"/>
            <w:vAlign w:val="center"/>
          </w:tcPr>
          <w:p>
            <w:pPr>
              <w:widowControl/>
              <w:adjustRightInd w:val="0"/>
              <w:snapToGrid w:val="0"/>
              <w:spacing w:line="320" w:lineRule="exact"/>
              <w:rPr>
                <w:rFonts w:ascii="宋体" w:hAnsi="宋体" w:cs="宋体"/>
                <w:color w:val="000000"/>
                <w:kern w:val="0"/>
                <w:szCs w:val="21"/>
              </w:rPr>
            </w:pPr>
          </w:p>
        </w:tc>
        <w:tc>
          <w:tcPr>
            <w:tcW w:w="3547" w:type="dxa"/>
            <w:vMerge w:val="continue"/>
            <w:vAlign w:val="center"/>
          </w:tcPr>
          <w:p>
            <w:pPr>
              <w:widowControl/>
              <w:adjustRightInd w:val="0"/>
              <w:snapToGrid w:val="0"/>
              <w:spacing w:line="320" w:lineRule="exact"/>
              <w:rPr>
                <w:rFonts w:ascii="宋体" w:hAnsi="宋体" w:cs="宋体"/>
                <w:color w:val="000000"/>
                <w:kern w:val="0"/>
                <w:szCs w:val="21"/>
              </w:rPr>
            </w:pPr>
          </w:p>
        </w:tc>
        <w:tc>
          <w:tcPr>
            <w:tcW w:w="3542" w:type="dxa"/>
            <w:vMerge w:val="continue"/>
            <w:vAlign w:val="center"/>
          </w:tcPr>
          <w:p>
            <w:pPr>
              <w:widowControl/>
              <w:adjustRightInd w:val="0"/>
              <w:snapToGrid w:val="0"/>
              <w:spacing w:line="320" w:lineRule="exact"/>
              <w:rPr>
                <w:rFonts w:ascii="宋体" w:hAnsi="宋体" w:cs="宋体"/>
                <w:color w:val="000000"/>
                <w:kern w:val="0"/>
                <w:szCs w:val="21"/>
              </w:rPr>
            </w:pPr>
          </w:p>
        </w:tc>
        <w:tc>
          <w:tcPr>
            <w:tcW w:w="1985" w:type="dxa"/>
            <w:vMerge w:val="continue"/>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29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2.4  自救器和便携式气体检测仪配备情况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《金属非金属地下矿山紧急避险系统建设规范》（AQ2033-2011）第4章；《金属非金属地下矿山监测监控系统建设规范》（AQ2031-2011）第5章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2.5  井下人员定位系统运行情况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《金属非金属地下矿山人员定位系统建设规范》（AQ2032-2011）第4章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2.6  顶板监测管控和采空区普查、治理、监测情况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《金属非金属矿山安全规程》（GB16423-2006）第6章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2.7  探放水制度落实、水害隐患治理情况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《金属非金属矿山安全规程》（GB16423-2006）第6章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2.8  提升设备定期检测检验情况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《金属非金属矿山安全规程》（GB16423-2006）第6章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702" w:type="dxa"/>
            <w:vAlign w:val="center"/>
          </w:tcPr>
          <w:p>
            <w:pPr>
              <w:rPr>
                <w:rFonts w:ascii="宋体" w:hAnsi="宋体" w:cs="宋体"/>
                <w:color w:val="000000"/>
                <w:kern w:val="0"/>
                <w:szCs w:val="21"/>
              </w:rPr>
            </w:pPr>
            <w:r>
              <w:rPr>
                <w:rFonts w:hint="eastAsia" w:ascii="宋体" w:hAnsi="宋体" w:cs="宋体"/>
                <w:color w:val="000000"/>
                <w:kern w:val="0"/>
                <w:szCs w:val="21"/>
              </w:rPr>
              <w:t>露天矿山</w:t>
            </w:r>
          </w:p>
        </w:tc>
        <w:tc>
          <w:tcPr>
            <w:tcW w:w="3547" w:type="dxa"/>
            <w:vAlign w:val="center"/>
          </w:tcPr>
          <w:p>
            <w:pPr>
              <w:widowControl/>
              <w:adjustRightInd w:val="0"/>
              <w:snapToGrid w:val="0"/>
              <w:spacing w:line="320" w:lineRule="exact"/>
              <w:rPr>
                <w:rFonts w:ascii="宋体" w:hAnsi="宋体" w:cs="宋体"/>
                <w:color w:val="000000"/>
                <w:kern w:val="0"/>
                <w:szCs w:val="21"/>
              </w:rPr>
            </w:pPr>
          </w:p>
        </w:tc>
        <w:tc>
          <w:tcPr>
            <w:tcW w:w="3542" w:type="dxa"/>
            <w:vAlign w:val="center"/>
          </w:tcPr>
          <w:p>
            <w:pPr>
              <w:widowControl/>
              <w:adjustRightInd w:val="0"/>
              <w:snapToGrid w:val="0"/>
              <w:spacing w:line="320" w:lineRule="exact"/>
              <w:rPr>
                <w:rFonts w:ascii="宋体" w:hAnsi="宋体" w:cs="宋体"/>
                <w:color w:val="000000"/>
                <w:kern w:val="0"/>
                <w:szCs w:val="21"/>
              </w:rPr>
            </w:pPr>
          </w:p>
        </w:tc>
        <w:tc>
          <w:tcPr>
            <w:tcW w:w="1985"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pPr>
              <w:rPr>
                <w:rFonts w:ascii="宋体" w:hAnsi="宋体" w:cs="宋体"/>
                <w:color w:val="000000"/>
                <w:kern w:val="0"/>
                <w:szCs w:val="21"/>
              </w:rPr>
            </w:p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3.1  爆破安全距离</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《小型露天采石场安全管理与监督检查规定》（国家安全监管总局令第39号）；《爆破安全规程》（GB6722-2014）第13章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1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3.2  按设计参数分层分台阶开采情况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小型露天采石场安全管理与监督检查规定》（国家安全监管总局令第39号）；《金属非金属矿山安全规程》（GB16423-2006）第5章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3.3  中深孔爆破作业落实情况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《小型露天采石场安全管理与监督检查规定》（国家安全监管总局令第39号）</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3.4  机械二次破碎和铲装作业情况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《小型露天采石场安全管理与监督检查规定》（国家安全监管总局令第39号）</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3.5  按设计控制边坡参数和安全检查情况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《金属非金属矿山安全规程》（GB16423-2006）第5章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pPr>
              <w:rPr>
                <w:rFonts w:ascii="宋体" w:hAnsi="宋体" w:cs="宋体"/>
                <w:color w:val="000000"/>
                <w:kern w:val="0"/>
                <w:szCs w:val="21"/>
              </w:rPr>
            </w:p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3.6  按设计控制排土场堆置参数和安全检查情况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《金属非金属矿山安全规程》（GB16423-2006）第5章；《金属非金属矿山排土场安全生产规则》（AQ2005-2005）第4章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702" w:type="dxa"/>
            <w:vAlign w:val="center"/>
          </w:tcPr>
          <w:p>
            <w:pPr>
              <w:rPr>
                <w:rFonts w:ascii="宋体" w:hAnsi="宋体" w:cs="宋体"/>
                <w:color w:val="000000"/>
                <w:kern w:val="0"/>
                <w:szCs w:val="21"/>
              </w:rPr>
            </w:pPr>
            <w:r>
              <w:rPr>
                <w:rFonts w:hint="eastAsia" w:ascii="宋体" w:hAnsi="宋体" w:cs="宋体"/>
                <w:color w:val="000000"/>
                <w:kern w:val="0"/>
                <w:szCs w:val="21"/>
              </w:rPr>
              <w:t>尾矿库</w:t>
            </w:r>
          </w:p>
        </w:tc>
        <w:tc>
          <w:tcPr>
            <w:tcW w:w="3547" w:type="dxa"/>
            <w:vAlign w:val="center"/>
          </w:tcPr>
          <w:p>
            <w:pPr>
              <w:widowControl/>
              <w:adjustRightInd w:val="0"/>
              <w:snapToGrid w:val="0"/>
              <w:spacing w:line="320" w:lineRule="exact"/>
              <w:rPr>
                <w:rFonts w:ascii="宋体" w:hAnsi="宋体" w:cs="宋体"/>
                <w:color w:val="000000"/>
                <w:kern w:val="0"/>
                <w:szCs w:val="21"/>
              </w:rPr>
            </w:pPr>
          </w:p>
        </w:tc>
        <w:tc>
          <w:tcPr>
            <w:tcW w:w="3542" w:type="dxa"/>
            <w:vAlign w:val="center"/>
          </w:tcPr>
          <w:p>
            <w:pPr>
              <w:widowControl/>
              <w:adjustRightInd w:val="0"/>
              <w:snapToGrid w:val="0"/>
              <w:spacing w:line="320" w:lineRule="exact"/>
              <w:rPr>
                <w:rFonts w:ascii="宋体" w:hAnsi="宋体" w:cs="宋体"/>
                <w:color w:val="000000"/>
                <w:kern w:val="0"/>
                <w:szCs w:val="21"/>
              </w:rPr>
            </w:pPr>
          </w:p>
        </w:tc>
        <w:tc>
          <w:tcPr>
            <w:tcW w:w="1985"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pPr>
              <w:widowControl/>
              <w:adjustRightInd w:val="0"/>
              <w:snapToGrid w:val="0"/>
              <w:spacing w:line="320" w:lineRule="exact"/>
              <w:rPr>
                <w:rFonts w:ascii="宋体" w:hAnsi="宋体" w:cs="宋体"/>
                <w:color w:val="000000"/>
                <w:kern w:val="0"/>
                <w:szCs w:val="21"/>
              </w:rPr>
            </w:p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  勘察、设计、施工、监理、安全评价等中介机构资质情况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《尾矿库安全监督管理规定》（国家安全监管总局令第38号）</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4.2  安全现状评价、全面勘察及稳定性专项评价完成情况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《尾矿库安全监督管理规定》（国家安全监管总局令第38号）；《尾矿设施设计规范》（GB50863-2013）第4章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4.3  尾矿库试运行情况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《尾矿库安全监督管理规定》（国家安全监管总局令第38号）</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4.4  按照设计放矿、筑坝情况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《尾矿库安全技术规程》（AQ2006-2005）第6章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50"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4.5  排洪、排渗设施情况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《尾矿库安全技术规程》（AQ2006-2005）第7章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1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4.6  尾矿库在线监测系统运行情况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《尾矿库安全监督管理规定》（国家安全监管总局令第38号）；《尾矿库安全监测技术规范》（AQ2030-2010）第4章</w:t>
            </w:r>
          </w:p>
          <w:p>
            <w:pPr>
              <w:adjustRightInd w:val="0"/>
              <w:snapToGrid w:val="0"/>
              <w:spacing w:line="320" w:lineRule="exact"/>
              <w:rPr>
                <w:rFonts w:ascii="宋体" w:hAnsi="宋体" w:cs="宋体"/>
                <w:color w:val="000000"/>
                <w:kern w:val="0"/>
                <w:szCs w:val="21"/>
              </w:rPr>
            </w:pP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1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pPr>
              <w:rPr>
                <w:rFonts w:ascii="宋体" w:hAnsi="宋体" w:cs="宋体"/>
                <w:color w:val="000000"/>
                <w:kern w:val="0"/>
                <w:szCs w:val="21"/>
              </w:rPr>
            </w:p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4.7  危、险库停产整改、病库限期整改情况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《尾矿库安全监督管理规定》（国家安全监管总局令第38号）；《尾矿库安全技术规程》（AQ2006-2005）第8章</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25" w:hRule="atLeast"/>
          <w:jc w:val="center"/>
        </w:trPr>
        <w:tc>
          <w:tcPr>
            <w:tcW w:w="816" w:type="dxa"/>
            <w:vAlign w:val="center"/>
          </w:tcPr>
          <w:p>
            <w:pPr>
              <w:widowControl/>
              <w:adjustRightInd w:val="0"/>
              <w:snapToGrid w:val="0"/>
              <w:spacing w:line="320" w:lineRule="exact"/>
              <w:jc w:val="center"/>
              <w:rPr>
                <w:rFonts w:ascii="宋体" w:hAnsi="宋体" w:cs="宋体"/>
                <w:color w:val="000000"/>
                <w:kern w:val="0"/>
                <w:szCs w:val="21"/>
              </w:rPr>
            </w:pPr>
          </w:p>
        </w:tc>
        <w:tc>
          <w:tcPr>
            <w:tcW w:w="1702" w:type="dxa"/>
            <w:vAlign w:val="center"/>
          </w:tcPr>
          <w:p/>
        </w:tc>
        <w:tc>
          <w:tcPr>
            <w:tcW w:w="35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4.8  应急预案备案情况</w:t>
            </w:r>
          </w:p>
        </w:tc>
        <w:tc>
          <w:tcPr>
            <w:tcW w:w="35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《尾矿库安全监督管理规定》（国家安全监管总局令第38号）</w:t>
            </w:r>
          </w:p>
        </w:tc>
        <w:tc>
          <w:tcPr>
            <w:tcW w:w="1985" w:type="dxa"/>
            <w:vAlign w:val="center"/>
          </w:tcPr>
          <w:p>
            <w:pPr>
              <w:widowControl/>
              <w:adjustRightInd w:val="0"/>
              <w:snapToGrid w:val="0"/>
              <w:spacing w:line="320" w:lineRule="exact"/>
              <w:rPr>
                <w:rFonts w:ascii="宋体" w:hAnsi="宋体" w:cs="宋体"/>
                <w:color w:val="000000"/>
                <w:kern w:val="0"/>
                <w:szCs w:val="21"/>
              </w:rPr>
            </w:pPr>
          </w:p>
        </w:tc>
        <w:tc>
          <w:tcPr>
            <w:tcW w:w="2287" w:type="dxa"/>
            <w:vAlign w:val="center"/>
          </w:tcPr>
          <w:p>
            <w:pPr>
              <w:widowControl/>
              <w:adjustRightInd w:val="0"/>
              <w:snapToGrid w:val="0"/>
              <w:spacing w:line="320" w:lineRule="exact"/>
              <w:rPr>
                <w:rFonts w:ascii="宋体" w:hAnsi="宋体" w:cs="宋体"/>
                <w:color w:val="000000"/>
                <w:kern w:val="0"/>
                <w:szCs w:val="21"/>
              </w:rPr>
            </w:pPr>
          </w:p>
        </w:tc>
      </w:tr>
    </w:tbl>
    <w:p>
      <w:pPr>
        <w:pageBreakBefore/>
        <w:spacing w:line="520" w:lineRule="exact"/>
        <w:rPr>
          <w:rFonts w:ascii="仿宋_GB2312" w:eastAsia="仿宋_GB2312"/>
          <w:sz w:val="32"/>
          <w:szCs w:val="32"/>
        </w:rPr>
      </w:pPr>
    </w:p>
    <w:p>
      <w:pPr>
        <w:spacing w:line="520" w:lineRule="exact"/>
        <w:rPr>
          <w:rFonts w:ascii="黑体" w:hAnsi="黑体" w:eastAsia="黑体"/>
          <w:sz w:val="32"/>
          <w:szCs w:val="32"/>
        </w:rPr>
      </w:pPr>
      <w:r>
        <w:rPr>
          <w:rFonts w:hint="eastAsia" w:ascii="黑体" w:hAnsi="黑体" w:eastAsia="黑体"/>
          <w:sz w:val="32"/>
          <w:szCs w:val="32"/>
        </w:rPr>
        <w:t>四、危险化学品及相关企业随机抽查重点事项</w:t>
      </w:r>
    </w:p>
    <w:p>
      <w:pPr>
        <w:spacing w:line="520" w:lineRule="exact"/>
        <w:rPr>
          <w:rFonts w:ascii="黑体" w:hAnsi="黑体" w:eastAsia="黑体"/>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799"/>
        <w:gridCol w:w="1624"/>
        <w:gridCol w:w="2742"/>
        <w:gridCol w:w="4847"/>
        <w:gridCol w:w="246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0" w:hRule="atLeast"/>
          <w:jc w:val="center"/>
        </w:trPr>
        <w:tc>
          <w:tcPr>
            <w:tcW w:w="799"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序号</w:t>
            </w:r>
          </w:p>
        </w:tc>
        <w:tc>
          <w:tcPr>
            <w:tcW w:w="1624"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抽查对象</w:t>
            </w:r>
          </w:p>
        </w:tc>
        <w:tc>
          <w:tcPr>
            <w:tcW w:w="2742"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抽查事项</w:t>
            </w:r>
          </w:p>
        </w:tc>
        <w:tc>
          <w:tcPr>
            <w:tcW w:w="4847"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检查依据</w:t>
            </w:r>
          </w:p>
        </w:tc>
        <w:tc>
          <w:tcPr>
            <w:tcW w:w="2462"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抽查主体</w:t>
            </w:r>
          </w:p>
        </w:tc>
        <w:tc>
          <w:tcPr>
            <w:tcW w:w="1405" w:type="dxa"/>
            <w:vAlign w:val="center"/>
          </w:tcPr>
          <w:p>
            <w:pPr>
              <w:widowControl/>
              <w:adjustRightInd w:val="0"/>
              <w:snapToGrid w:val="0"/>
              <w:spacing w:line="320" w:lineRule="exact"/>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5" w:hRule="atLeast"/>
          <w:jc w:val="center"/>
        </w:trPr>
        <w:tc>
          <w:tcPr>
            <w:tcW w:w="799"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624"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化工企业和危险化学品生产、经营（带仓储设施）企业</w:t>
            </w:r>
          </w:p>
        </w:tc>
        <w:tc>
          <w:tcPr>
            <w:tcW w:w="2742" w:type="dxa"/>
            <w:vAlign w:val="center"/>
          </w:tcPr>
          <w:p>
            <w:pPr>
              <w:widowControl/>
              <w:adjustRightInd w:val="0"/>
              <w:snapToGrid w:val="0"/>
              <w:spacing w:line="320" w:lineRule="exact"/>
              <w:rPr>
                <w:rFonts w:ascii="宋体" w:hAnsi="宋体" w:cs="宋体"/>
                <w:b/>
                <w:bCs/>
                <w:color w:val="000000"/>
                <w:kern w:val="0"/>
                <w:szCs w:val="21"/>
              </w:rPr>
            </w:pPr>
          </w:p>
        </w:tc>
        <w:tc>
          <w:tcPr>
            <w:tcW w:w="4847" w:type="dxa"/>
            <w:vAlign w:val="center"/>
          </w:tcPr>
          <w:p>
            <w:pPr>
              <w:widowControl/>
              <w:adjustRightInd w:val="0"/>
              <w:snapToGrid w:val="0"/>
              <w:spacing w:line="320" w:lineRule="exact"/>
              <w:rPr>
                <w:rFonts w:ascii="宋体" w:hAnsi="宋体" w:cs="宋体"/>
                <w:b/>
                <w:bCs/>
                <w:color w:val="000000"/>
                <w:kern w:val="0"/>
                <w:szCs w:val="21"/>
              </w:rPr>
            </w:pPr>
          </w:p>
        </w:tc>
        <w:tc>
          <w:tcPr>
            <w:tcW w:w="246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1405" w:type="dxa"/>
            <w:vAlign w:val="center"/>
          </w:tcPr>
          <w:p>
            <w:pPr>
              <w:widowControl/>
              <w:adjustRightInd w:val="0"/>
              <w:snapToGrid w:val="0"/>
              <w:spacing w:line="320" w:lineRule="exact"/>
              <w:rPr>
                <w:rFonts w:ascii="宋体" w:hAnsi="宋体" w:cs="宋体"/>
                <w:b/>
                <w:bCs/>
                <w:color w:val="000000"/>
                <w:kern w:val="0"/>
                <w:szCs w:val="21"/>
              </w:rPr>
            </w:pPr>
            <w:r>
              <w:rPr>
                <w:rFonts w:hint="eastAsia" w:ascii="宋体" w:hAnsi="宋体" w:cs="宋体"/>
                <w:color w:val="000000"/>
                <w:kern w:val="0"/>
                <w:szCs w:val="21"/>
              </w:rPr>
              <w:t>一般每年1次。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295" w:hRule="atLeast"/>
          <w:jc w:val="center"/>
        </w:trPr>
        <w:tc>
          <w:tcPr>
            <w:tcW w:w="799" w:type="dxa"/>
            <w:vAlign w:val="center"/>
          </w:tcPr>
          <w:p>
            <w:pPr>
              <w:widowControl/>
              <w:adjustRightInd w:val="0"/>
              <w:snapToGrid w:val="0"/>
              <w:spacing w:line="320" w:lineRule="exact"/>
              <w:jc w:val="center"/>
              <w:rPr>
                <w:rFonts w:ascii="宋体" w:hAnsi="宋体" w:cs="宋体"/>
                <w:b/>
                <w:bCs/>
                <w:color w:val="000000"/>
                <w:kern w:val="0"/>
                <w:szCs w:val="21"/>
              </w:rPr>
            </w:pPr>
          </w:p>
        </w:tc>
        <w:tc>
          <w:tcPr>
            <w:tcW w:w="1624" w:type="dxa"/>
            <w:vAlign w:val="center"/>
          </w:tcPr>
          <w:p>
            <w:pPr>
              <w:widowControl/>
              <w:adjustRightInd w:val="0"/>
              <w:snapToGrid w:val="0"/>
              <w:spacing w:line="320" w:lineRule="exact"/>
              <w:rPr>
                <w:rFonts w:ascii="宋体" w:hAnsi="宋体" w:cs="宋体"/>
                <w:b/>
                <w:bCs/>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1.1  人员和资质管理情况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《安全生产法》第十九条、第二十一条、第二十四条、第二十五条、第二十七条、第四十六条、第五十四条；《危险化学品安全管理条例》第十四条、第二十九条、第三十三条</w:t>
            </w:r>
          </w:p>
        </w:tc>
        <w:tc>
          <w:tcPr>
            <w:tcW w:w="2462" w:type="dxa"/>
            <w:vAlign w:val="center"/>
          </w:tcPr>
          <w:p>
            <w:pPr>
              <w:widowControl/>
              <w:adjustRightInd w:val="0"/>
              <w:snapToGrid w:val="0"/>
              <w:spacing w:line="320" w:lineRule="exact"/>
              <w:rPr>
                <w:rFonts w:ascii="宋体" w:hAnsi="宋体"/>
                <w:b/>
                <w:bCs/>
                <w:color w:val="000000"/>
                <w:kern w:val="0"/>
                <w:szCs w:val="21"/>
              </w:rPr>
            </w:pPr>
          </w:p>
        </w:tc>
        <w:tc>
          <w:tcPr>
            <w:tcW w:w="1405" w:type="dxa"/>
            <w:vAlign w:val="center"/>
          </w:tcPr>
          <w:p>
            <w:pPr>
              <w:widowControl/>
              <w:adjustRightInd w:val="0"/>
              <w:snapToGrid w:val="0"/>
              <w:spacing w:line="320" w:lineRule="exact"/>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10" w:hRule="atLeast"/>
          <w:jc w:val="center"/>
        </w:trPr>
        <w:tc>
          <w:tcPr>
            <w:tcW w:w="799" w:type="dxa"/>
            <w:vAlign w:val="center"/>
          </w:tcPr>
          <w:p>
            <w:pPr>
              <w:widowControl/>
              <w:adjustRightInd w:val="0"/>
              <w:snapToGrid w:val="0"/>
              <w:spacing w:line="320" w:lineRule="exact"/>
              <w:jc w:val="center"/>
              <w:rPr>
                <w:rFonts w:ascii="宋体" w:hAnsi="宋体" w:cs="宋体"/>
                <w:b/>
                <w:bCs/>
                <w:color w:val="000000"/>
                <w:kern w:val="0"/>
                <w:szCs w:val="21"/>
              </w:rPr>
            </w:pPr>
          </w:p>
        </w:tc>
        <w:tc>
          <w:tcPr>
            <w:tcW w:w="1624" w:type="dxa"/>
            <w:vAlign w:val="center"/>
          </w:tcPr>
          <w:p>
            <w:pPr>
              <w:widowControl/>
              <w:adjustRightInd w:val="0"/>
              <w:snapToGrid w:val="0"/>
              <w:spacing w:line="320" w:lineRule="exact"/>
              <w:rPr>
                <w:rFonts w:ascii="宋体" w:hAnsi="宋体" w:cs="宋体"/>
                <w:b/>
                <w:bCs/>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1.2  工艺管理情况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《安全生产法》第十八条、第三十三条、第三十八条；《危险化学品生产企业安全生产许可证实施办法》（国家安全监管总局令第41号）</w:t>
            </w:r>
          </w:p>
          <w:p>
            <w:pPr>
              <w:widowControl/>
              <w:adjustRightInd w:val="0"/>
              <w:snapToGrid w:val="0"/>
              <w:spacing w:line="320" w:lineRule="exact"/>
              <w:rPr>
                <w:rFonts w:ascii="宋体" w:hAnsi="宋体" w:cs="宋体"/>
                <w:color w:val="000000"/>
                <w:kern w:val="0"/>
                <w:szCs w:val="21"/>
              </w:rPr>
            </w:pPr>
          </w:p>
        </w:tc>
        <w:tc>
          <w:tcPr>
            <w:tcW w:w="2462" w:type="dxa"/>
            <w:vAlign w:val="center"/>
          </w:tcPr>
          <w:p>
            <w:pPr>
              <w:widowControl/>
              <w:adjustRightInd w:val="0"/>
              <w:snapToGrid w:val="0"/>
              <w:spacing w:line="320" w:lineRule="exact"/>
              <w:rPr>
                <w:rFonts w:ascii="宋体" w:hAnsi="宋体"/>
                <w:b/>
                <w:bCs/>
                <w:color w:val="000000"/>
                <w:kern w:val="0"/>
                <w:szCs w:val="21"/>
              </w:rPr>
            </w:pPr>
          </w:p>
        </w:tc>
        <w:tc>
          <w:tcPr>
            <w:tcW w:w="1405" w:type="dxa"/>
            <w:vAlign w:val="center"/>
          </w:tcPr>
          <w:p>
            <w:pPr>
              <w:widowControl/>
              <w:adjustRightInd w:val="0"/>
              <w:snapToGrid w:val="0"/>
              <w:spacing w:line="320" w:lineRule="exact"/>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295" w:hRule="atLeast"/>
          <w:jc w:val="center"/>
        </w:trPr>
        <w:tc>
          <w:tcPr>
            <w:tcW w:w="799" w:type="dxa"/>
            <w:vAlign w:val="center"/>
          </w:tcPr>
          <w:p>
            <w:pPr>
              <w:widowControl/>
              <w:adjustRightInd w:val="0"/>
              <w:snapToGrid w:val="0"/>
              <w:spacing w:line="320" w:lineRule="exact"/>
              <w:jc w:val="center"/>
              <w:rPr>
                <w:rFonts w:ascii="宋体" w:hAnsi="宋体" w:cs="宋体"/>
                <w:b/>
                <w:bCs/>
                <w:color w:val="000000"/>
                <w:kern w:val="0"/>
                <w:szCs w:val="21"/>
              </w:rPr>
            </w:pPr>
          </w:p>
        </w:tc>
        <w:tc>
          <w:tcPr>
            <w:tcW w:w="1624" w:type="dxa"/>
            <w:vAlign w:val="center"/>
          </w:tcPr>
          <w:p>
            <w:pPr>
              <w:widowControl/>
              <w:adjustRightInd w:val="0"/>
              <w:snapToGrid w:val="0"/>
              <w:spacing w:line="320" w:lineRule="exact"/>
              <w:rPr>
                <w:rFonts w:ascii="宋体" w:hAnsi="宋体" w:cs="宋体"/>
                <w:b/>
                <w:bCs/>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1.3  设备设施管理情况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《安全生产法》第三十三条、第三十五条、第三十八条；《危险化学品生产企业安全生产许可证实施办法》（国家安全监管总局令第41号）</w:t>
            </w:r>
          </w:p>
        </w:tc>
        <w:tc>
          <w:tcPr>
            <w:tcW w:w="2462" w:type="dxa"/>
            <w:vAlign w:val="center"/>
          </w:tcPr>
          <w:p>
            <w:pPr>
              <w:widowControl/>
              <w:adjustRightInd w:val="0"/>
              <w:snapToGrid w:val="0"/>
              <w:spacing w:line="320" w:lineRule="exact"/>
              <w:rPr>
                <w:rFonts w:ascii="宋体" w:hAnsi="宋体"/>
                <w:b/>
                <w:bCs/>
                <w:color w:val="000000"/>
                <w:kern w:val="0"/>
                <w:szCs w:val="21"/>
              </w:rPr>
            </w:pPr>
          </w:p>
        </w:tc>
        <w:tc>
          <w:tcPr>
            <w:tcW w:w="1405" w:type="dxa"/>
            <w:vAlign w:val="center"/>
          </w:tcPr>
          <w:p>
            <w:pPr>
              <w:widowControl/>
              <w:adjustRightInd w:val="0"/>
              <w:snapToGrid w:val="0"/>
              <w:spacing w:line="320" w:lineRule="exact"/>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617" w:hRule="atLeast"/>
          <w:jc w:val="center"/>
        </w:trPr>
        <w:tc>
          <w:tcPr>
            <w:tcW w:w="799" w:type="dxa"/>
            <w:vAlign w:val="center"/>
          </w:tcPr>
          <w:p>
            <w:pPr>
              <w:widowControl/>
              <w:adjustRightInd w:val="0"/>
              <w:snapToGrid w:val="0"/>
              <w:spacing w:line="320" w:lineRule="exact"/>
              <w:jc w:val="center"/>
              <w:rPr>
                <w:rFonts w:ascii="宋体" w:hAnsi="宋体" w:cs="宋体"/>
                <w:b/>
                <w:bCs/>
                <w:color w:val="000000"/>
                <w:kern w:val="0"/>
                <w:szCs w:val="21"/>
              </w:rPr>
            </w:pPr>
          </w:p>
        </w:tc>
        <w:tc>
          <w:tcPr>
            <w:tcW w:w="1624" w:type="dxa"/>
            <w:vAlign w:val="center"/>
          </w:tcPr>
          <w:p>
            <w:pPr>
              <w:widowControl/>
              <w:adjustRightInd w:val="0"/>
              <w:snapToGrid w:val="0"/>
              <w:spacing w:line="320" w:lineRule="exact"/>
              <w:rPr>
                <w:rFonts w:ascii="宋体" w:hAnsi="宋体" w:cs="宋体"/>
                <w:b/>
                <w:bCs/>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1.4  危险化学品安全技术说明书、安全标签及储存管理情况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《危险化学品安全管理条例》第十五条、第二十四条</w:t>
            </w:r>
          </w:p>
        </w:tc>
        <w:tc>
          <w:tcPr>
            <w:tcW w:w="2462" w:type="dxa"/>
            <w:vAlign w:val="center"/>
          </w:tcPr>
          <w:p>
            <w:pPr>
              <w:widowControl/>
              <w:adjustRightInd w:val="0"/>
              <w:snapToGrid w:val="0"/>
              <w:spacing w:line="320" w:lineRule="exact"/>
              <w:rPr>
                <w:rFonts w:ascii="宋体" w:hAnsi="宋体"/>
                <w:b/>
                <w:bCs/>
                <w:color w:val="000000"/>
                <w:kern w:val="0"/>
                <w:szCs w:val="21"/>
              </w:rPr>
            </w:pPr>
          </w:p>
        </w:tc>
        <w:tc>
          <w:tcPr>
            <w:tcW w:w="1405" w:type="dxa"/>
            <w:vAlign w:val="center"/>
          </w:tcPr>
          <w:p>
            <w:pPr>
              <w:widowControl/>
              <w:adjustRightInd w:val="0"/>
              <w:snapToGrid w:val="0"/>
              <w:spacing w:line="320" w:lineRule="exact"/>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85" w:hRule="atLeast"/>
          <w:jc w:val="center"/>
        </w:trPr>
        <w:tc>
          <w:tcPr>
            <w:tcW w:w="799"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624"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管道企业</w:t>
            </w:r>
          </w:p>
        </w:tc>
        <w:tc>
          <w:tcPr>
            <w:tcW w:w="2742" w:type="dxa"/>
            <w:vAlign w:val="center"/>
          </w:tcPr>
          <w:p>
            <w:pPr>
              <w:widowControl/>
              <w:adjustRightInd w:val="0"/>
              <w:snapToGrid w:val="0"/>
              <w:spacing w:line="320" w:lineRule="exact"/>
              <w:rPr>
                <w:rFonts w:ascii="宋体" w:hAnsi="宋体" w:cs="宋体"/>
                <w:color w:val="000000"/>
                <w:kern w:val="0"/>
                <w:szCs w:val="21"/>
              </w:rPr>
            </w:pPr>
          </w:p>
        </w:tc>
        <w:tc>
          <w:tcPr>
            <w:tcW w:w="4847" w:type="dxa"/>
            <w:vAlign w:val="center"/>
          </w:tcPr>
          <w:p>
            <w:pPr>
              <w:widowControl/>
              <w:adjustRightInd w:val="0"/>
              <w:snapToGrid w:val="0"/>
              <w:spacing w:line="320" w:lineRule="exact"/>
              <w:rPr>
                <w:rFonts w:ascii="宋体" w:hAnsi="宋体" w:cs="宋体"/>
                <w:color w:val="000000"/>
                <w:kern w:val="0"/>
                <w:szCs w:val="21"/>
              </w:rPr>
            </w:pPr>
          </w:p>
        </w:tc>
        <w:tc>
          <w:tcPr>
            <w:tcW w:w="246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25" w:hRule="atLeast"/>
          <w:jc w:val="center"/>
        </w:trPr>
        <w:tc>
          <w:tcPr>
            <w:tcW w:w="799" w:type="dxa"/>
            <w:vAlign w:val="center"/>
          </w:tcPr>
          <w:p>
            <w:pPr>
              <w:widowControl/>
              <w:adjustRightInd w:val="0"/>
              <w:snapToGrid w:val="0"/>
              <w:spacing w:line="320" w:lineRule="exact"/>
              <w:jc w:val="center"/>
              <w:rPr>
                <w:rFonts w:ascii="宋体" w:hAnsi="宋体" w:cs="宋体"/>
                <w:color w:val="000000"/>
                <w:kern w:val="0"/>
                <w:szCs w:val="21"/>
              </w:rPr>
            </w:pPr>
          </w:p>
        </w:tc>
        <w:tc>
          <w:tcPr>
            <w:tcW w:w="1624" w:type="dxa"/>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2.1  许可条件保持情况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《安全生产法》第三十条；《危险化学品安全管理条例》第十二条；《危险化学品建设项目安全监督管理办法》（国家安全监管总局令第45号）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5" w:hRule="atLeast"/>
          <w:jc w:val="center"/>
        </w:trPr>
        <w:tc>
          <w:tcPr>
            <w:tcW w:w="799" w:type="dxa"/>
            <w:vAlign w:val="center"/>
          </w:tcPr>
          <w:p>
            <w:pPr>
              <w:widowControl/>
              <w:adjustRightInd w:val="0"/>
              <w:snapToGrid w:val="0"/>
              <w:spacing w:line="320" w:lineRule="exact"/>
              <w:jc w:val="center"/>
              <w:rPr>
                <w:rFonts w:ascii="宋体" w:hAnsi="宋体" w:cs="宋体"/>
                <w:color w:val="000000"/>
                <w:kern w:val="0"/>
                <w:szCs w:val="21"/>
              </w:rPr>
            </w:pPr>
          </w:p>
        </w:tc>
        <w:tc>
          <w:tcPr>
            <w:tcW w:w="1624" w:type="dxa"/>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2.2  安全设施竣工验收报告</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《建设项目安全设施“三同时”监督管理办法》（国家安全监管总局令第36号）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r>
              <w:rPr>
                <w:rFonts w:hint="eastAsia" w:ascii="宋体" w:hAnsi="宋体" w:cs="宋体"/>
                <w:color w:val="000000"/>
                <w:kern w:val="0"/>
                <w:szCs w:val="21"/>
              </w:rPr>
              <w:t>抽查比例≥10%。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80" w:hRule="atLeast"/>
          <w:jc w:val="center"/>
        </w:trPr>
        <w:tc>
          <w:tcPr>
            <w:tcW w:w="799"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624"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烟花爆竹生产企业</w:t>
            </w:r>
          </w:p>
        </w:tc>
        <w:tc>
          <w:tcPr>
            <w:tcW w:w="2742" w:type="dxa"/>
            <w:vAlign w:val="center"/>
          </w:tcPr>
          <w:p>
            <w:pPr>
              <w:widowControl/>
              <w:adjustRightInd w:val="0"/>
              <w:snapToGrid w:val="0"/>
              <w:spacing w:line="320" w:lineRule="exact"/>
              <w:rPr>
                <w:rFonts w:ascii="宋体" w:hAnsi="宋体" w:cs="宋体"/>
                <w:color w:val="000000"/>
                <w:kern w:val="0"/>
                <w:szCs w:val="21"/>
              </w:rPr>
            </w:pPr>
          </w:p>
        </w:tc>
        <w:tc>
          <w:tcPr>
            <w:tcW w:w="4847" w:type="dxa"/>
            <w:vAlign w:val="center"/>
          </w:tcPr>
          <w:p>
            <w:pPr>
              <w:widowControl/>
              <w:adjustRightInd w:val="0"/>
              <w:snapToGrid w:val="0"/>
              <w:spacing w:line="320" w:lineRule="exact"/>
              <w:rPr>
                <w:rFonts w:ascii="宋体" w:hAnsi="宋体" w:cs="宋体"/>
                <w:color w:val="000000"/>
                <w:kern w:val="0"/>
                <w:szCs w:val="21"/>
              </w:rPr>
            </w:pPr>
          </w:p>
        </w:tc>
        <w:tc>
          <w:tcPr>
            <w:tcW w:w="246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78" w:hRule="atLeast"/>
          <w:jc w:val="center"/>
        </w:trPr>
        <w:tc>
          <w:tcPr>
            <w:tcW w:w="799" w:type="dxa"/>
            <w:vMerge w:val="restart"/>
            <w:vAlign w:val="center"/>
          </w:tcPr>
          <w:p>
            <w:pPr>
              <w:widowControl/>
              <w:adjustRightInd w:val="0"/>
              <w:snapToGrid w:val="0"/>
              <w:spacing w:line="320" w:lineRule="exact"/>
              <w:jc w:val="center"/>
              <w:rPr>
                <w:rFonts w:ascii="宋体" w:hAnsi="宋体" w:cs="宋体"/>
                <w:color w:val="000000"/>
                <w:kern w:val="0"/>
                <w:szCs w:val="21"/>
              </w:rPr>
            </w:pPr>
          </w:p>
        </w:tc>
        <w:tc>
          <w:tcPr>
            <w:tcW w:w="1624" w:type="dxa"/>
            <w:vMerge w:val="restart"/>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3.1  许可条件保持情况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《烟花爆竹安全管理条例》第八条；《烟花爆竹生产企业安全生产许可证实施办法》（国家安全监管总局令第54号）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77" w:hRule="atLeast"/>
          <w:jc w:val="center"/>
        </w:trPr>
        <w:tc>
          <w:tcPr>
            <w:tcW w:w="799" w:type="dxa"/>
            <w:vMerge w:val="continue"/>
            <w:vAlign w:val="center"/>
          </w:tcPr>
          <w:p>
            <w:pPr>
              <w:widowControl/>
              <w:adjustRightInd w:val="0"/>
              <w:snapToGrid w:val="0"/>
              <w:spacing w:line="320" w:lineRule="exact"/>
              <w:jc w:val="center"/>
              <w:rPr>
                <w:rFonts w:ascii="宋体" w:hAnsi="宋体" w:cs="宋体"/>
                <w:color w:val="000000"/>
                <w:kern w:val="0"/>
                <w:szCs w:val="21"/>
              </w:rPr>
            </w:pPr>
          </w:p>
        </w:tc>
        <w:tc>
          <w:tcPr>
            <w:tcW w:w="1624" w:type="dxa"/>
            <w:vMerge w:val="continue"/>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3.2  生产活动情况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《烟花爆竹安全管理条例》第十条至第十五条，第二十一条；《烟花爆竹生产企业安全生产许可证实施办法》（国家安全监管总局令第54号）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80" w:hRule="atLeast"/>
          <w:jc w:val="center"/>
        </w:trPr>
        <w:tc>
          <w:tcPr>
            <w:tcW w:w="799" w:type="dxa"/>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624"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烟花爆竹经营单位</w:t>
            </w:r>
          </w:p>
        </w:tc>
        <w:tc>
          <w:tcPr>
            <w:tcW w:w="2742" w:type="dxa"/>
            <w:vAlign w:val="center"/>
          </w:tcPr>
          <w:p>
            <w:pPr>
              <w:widowControl/>
              <w:adjustRightInd w:val="0"/>
              <w:snapToGrid w:val="0"/>
              <w:spacing w:line="320" w:lineRule="exact"/>
              <w:rPr>
                <w:rFonts w:ascii="宋体" w:hAnsi="宋体" w:cs="宋体"/>
                <w:color w:val="000000"/>
                <w:kern w:val="0"/>
                <w:szCs w:val="21"/>
              </w:rPr>
            </w:pPr>
          </w:p>
        </w:tc>
        <w:tc>
          <w:tcPr>
            <w:tcW w:w="4847" w:type="dxa"/>
            <w:vAlign w:val="center"/>
          </w:tcPr>
          <w:p>
            <w:pPr>
              <w:widowControl/>
              <w:adjustRightInd w:val="0"/>
              <w:snapToGrid w:val="0"/>
              <w:spacing w:line="320" w:lineRule="exact"/>
              <w:rPr>
                <w:rFonts w:ascii="宋体" w:hAnsi="宋体" w:cs="宋体"/>
                <w:color w:val="000000"/>
                <w:kern w:val="0"/>
                <w:szCs w:val="21"/>
              </w:rPr>
            </w:pP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26" w:hRule="atLeast"/>
          <w:jc w:val="center"/>
        </w:trPr>
        <w:tc>
          <w:tcPr>
            <w:tcW w:w="799" w:type="dxa"/>
            <w:vMerge w:val="restart"/>
            <w:vAlign w:val="center"/>
          </w:tcPr>
          <w:p>
            <w:pPr>
              <w:widowControl/>
              <w:adjustRightInd w:val="0"/>
              <w:snapToGrid w:val="0"/>
              <w:spacing w:line="320" w:lineRule="exact"/>
              <w:jc w:val="center"/>
              <w:rPr>
                <w:rFonts w:ascii="宋体" w:hAnsi="宋体" w:cs="宋体"/>
                <w:color w:val="000000"/>
                <w:kern w:val="0"/>
                <w:szCs w:val="21"/>
              </w:rPr>
            </w:pPr>
          </w:p>
        </w:tc>
        <w:tc>
          <w:tcPr>
            <w:tcW w:w="1624" w:type="dxa"/>
            <w:vMerge w:val="restart"/>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  批发许可条件保持情况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《烟花爆竹安全管理条例》第十七条；《烟花爆竹经营许可实施办法》（国家安全监管总局令第65号）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54" w:hRule="atLeast"/>
          <w:jc w:val="center"/>
        </w:trPr>
        <w:tc>
          <w:tcPr>
            <w:tcW w:w="799" w:type="dxa"/>
            <w:vMerge w:val="continue"/>
            <w:vAlign w:val="center"/>
          </w:tcPr>
          <w:p>
            <w:pPr>
              <w:widowControl/>
              <w:adjustRightInd w:val="0"/>
              <w:snapToGrid w:val="0"/>
              <w:spacing w:line="320" w:lineRule="exact"/>
              <w:jc w:val="center"/>
              <w:rPr>
                <w:rFonts w:ascii="宋体" w:hAnsi="宋体" w:cs="宋体"/>
                <w:color w:val="000000"/>
                <w:kern w:val="0"/>
                <w:szCs w:val="21"/>
              </w:rPr>
            </w:pPr>
          </w:p>
        </w:tc>
        <w:tc>
          <w:tcPr>
            <w:tcW w:w="1624" w:type="dxa"/>
            <w:vMerge w:val="continue"/>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4.2  零售许可条件保持情况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《烟花爆竹安全管理条例》第十八条；《烟花爆竹经营许可实施办法》（国家安全监管总局令第65号）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55" w:hRule="atLeast"/>
          <w:jc w:val="center"/>
        </w:trPr>
        <w:tc>
          <w:tcPr>
            <w:tcW w:w="799" w:type="dxa"/>
            <w:vMerge w:val="continue"/>
            <w:vAlign w:val="center"/>
          </w:tcPr>
          <w:p>
            <w:pPr>
              <w:widowControl/>
              <w:adjustRightInd w:val="0"/>
              <w:snapToGrid w:val="0"/>
              <w:spacing w:line="320" w:lineRule="exact"/>
              <w:jc w:val="center"/>
              <w:rPr>
                <w:rFonts w:ascii="宋体" w:hAnsi="宋体" w:cs="宋体"/>
                <w:color w:val="000000"/>
                <w:kern w:val="0"/>
                <w:szCs w:val="21"/>
              </w:rPr>
            </w:pPr>
          </w:p>
        </w:tc>
        <w:tc>
          <w:tcPr>
            <w:tcW w:w="1624" w:type="dxa"/>
            <w:vMerge w:val="continue"/>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4.3  经营活动情况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《烟花爆竹安全管理条例》第二十条、第二十一条；《烟花爆竹经营许可实施办法》（国家安全监管总局令第65号）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70" w:hRule="atLeast"/>
          <w:jc w:val="center"/>
        </w:trPr>
        <w:tc>
          <w:tcPr>
            <w:tcW w:w="799" w:type="dxa"/>
            <w:vMerge w:val="restart"/>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624"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非药品类易制毒化学品生产、经营企业</w:t>
            </w:r>
          </w:p>
        </w:tc>
        <w:tc>
          <w:tcPr>
            <w:tcW w:w="2742" w:type="dxa"/>
            <w:vAlign w:val="center"/>
          </w:tcPr>
          <w:p>
            <w:pPr>
              <w:widowControl/>
              <w:adjustRightInd w:val="0"/>
              <w:snapToGrid w:val="0"/>
              <w:spacing w:line="320" w:lineRule="exact"/>
              <w:rPr>
                <w:rFonts w:ascii="宋体" w:hAnsi="宋体" w:cs="宋体"/>
                <w:color w:val="000000"/>
                <w:kern w:val="0"/>
                <w:szCs w:val="21"/>
              </w:rPr>
            </w:pPr>
          </w:p>
        </w:tc>
        <w:tc>
          <w:tcPr>
            <w:tcW w:w="4847" w:type="dxa"/>
            <w:vAlign w:val="center"/>
          </w:tcPr>
          <w:p>
            <w:pPr>
              <w:widowControl/>
              <w:adjustRightInd w:val="0"/>
              <w:snapToGrid w:val="0"/>
              <w:spacing w:line="320" w:lineRule="exact"/>
              <w:rPr>
                <w:rFonts w:ascii="宋体" w:hAnsi="宋体" w:cs="宋体"/>
                <w:color w:val="000000"/>
                <w:kern w:val="0"/>
                <w:szCs w:val="21"/>
              </w:rPr>
            </w:pPr>
          </w:p>
        </w:tc>
        <w:tc>
          <w:tcPr>
            <w:tcW w:w="246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许可（备案）部门</w:t>
            </w: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60" w:hRule="atLeast"/>
          <w:jc w:val="center"/>
        </w:trPr>
        <w:tc>
          <w:tcPr>
            <w:tcW w:w="799" w:type="dxa"/>
            <w:vMerge w:val="continue"/>
          </w:tcPr>
          <w:p>
            <w:pPr>
              <w:widowControl/>
              <w:adjustRightInd w:val="0"/>
              <w:snapToGrid w:val="0"/>
              <w:spacing w:line="320" w:lineRule="exact"/>
              <w:rPr>
                <w:rFonts w:ascii="宋体" w:hAnsi="宋体" w:cs="宋体"/>
                <w:color w:val="000000"/>
                <w:kern w:val="0"/>
                <w:szCs w:val="21"/>
              </w:rPr>
            </w:pPr>
          </w:p>
        </w:tc>
        <w:tc>
          <w:tcPr>
            <w:tcW w:w="1624" w:type="dxa"/>
            <w:vMerge w:val="restart"/>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5.1  许可（备案）条件保持情况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《易制毒化学品管理条例》第七条、第八条、第九条、第十条、第十一条、第十二条、第十三条、第三十二条；《非药品类易制毒化学品生产、经营许可办法》(国家安全监管总局令第5号)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50" w:hRule="atLeast"/>
          <w:jc w:val="center"/>
        </w:trPr>
        <w:tc>
          <w:tcPr>
            <w:tcW w:w="799" w:type="dxa"/>
            <w:vMerge w:val="continue"/>
          </w:tcPr>
          <w:p>
            <w:pPr>
              <w:widowControl/>
              <w:adjustRightInd w:val="0"/>
              <w:snapToGrid w:val="0"/>
              <w:spacing w:line="320" w:lineRule="exact"/>
              <w:rPr>
                <w:rFonts w:ascii="宋体" w:hAnsi="宋体" w:cs="宋体"/>
                <w:color w:val="000000"/>
                <w:kern w:val="0"/>
                <w:szCs w:val="21"/>
              </w:rPr>
            </w:pPr>
          </w:p>
        </w:tc>
        <w:tc>
          <w:tcPr>
            <w:tcW w:w="1624" w:type="dxa"/>
            <w:vMerge w:val="continue"/>
            <w:vAlign w:val="center"/>
          </w:tcPr>
          <w:p>
            <w:pPr>
              <w:widowControl/>
              <w:adjustRightInd w:val="0"/>
              <w:snapToGrid w:val="0"/>
              <w:spacing w:line="320" w:lineRule="exact"/>
              <w:rPr>
                <w:rFonts w:ascii="宋体" w:hAnsi="宋体" w:cs="宋体"/>
                <w:color w:val="000000"/>
                <w:kern w:val="0"/>
                <w:szCs w:val="21"/>
              </w:rPr>
            </w:pPr>
          </w:p>
        </w:tc>
        <w:tc>
          <w:tcPr>
            <w:tcW w:w="2742"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5.2  报告生产、经营的非药品类易制毒化学品的品种、数量和主要流向等情况</w:t>
            </w:r>
          </w:p>
        </w:tc>
        <w:tc>
          <w:tcPr>
            <w:tcW w:w="4847" w:type="dxa"/>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《易制毒化学品管理条例》第七条、第八条、第九条、第十条、第十一条、第十二条、第十三条、第三十二条；《非药品类易制毒化学品生产、经营许可办法》(国家安全监管总局令第5号)</w:t>
            </w:r>
          </w:p>
        </w:tc>
        <w:tc>
          <w:tcPr>
            <w:tcW w:w="2462" w:type="dxa"/>
            <w:vAlign w:val="center"/>
          </w:tcPr>
          <w:p>
            <w:pPr>
              <w:widowControl/>
              <w:adjustRightInd w:val="0"/>
              <w:snapToGrid w:val="0"/>
              <w:spacing w:line="320" w:lineRule="exact"/>
              <w:rPr>
                <w:rFonts w:ascii="宋体" w:hAnsi="宋体" w:cs="宋体"/>
                <w:color w:val="000000"/>
                <w:kern w:val="0"/>
                <w:szCs w:val="21"/>
              </w:rPr>
            </w:pPr>
          </w:p>
        </w:tc>
        <w:tc>
          <w:tcPr>
            <w:tcW w:w="1405" w:type="dxa"/>
            <w:vAlign w:val="center"/>
          </w:tcPr>
          <w:p>
            <w:pPr>
              <w:widowControl/>
              <w:adjustRightInd w:val="0"/>
              <w:snapToGrid w:val="0"/>
              <w:spacing w:line="320" w:lineRule="exact"/>
              <w:rPr>
                <w:rFonts w:ascii="宋体" w:hAnsi="宋体"/>
                <w:color w:val="000000"/>
                <w:kern w:val="0"/>
                <w:szCs w:val="21"/>
              </w:rPr>
            </w:pPr>
          </w:p>
        </w:tc>
      </w:tr>
    </w:tbl>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pageBreakBefore/>
        <w:spacing w:line="520" w:lineRule="exact"/>
        <w:rPr>
          <w:rFonts w:ascii="黑体" w:hAnsi="黑体" w:eastAsia="黑体"/>
          <w:sz w:val="32"/>
          <w:szCs w:val="32"/>
        </w:rPr>
      </w:pPr>
    </w:p>
    <w:p>
      <w:pPr>
        <w:spacing w:line="520" w:lineRule="exact"/>
        <w:rPr>
          <w:rFonts w:ascii="黑体" w:hAnsi="黑体" w:eastAsia="黑体"/>
          <w:sz w:val="32"/>
          <w:szCs w:val="32"/>
        </w:rPr>
      </w:pPr>
      <w:r>
        <w:rPr>
          <w:rFonts w:hint="eastAsia" w:ascii="黑体" w:hAnsi="黑体" w:eastAsia="黑体"/>
          <w:sz w:val="32"/>
          <w:szCs w:val="32"/>
        </w:rPr>
        <w:t>五、工贸企业随机抽查重点事项</w:t>
      </w:r>
    </w:p>
    <w:tbl>
      <w:tblPr>
        <w:tblStyle w:val="6"/>
        <w:tblW w:w="0" w:type="auto"/>
        <w:jc w:val="center"/>
        <w:tblLayout w:type="fixed"/>
        <w:tblCellMar>
          <w:top w:w="15" w:type="dxa"/>
          <w:left w:w="108" w:type="dxa"/>
          <w:bottom w:w="15" w:type="dxa"/>
          <w:right w:w="108" w:type="dxa"/>
        </w:tblCellMar>
      </w:tblPr>
      <w:tblGrid>
        <w:gridCol w:w="1035"/>
        <w:gridCol w:w="2010"/>
        <w:gridCol w:w="3012"/>
        <w:gridCol w:w="3375"/>
        <w:gridCol w:w="2318"/>
        <w:gridCol w:w="2129"/>
      </w:tblGrid>
      <w:tr>
        <w:tblPrEx>
          <w:tblCellMar>
            <w:top w:w="15" w:type="dxa"/>
            <w:left w:w="108" w:type="dxa"/>
            <w:bottom w:w="15" w:type="dxa"/>
            <w:right w:w="108" w:type="dxa"/>
          </w:tblCellMar>
        </w:tblPrEx>
        <w:trPr>
          <w:trHeight w:val="37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建材企业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53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3.1  较大危险因素辨识管控措施的落实情况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《安全生产法》第三十二条</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参照《建材行业较大危险因素辨识与防范指导手册》</w:t>
            </w:r>
          </w:p>
        </w:tc>
      </w:tr>
      <w:tr>
        <w:tblPrEx>
          <w:tblCellMar>
            <w:top w:w="15" w:type="dxa"/>
            <w:left w:w="108" w:type="dxa"/>
            <w:bottom w:w="15" w:type="dxa"/>
            <w:right w:w="108" w:type="dxa"/>
          </w:tblCellMar>
        </w:tblPrEx>
        <w:trPr>
          <w:trHeight w:val="112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3.2  水泥筒形库清库清堵安全管理情况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《水泥工厂筒形储存库人工清堵安全规程》（AQ 2047-2012）5</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水泥企业</w:t>
            </w:r>
          </w:p>
        </w:tc>
      </w:tr>
      <w:tr>
        <w:tblPrEx>
          <w:tblCellMar>
            <w:top w:w="15" w:type="dxa"/>
            <w:left w:w="108" w:type="dxa"/>
            <w:bottom w:w="15" w:type="dxa"/>
            <w:right w:w="108" w:type="dxa"/>
          </w:tblCellMar>
        </w:tblPrEx>
        <w:trPr>
          <w:trHeight w:val="1657"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3.3  玻璃熔炉的防泄漏措施情况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《玻璃工厂职业卫生与安全技术规程》（GB 15081-1994）5.4.7</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玻璃生产企业</w:t>
            </w:r>
          </w:p>
        </w:tc>
      </w:tr>
      <w:tr>
        <w:tblPrEx>
          <w:tblCellMar>
            <w:top w:w="15" w:type="dxa"/>
            <w:left w:w="108" w:type="dxa"/>
            <w:bottom w:w="15" w:type="dxa"/>
            <w:right w:w="108" w:type="dxa"/>
          </w:tblCellMar>
        </w:tblPrEx>
        <w:trPr>
          <w:trHeight w:val="2927"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3.3  柴油罐等燃料罐采取防雷、防静电的措施情况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《石油库设计规范》（GB50074-2014）14.2.1</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12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3.5  煤气发生炉及煤气输送系统的防火、防爆情况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工业企业煤气安全规程(GB 6222-2005) 5.1</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40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机械企业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53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  较大危险因素辨识管控措施的落实情况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《安全生产法》第三十二条</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参照《机械行业较大危险因素辨识与防范指导手册》</w:t>
            </w:r>
          </w:p>
        </w:tc>
      </w:tr>
      <w:tr>
        <w:tblPrEx>
          <w:tblCellMar>
            <w:top w:w="15" w:type="dxa"/>
            <w:left w:w="108" w:type="dxa"/>
            <w:bottom w:w="15" w:type="dxa"/>
            <w:right w:w="108" w:type="dxa"/>
          </w:tblCellMar>
        </w:tblPrEx>
        <w:trPr>
          <w:trHeight w:val="1374"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4.2 危险介质管道穿越建（构）筑物、设备设施的情况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《工业企业总平面设计规范》（GB 50187-2012）8.1.7</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涉及企业危险介质（指易燃易爆、有毒有害等）的管道</w:t>
            </w:r>
          </w:p>
        </w:tc>
      </w:tr>
      <w:tr>
        <w:tblPrEx>
          <w:tblCellMar>
            <w:top w:w="15" w:type="dxa"/>
            <w:left w:w="108" w:type="dxa"/>
            <w:bottom w:w="15" w:type="dxa"/>
            <w:right w:w="108" w:type="dxa"/>
          </w:tblCellMar>
        </w:tblPrEx>
        <w:trPr>
          <w:trHeight w:val="1374"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bCs/>
                <w:szCs w:val="21"/>
              </w:rPr>
              <w:t>4.3 超过20吨部件或物品起吊载荷质心的确定情况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szCs w:val="21"/>
              </w:rPr>
              <w:t>《起重机械安全规程 第1部分：总则》（GB 6067.1-2010）17.2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涉及大型部件的起吊作业</w:t>
            </w:r>
          </w:p>
        </w:tc>
      </w:tr>
      <w:tr>
        <w:tblPrEx>
          <w:tblCellMar>
            <w:top w:w="15" w:type="dxa"/>
            <w:left w:w="108" w:type="dxa"/>
            <w:bottom w:w="15" w:type="dxa"/>
            <w:right w:w="108" w:type="dxa"/>
          </w:tblCellMar>
        </w:tblPrEx>
        <w:trPr>
          <w:trHeight w:val="1816"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4.4 使用、储存成品油和可燃液体的设备设施采取防雷、防静电的措施情况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《石油库设计规范》（GB 50074-2014）14.2.1、14.3</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涉及企业的油库和可燃液体库</w:t>
            </w:r>
          </w:p>
        </w:tc>
      </w:tr>
      <w:tr>
        <w:tblPrEx>
          <w:tblCellMar>
            <w:top w:w="15" w:type="dxa"/>
            <w:left w:w="108" w:type="dxa"/>
            <w:bottom w:w="15" w:type="dxa"/>
            <w:right w:w="108" w:type="dxa"/>
          </w:tblCellMar>
        </w:tblPrEx>
        <w:trPr>
          <w:trHeight w:val="2101"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 xml:space="preserve">4.5 </w:t>
            </w:r>
            <w:r>
              <w:rPr>
                <w:rFonts w:hint="eastAsia" w:ascii="宋体" w:hAnsi="宋体"/>
                <w:bCs/>
                <w:szCs w:val="21"/>
              </w:rPr>
              <w:t>吊运熔融金属的起重机械的选用和</w:t>
            </w:r>
            <w:r>
              <w:rPr>
                <w:rFonts w:hint="eastAsia" w:ascii="宋体" w:hAnsi="宋体" w:cs="宋体"/>
                <w:color w:val="000000"/>
                <w:kern w:val="0"/>
                <w:szCs w:val="21"/>
              </w:rPr>
              <w:t>安全技术状况</w:t>
            </w:r>
          </w:p>
        </w:tc>
        <w:tc>
          <w:tcPr>
            <w:tcW w:w="3375" w:type="dxa"/>
            <w:tcBorders>
              <w:top w:val="single" w:color="000000" w:sz="4" w:space="0"/>
              <w:left w:val="single" w:color="000000" w:sz="4" w:space="0"/>
              <w:right w:val="single" w:color="000000" w:sz="4" w:space="0"/>
            </w:tcBorders>
            <w:vAlign w:val="center"/>
          </w:tcPr>
          <w:p>
            <w:pPr>
              <w:adjustRightInd w:val="0"/>
              <w:snapToGrid w:val="0"/>
              <w:spacing w:line="320" w:lineRule="exact"/>
              <w:rPr>
                <w:rFonts w:ascii="宋体" w:hAnsi="宋体" w:cs="宋体"/>
                <w:color w:val="000000"/>
                <w:kern w:val="0"/>
                <w:szCs w:val="21"/>
              </w:rPr>
            </w:pPr>
            <w:r>
              <w:rPr>
                <w:rFonts w:hint="eastAsia" w:ascii="宋体" w:hAnsi="宋体"/>
                <w:szCs w:val="21"/>
              </w:rPr>
              <w:t>《起重机械安全技术监察规程—桥式起重机</w:t>
            </w:r>
            <w:r>
              <w:rPr>
                <w:rFonts w:ascii="宋体" w:hAnsi="宋体"/>
                <w:szCs w:val="21"/>
              </w:rPr>
              <w:t>》</w:t>
            </w:r>
            <w:r>
              <w:rPr>
                <w:rFonts w:hint="eastAsia" w:ascii="宋体" w:hAnsi="宋体"/>
                <w:szCs w:val="21"/>
              </w:rPr>
              <w:t>（TSG Q0002-2008</w:t>
            </w:r>
            <w:r>
              <w:rPr>
                <w:rFonts w:ascii="宋体" w:hAnsi="宋体"/>
                <w:szCs w:val="21"/>
              </w:rPr>
              <w:t>）</w:t>
            </w:r>
            <w:r>
              <w:rPr>
                <w:rFonts w:hint="eastAsia" w:ascii="宋体" w:hAnsi="宋体"/>
                <w:szCs w:val="21"/>
              </w:rPr>
              <w:t>第六条；《起重机械安全规程 第1部分：总则》（GB 6067.1-2010）4.1.1b）；《起重机械安全规程 第5部分 桥式和门式起重机》（GB 6067.5-2014）4.2.4、9.2、9.5</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涉及铸造工艺</w:t>
            </w:r>
          </w:p>
        </w:tc>
      </w:tr>
      <w:tr>
        <w:tblPrEx>
          <w:tblCellMar>
            <w:top w:w="15" w:type="dxa"/>
            <w:left w:w="108" w:type="dxa"/>
            <w:bottom w:w="15" w:type="dxa"/>
            <w:right w:w="108" w:type="dxa"/>
          </w:tblCellMar>
        </w:tblPrEx>
        <w:trPr>
          <w:trHeight w:val="1243"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4.6 铸造熔炼炉前坑、沟或储运铁水和堆放熔渣出的防水措施</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《机械工业职业安全卫生设计规范》（JBJ 18-2000）3.2.1</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涉及铸造工艺</w:t>
            </w:r>
          </w:p>
        </w:tc>
      </w:tr>
      <w:tr>
        <w:tblPrEx>
          <w:tblCellMar>
            <w:top w:w="15" w:type="dxa"/>
            <w:left w:w="108" w:type="dxa"/>
            <w:bottom w:w="15" w:type="dxa"/>
            <w:right w:w="108" w:type="dxa"/>
          </w:tblCellMar>
        </w:tblPrEx>
        <w:trPr>
          <w:trHeight w:val="1219"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4.7 造型地坑砂型底部与地下水位的安全距离</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《机械工业职业安全卫生设计规范》（JBJ 18-2000）3.2.2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涉及铸造工艺</w:t>
            </w:r>
          </w:p>
        </w:tc>
      </w:tr>
      <w:tr>
        <w:tblPrEx>
          <w:tblCellMar>
            <w:top w:w="15" w:type="dxa"/>
            <w:left w:w="108" w:type="dxa"/>
            <w:bottom w:w="15" w:type="dxa"/>
            <w:right w:w="108" w:type="dxa"/>
          </w:tblCellMar>
        </w:tblPrEx>
        <w:trPr>
          <w:trHeight w:val="248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4.8 热处理炉自动保护装置的设置和完好情况（含电阻炉、保护气氛和可控气氛炉、）</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《金属热处理生产过程安全、卫生要求》（GB 15735-2012）7.2.3、7.2.5、7.2.6、7.2.7、7.2.9、7.2.10、7.3.2、7.4.2、7.5.3、7.7.2、7.8.2、7.8.4、7.8.5</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涉及热处理工艺</w:t>
            </w:r>
          </w:p>
        </w:tc>
      </w:tr>
      <w:tr>
        <w:tblPrEx>
          <w:tblCellMar>
            <w:top w:w="15" w:type="dxa"/>
            <w:left w:w="108" w:type="dxa"/>
            <w:bottom w:w="15" w:type="dxa"/>
            <w:right w:w="108" w:type="dxa"/>
          </w:tblCellMar>
        </w:tblPrEx>
        <w:trPr>
          <w:trHeight w:val="138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4.9 整体热处理的安全操作情况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《金属热处理生产过程安全、卫生要求》（GB15735-2004）8.2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涉及热处理工艺</w:t>
            </w:r>
          </w:p>
        </w:tc>
      </w:tr>
      <w:tr>
        <w:tblPrEx>
          <w:tblCellMar>
            <w:top w:w="15" w:type="dxa"/>
            <w:left w:w="108" w:type="dxa"/>
            <w:bottom w:w="15" w:type="dxa"/>
            <w:right w:w="108" w:type="dxa"/>
          </w:tblCellMar>
        </w:tblPrEx>
        <w:trPr>
          <w:trHeight w:val="138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bCs/>
                <w:szCs w:val="21"/>
              </w:rPr>
              <w:t>4.10 镁合金等轻金属采用盐浴炉热处理时的盐浴温度情况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《金属热处理生产过程安全、卫生要求》（GB15735-2004）8.4</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涉及热处理工艺</w:t>
            </w:r>
          </w:p>
        </w:tc>
      </w:tr>
      <w:tr>
        <w:tblPrEx>
          <w:tblCellMar>
            <w:top w:w="15" w:type="dxa"/>
            <w:left w:w="108" w:type="dxa"/>
            <w:bottom w:w="15" w:type="dxa"/>
            <w:right w:w="108" w:type="dxa"/>
          </w:tblCellMar>
        </w:tblPrEx>
        <w:trPr>
          <w:trHeight w:val="146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4.11 自动电镀生产线的安全保护措施</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《电镀生产装置安全技术件》（AQ 5203-2008）5.7</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涉及电镀工艺</w:t>
            </w:r>
          </w:p>
        </w:tc>
      </w:tr>
      <w:tr>
        <w:tblPrEx>
          <w:tblCellMar>
            <w:top w:w="15" w:type="dxa"/>
            <w:left w:w="108" w:type="dxa"/>
            <w:bottom w:w="15" w:type="dxa"/>
            <w:right w:w="108" w:type="dxa"/>
          </w:tblCellMar>
        </w:tblPrEx>
        <w:trPr>
          <w:trHeight w:val="264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4.12 临时涂装作业的划定及安全措施的落实情况</w:t>
            </w:r>
          </w:p>
        </w:tc>
        <w:tc>
          <w:tcPr>
            <w:tcW w:w="3375" w:type="dxa"/>
            <w:tcBorders>
              <w:top w:val="single" w:color="000000" w:sz="4" w:space="0"/>
              <w:left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《涂装作业安全规程 安全管理通则》（GB 7691-2003）第9.1、9.2、6.3；《涂装作业安全规程 涂漆工艺安全及其通风净化》（GB 6514-2008）5.1.3.1、5.1.3.2、5.1.3.3、5.11.1</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涉及涂装工艺</w:t>
            </w:r>
          </w:p>
        </w:tc>
      </w:tr>
      <w:tr>
        <w:tblPrEx>
          <w:tblCellMar>
            <w:top w:w="15" w:type="dxa"/>
            <w:left w:w="108" w:type="dxa"/>
            <w:bottom w:w="15" w:type="dxa"/>
            <w:right w:w="108" w:type="dxa"/>
          </w:tblCellMar>
        </w:tblPrEx>
        <w:trPr>
          <w:trHeight w:val="1606"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 xml:space="preserve">4.13 </w:t>
            </w:r>
            <w:r>
              <w:rPr>
                <w:rFonts w:hint="eastAsia" w:ascii="宋体" w:hAnsi="宋体"/>
                <w:bCs/>
                <w:szCs w:val="21"/>
              </w:rPr>
              <w:t>涂装烘干系统的烟囱中</w:t>
            </w:r>
            <w:r>
              <w:rPr>
                <w:rFonts w:ascii="宋体" w:hAnsi="宋体" w:cs="宋体"/>
                <w:kern w:val="0"/>
                <w:szCs w:val="21"/>
              </w:rPr>
              <w:t>沉积物</w:t>
            </w:r>
            <w:r>
              <w:rPr>
                <w:rFonts w:hint="eastAsia" w:ascii="宋体" w:hAnsi="宋体" w:cs="宋体"/>
                <w:kern w:val="0"/>
                <w:szCs w:val="21"/>
              </w:rPr>
              <w:t>情况和</w:t>
            </w:r>
            <w:r>
              <w:rPr>
                <w:rFonts w:hint="eastAsia" w:ascii="宋体" w:hAnsi="宋体"/>
                <w:bCs/>
                <w:szCs w:val="21"/>
              </w:rPr>
              <w:t>定期清扫情况</w:t>
            </w:r>
          </w:p>
        </w:tc>
        <w:tc>
          <w:tcPr>
            <w:tcW w:w="3375" w:type="dxa"/>
            <w:tcBorders>
              <w:top w:val="single" w:color="000000" w:sz="4" w:space="0"/>
              <w:left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《涂装作业安全规程 涂层烘干室 安全技术规定》（GB14443-2007）</w:t>
            </w:r>
            <w:r>
              <w:rPr>
                <w:rFonts w:ascii="宋体" w:hAnsi="宋体" w:cs="宋体"/>
                <w:kern w:val="0"/>
                <w:sz w:val="18"/>
                <w:szCs w:val="18"/>
              </w:rPr>
              <w:t>9.6</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涉及涂装工艺</w:t>
            </w:r>
          </w:p>
        </w:tc>
      </w:tr>
      <w:tr>
        <w:tblPrEx>
          <w:tblCellMar>
            <w:top w:w="15" w:type="dxa"/>
            <w:left w:w="108" w:type="dxa"/>
            <w:bottom w:w="15" w:type="dxa"/>
            <w:right w:w="108" w:type="dxa"/>
          </w:tblCellMar>
        </w:tblPrEx>
        <w:trPr>
          <w:trHeight w:val="2519"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4.14 使用易燃易爆清洗剂时安全防护措施的落实情况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《涂装作业安全规程 安全管理通则》（GB 7691-2003）9.6；《涂装作业安全规程 涂漆前处理工艺安全及其通风净化》（GB 7692-2012）5.1.16、5.1.25</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涉及涂装工艺</w:t>
            </w:r>
          </w:p>
        </w:tc>
      </w:tr>
      <w:tr>
        <w:tblPrEx>
          <w:tblCellMar>
            <w:top w:w="15" w:type="dxa"/>
            <w:left w:w="108" w:type="dxa"/>
            <w:bottom w:w="15" w:type="dxa"/>
            <w:right w:w="108" w:type="dxa"/>
          </w:tblCellMar>
        </w:tblPrEx>
        <w:trPr>
          <w:trHeight w:val="1243"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4.15 集聚在密闭半密闭空间内易燃易爆气体的及时清理措施</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《焊接与切割安全》（GB 9448-1999）6.3</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涉及焊接与切割工艺或动火作业</w:t>
            </w:r>
          </w:p>
        </w:tc>
      </w:tr>
      <w:tr>
        <w:tblPrEx>
          <w:tblCellMar>
            <w:top w:w="15" w:type="dxa"/>
            <w:left w:w="108" w:type="dxa"/>
            <w:bottom w:w="15" w:type="dxa"/>
            <w:right w:w="108" w:type="dxa"/>
          </w:tblCellMar>
        </w:tblPrEx>
        <w:trPr>
          <w:trHeight w:val="3501"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4.16 检修作业时的安全防护措施</w:t>
            </w:r>
          </w:p>
        </w:tc>
        <w:tc>
          <w:tcPr>
            <w:tcW w:w="3375" w:type="dxa"/>
            <w:tcBorders>
              <w:top w:val="single" w:color="000000" w:sz="4" w:space="0"/>
              <w:left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《冲压车间安全生产通则》（GB 8176-2012）8.11；《金属热处理生产过程安全、卫生要求》（GB 15735-2012）9.7；《木工（材）车间安全生产通则》（GB 15606-2008）10.4；《涂装作业安全规程 安全管理通则》（GB 7691-2003）13</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涉及所有设备设施检修</w:t>
            </w:r>
          </w:p>
        </w:tc>
      </w:tr>
      <w:tr>
        <w:tblPrEx>
          <w:tblCellMar>
            <w:top w:w="15" w:type="dxa"/>
            <w:left w:w="108" w:type="dxa"/>
            <w:bottom w:w="15" w:type="dxa"/>
            <w:right w:w="108" w:type="dxa"/>
          </w:tblCellMar>
        </w:tblPrEx>
        <w:trPr>
          <w:trHeight w:val="37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轻工企业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53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5.1  较大危险因素辨识管控措施的落实情况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《安全生产法》第三十二条</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参照《轻工行业较大危险因素辨识与防范指导手册》</w:t>
            </w:r>
          </w:p>
        </w:tc>
      </w:tr>
      <w:tr>
        <w:tblPrEx>
          <w:tblCellMar>
            <w:top w:w="15" w:type="dxa"/>
            <w:left w:w="108" w:type="dxa"/>
            <w:bottom w:w="15" w:type="dxa"/>
            <w:right w:w="108" w:type="dxa"/>
          </w:tblCellMar>
        </w:tblPrEx>
        <w:trPr>
          <w:trHeight w:val="112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5.2  烘制、油炸等高温设备安全保护措施的配备情况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《食品生产企业安全生产监督管理暂行规定》(国家安全监管总局令第66号)</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涉及烘制、油炸工艺的方便食品制造企业</w:t>
            </w:r>
          </w:p>
        </w:tc>
      </w:tr>
      <w:tr>
        <w:tblPrEx>
          <w:tblCellMar>
            <w:top w:w="15" w:type="dxa"/>
            <w:left w:w="108" w:type="dxa"/>
            <w:bottom w:w="15" w:type="dxa"/>
            <w:right w:w="108" w:type="dxa"/>
          </w:tblCellMar>
        </w:tblPrEx>
        <w:trPr>
          <w:trHeight w:val="185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5.3  木糖醇生产加氢环节氢气罐防雷、防静电的措施</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《建筑物防雷设计规范》GB 50057、《爆炸和火灾危险环境电力装置设计规范》GB 50058</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食品及饲料添加剂制造企业</w:t>
            </w:r>
          </w:p>
        </w:tc>
      </w:tr>
      <w:tr>
        <w:tblPrEx>
          <w:tblCellMar>
            <w:top w:w="15" w:type="dxa"/>
            <w:left w:w="108" w:type="dxa"/>
            <w:bottom w:w="15" w:type="dxa"/>
            <w:right w:w="108" w:type="dxa"/>
          </w:tblCellMar>
        </w:tblPrEx>
        <w:trPr>
          <w:trHeight w:val="1241"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5.4  植物油加工企业浸出车间的安全防护措施</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《浸出油工厂防火安全规范》（SJB 04-91）3.0.8、3.0.10</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植物油加工企业</w:t>
            </w:r>
          </w:p>
        </w:tc>
      </w:tr>
      <w:tr>
        <w:tblPrEx>
          <w:tblCellMar>
            <w:top w:w="15" w:type="dxa"/>
            <w:left w:w="108" w:type="dxa"/>
            <w:bottom w:w="15" w:type="dxa"/>
            <w:right w:w="108" w:type="dxa"/>
          </w:tblCellMar>
        </w:tblPrEx>
        <w:trPr>
          <w:trHeight w:val="962"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5.5  白酒储存勾兑场所乙醇浓度报警装置的设置情况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《酒厂设计防火规范》(GB50694-2011）9.3.4</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白酒生产企业</w:t>
            </w:r>
          </w:p>
        </w:tc>
      </w:tr>
      <w:tr>
        <w:tblPrEx>
          <w:tblCellMar>
            <w:top w:w="15" w:type="dxa"/>
            <w:left w:w="108" w:type="dxa"/>
            <w:bottom w:w="15" w:type="dxa"/>
            <w:right w:w="108" w:type="dxa"/>
          </w:tblCellMar>
        </w:tblPrEx>
        <w:trPr>
          <w:trHeight w:val="331"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5.6  白酒储罐的防雷措施</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《酒厂设计防火规范》(GB50694-2011）9.2.3 ，</w:t>
            </w:r>
            <w:r>
              <w:rPr>
                <w:rFonts w:hint="eastAsia" w:ascii="宋体" w:hAnsi="宋体" w:cs="宋体"/>
                <w:color w:val="000000"/>
                <w:kern w:val="0"/>
                <w:szCs w:val="21"/>
                <w:shd w:val="clear" w:color="auto" w:fill="FFFFFF"/>
              </w:rPr>
              <w:t>《</w:t>
            </w:r>
            <w:r>
              <w:rPr>
                <w:rFonts w:hint="eastAsia" w:ascii="宋体" w:hAnsi="宋体" w:cs="宋体"/>
                <w:color w:val="000000"/>
                <w:kern w:val="0"/>
                <w:szCs w:val="21"/>
              </w:rPr>
              <w:t>易燃易爆罐区安全监控预警系统验收技术要求</w:t>
            </w:r>
            <w:r>
              <w:rPr>
                <w:rFonts w:hint="eastAsia" w:ascii="宋体" w:hAnsi="宋体" w:cs="宋体"/>
                <w:color w:val="000000"/>
                <w:kern w:val="0"/>
                <w:szCs w:val="21"/>
                <w:shd w:val="clear" w:color="auto" w:fill="FFFFFF"/>
              </w:rPr>
              <w:t>》</w:t>
            </w:r>
            <w:r>
              <w:rPr>
                <w:rFonts w:hint="eastAsia" w:ascii="宋体" w:hAnsi="宋体" w:cs="宋体"/>
                <w:color w:val="000000"/>
                <w:kern w:val="0"/>
                <w:szCs w:val="21"/>
              </w:rPr>
              <w:t>（GB17681-1999）7.4.1和7.4.2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白酒生产企业</w:t>
            </w:r>
          </w:p>
        </w:tc>
      </w:tr>
      <w:tr>
        <w:tblPrEx>
          <w:tblCellMar>
            <w:top w:w="15" w:type="dxa"/>
            <w:left w:w="108" w:type="dxa"/>
            <w:bottom w:w="15" w:type="dxa"/>
            <w:right w:w="108" w:type="dxa"/>
          </w:tblCellMar>
        </w:tblPrEx>
        <w:trPr>
          <w:trHeight w:val="1181"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5.7  造纸企业液氯使用安全规程的落实情况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《氯气安全规程》（GB 11984-2008）5.3.2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制浆造纸企业</w:t>
            </w:r>
          </w:p>
        </w:tc>
      </w:tr>
      <w:tr>
        <w:tblPrEx>
          <w:tblCellMar>
            <w:top w:w="15" w:type="dxa"/>
            <w:left w:w="108" w:type="dxa"/>
            <w:bottom w:w="15" w:type="dxa"/>
            <w:right w:w="108" w:type="dxa"/>
          </w:tblCellMar>
        </w:tblPrEx>
        <w:trPr>
          <w:trHeight w:val="1099"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5.8  日用玻璃、陶瓷、搪瓷制造企业燃气窑炉安全防护设备的设置情况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《工业企业煤气安全规程》（GB6222-2005）4.10</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日用玻璃、陶瓷、搪瓷制造企业</w:t>
            </w:r>
          </w:p>
        </w:tc>
      </w:tr>
      <w:tr>
        <w:tblPrEx>
          <w:tblCellMar>
            <w:top w:w="15" w:type="dxa"/>
            <w:left w:w="108" w:type="dxa"/>
            <w:bottom w:w="15" w:type="dxa"/>
            <w:right w:w="108" w:type="dxa"/>
          </w:tblCellMar>
        </w:tblPrEx>
        <w:trPr>
          <w:trHeight w:val="1654"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color w:val="000000"/>
                <w:kern w:val="0"/>
                <w:szCs w:val="21"/>
              </w:rPr>
              <w:t>5.9 电池化成区域电气设备应防爆。</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防止静电事故通用导则》（GB12158）</w:t>
            </w:r>
            <w:r>
              <w:rPr>
                <w:rFonts w:hint="eastAsia" w:cs="宋体"/>
                <w:color w:val="000000"/>
                <w:kern w:val="0"/>
                <w:szCs w:val="21"/>
              </w:rPr>
              <w:t>，《</w:t>
            </w:r>
            <w:r>
              <w:rPr>
                <w:rFonts w:hint="eastAsia" w:ascii="宋体" w:hAnsi="宋体" w:cs="宋体"/>
                <w:color w:val="000000"/>
                <w:szCs w:val="21"/>
                <w:shd w:val="clear" w:color="auto" w:fill="FFFFFF"/>
              </w:rPr>
              <w:t>爆炸性气体环境用电气设备第1部分:通用要求</w:t>
            </w:r>
            <w:r>
              <w:rPr>
                <w:rFonts w:hint="eastAsia" w:ascii="宋体" w:hAnsi="宋体" w:cs="宋体"/>
                <w:color w:val="000000"/>
                <w:kern w:val="0"/>
                <w:szCs w:val="21"/>
              </w:rPr>
              <w:t>》</w:t>
            </w:r>
            <w:r>
              <w:rPr>
                <w:rFonts w:hint="eastAsia" w:cs="宋体"/>
                <w:color w:val="000000"/>
                <w:kern w:val="0"/>
                <w:szCs w:val="21"/>
              </w:rPr>
              <w:t>（</w:t>
            </w:r>
            <w:r>
              <w:rPr>
                <w:rFonts w:ascii="宋体" w:hAnsi="宋体" w:cs="宋体"/>
                <w:color w:val="000000"/>
                <w:szCs w:val="21"/>
              </w:rPr>
              <w:t>GB</w:t>
            </w:r>
            <w:r>
              <w:rPr>
                <w:rFonts w:hint="eastAsia" w:ascii="宋体" w:hAnsi="宋体" w:cs="宋体"/>
                <w:color w:val="000000"/>
                <w:szCs w:val="21"/>
              </w:rPr>
              <w:t>3836.1-2000</w:t>
            </w:r>
            <w:r>
              <w:rPr>
                <w:rFonts w:hint="eastAsia" w:cs="宋体"/>
                <w:color w:val="000000"/>
                <w:szCs w:val="21"/>
              </w:rPr>
              <w:t>）</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电池制造企业</w:t>
            </w:r>
          </w:p>
        </w:tc>
      </w:tr>
      <w:tr>
        <w:tblPrEx>
          <w:tblCellMar>
            <w:top w:w="15" w:type="dxa"/>
            <w:left w:w="108" w:type="dxa"/>
            <w:bottom w:w="15" w:type="dxa"/>
            <w:right w:w="108" w:type="dxa"/>
          </w:tblCellMar>
        </w:tblPrEx>
        <w:trPr>
          <w:trHeight w:val="37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纺织企业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56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6.1  较大危险因素辨识管控措施的落实情况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《安全生产法》第三十二条</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参照《纺织行业较大危险因素辨识与防范指导手册》</w:t>
            </w:r>
          </w:p>
        </w:tc>
      </w:tr>
      <w:tr>
        <w:tblPrEx>
          <w:tblCellMar>
            <w:top w:w="15" w:type="dxa"/>
            <w:left w:w="108" w:type="dxa"/>
            <w:bottom w:w="15" w:type="dxa"/>
            <w:right w:w="108" w:type="dxa"/>
          </w:tblCellMar>
        </w:tblPrEx>
        <w:trPr>
          <w:trHeight w:val="265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6.2  热定型设备的安全技术状况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《纺织工业企业安全管理规范》(AQ 7002-2007)11.2.2.4</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322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6.3  燃气贮罐、管道和汽化室的安全防护措施</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《纺织工业企业安全管理规范》(AQ 7002-2007) 11.2.10.2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66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6.4  危险品贮存安全措施的落实情况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《纺织工业企业安全管理规范》(AQ 7002-2007)13.3.6</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37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烟草企业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2949"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7.1  熏蒸杀虫作业前安全防护措施的落实情况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《储烟虫害治理磷化氢与二氧化碳混合熏蒸安全规程》(YC 301-2009)4.1.1.2、4.1.2.1</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952"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7.2  使用液态二氧化碳的生产线和场所安全防护设备的设置情况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《卷烟厂设计规范》（YC/T 9-2006）6.4.11、6.4.12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384"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粮食仓储企业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96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8.1  粮食出入仓作业、内部清理作业安全保护措施的落实情况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《粮食仓库安全操作规程》（LS1206-2005）4.2.8、4.2.17、5.2.1.3、5.2.1.4</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39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粉尘涉爆企业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607"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9.1  粉尘爆炸危险场所的设置情况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《建筑设计防火规范》（</w:t>
            </w:r>
            <w:r>
              <w:rPr>
                <w:rFonts w:ascii="宋体" w:hAnsi="宋体" w:cs="宋体"/>
                <w:color w:val="000000"/>
                <w:kern w:val="0"/>
                <w:szCs w:val="21"/>
              </w:rPr>
              <w:t>GB50016-2</w:t>
            </w:r>
            <w:r>
              <w:rPr>
                <w:rFonts w:hint="eastAsia" w:ascii="宋体" w:hAnsi="宋体" w:cs="宋体"/>
                <w:color w:val="000000"/>
                <w:kern w:val="0"/>
                <w:szCs w:val="21"/>
              </w:rPr>
              <w:t>014）3.6.1</w:t>
            </w:r>
          </w:p>
          <w:p>
            <w:pPr>
              <w:widowControl/>
              <w:adjustRightInd w:val="0"/>
              <w:snapToGrid w:val="0"/>
              <w:spacing w:line="320" w:lineRule="exact"/>
              <w:rPr>
                <w:rFonts w:ascii="宋体" w:hAnsi="宋体" w:cs="宋体"/>
                <w:color w:val="000000"/>
                <w:kern w:val="0"/>
                <w:szCs w:val="21"/>
                <w:bdr w:val="single" w:color="auto" w:sz="4" w:space="0"/>
                <w:shd w:val="pct10" w:color="auto" w:fill="FFFFFF"/>
              </w:rPr>
            </w:pPr>
            <w:r>
              <w:rPr>
                <w:rFonts w:hint="eastAsia" w:ascii="宋体" w:hAnsi="宋体" w:cs="宋体"/>
                <w:color w:val="000000"/>
                <w:kern w:val="0"/>
                <w:szCs w:val="21"/>
              </w:rPr>
              <w:t>《粉尘防爆安全规程》（GB 15577-2007）5.1</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84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9.2  除尘系统的安全技术状况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《粉尘防爆安全规程》（GB 15577-2007）6.5、6.6.1、7.3 、7.4、7.5《</w:t>
            </w:r>
            <w:r>
              <w:rPr>
                <w:rFonts w:ascii="宋体" w:hAnsi="宋体" w:cs="宋体"/>
                <w:color w:val="000000"/>
                <w:kern w:val="0"/>
                <w:szCs w:val="21"/>
              </w:rPr>
              <w:t>工业建筑供暖通风与空气调节设计规范</w:t>
            </w:r>
            <w:r>
              <w:rPr>
                <w:rFonts w:hint="eastAsia" w:ascii="宋体" w:hAnsi="宋体" w:cs="宋体"/>
                <w:color w:val="000000"/>
                <w:kern w:val="0"/>
                <w:szCs w:val="21"/>
              </w:rPr>
              <w:t>》  （</w:t>
            </w:r>
            <w:r>
              <w:rPr>
                <w:rFonts w:ascii="宋体" w:hAnsi="宋体" w:cs="宋体"/>
                <w:color w:val="000000"/>
                <w:kern w:val="0"/>
                <w:szCs w:val="21"/>
              </w:rPr>
              <w:t>GB 50019-2015</w:t>
            </w:r>
            <w:r>
              <w:rPr>
                <w:rFonts w:hint="eastAsia" w:ascii="宋体" w:hAnsi="宋体" w:cs="宋体"/>
                <w:color w:val="000000"/>
                <w:kern w:val="0"/>
                <w:szCs w:val="21"/>
              </w:rPr>
              <w:t>） 6.9.13</w:t>
            </w:r>
          </w:p>
          <w:p>
            <w:pPr>
              <w:widowControl/>
              <w:adjustRightInd w:val="0"/>
              <w:snapToGrid w:val="0"/>
              <w:spacing w:line="320" w:lineRule="exact"/>
              <w:rPr>
                <w:rFonts w:ascii="宋体" w:hAnsi="宋体" w:cs="宋体"/>
                <w:color w:val="000000"/>
                <w:kern w:val="0"/>
                <w:szCs w:val="21"/>
                <w:bdr w:val="single" w:color="auto" w:sz="4" w:space="0"/>
                <w:shd w:val="pct10" w:color="auto" w:fill="FFFFFF"/>
              </w:rPr>
            </w:pPr>
            <w:r>
              <w:rPr>
                <w:rFonts w:hint="eastAsia" w:ascii="宋体" w:hAnsi="宋体" w:cs="宋体"/>
                <w:color w:val="000000"/>
                <w:kern w:val="0"/>
                <w:szCs w:val="21"/>
              </w:rPr>
              <w:t>《建筑设计防火规范》（GB 50016-2014）9.3.8</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699"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9.3  防爆电气设备设施的使用情况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bdr w:val="single" w:color="auto" w:sz="4" w:space="0"/>
                <w:shd w:val="pct10" w:color="auto" w:fill="FFFFFF"/>
              </w:rPr>
            </w:pPr>
            <w:r>
              <w:rPr>
                <w:rFonts w:hint="eastAsia" w:ascii="宋体" w:hAnsi="宋体" w:cs="宋体"/>
                <w:color w:val="000000"/>
                <w:kern w:val="0"/>
                <w:szCs w:val="21"/>
              </w:rPr>
              <w:t>《爆炸危险环境电力装置设计规范》5.2.1、5.2.2和5.2.3</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68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9.4  粉尘清扫情况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bdr w:val="single" w:color="auto" w:sz="4" w:space="0"/>
                <w:shd w:val="pct10" w:color="auto" w:fill="FFFFFF"/>
              </w:rPr>
            </w:pPr>
            <w:r>
              <w:rPr>
                <w:rFonts w:hint="eastAsia" w:ascii="宋体" w:hAnsi="宋体" w:cs="宋体"/>
                <w:color w:val="000000"/>
                <w:kern w:val="0"/>
                <w:szCs w:val="21"/>
              </w:rPr>
              <w:t>《粉尘防爆安全规程》（GB 15577-2007）8.3.1、8.3.2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68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9.5粉碎、研磨、造粒等易于产生机械点火源的工艺前去除异物装置设置情况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《粉尘防爆安全规程》（GB 15577-2007）6.4.2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68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9.6砂光机风管火花探测报警装置设置情况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《木材加工系统粉尘防爆安全规范》（AQ 4228-2012）6.2.1.2</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木材加工企业</w:t>
            </w:r>
          </w:p>
        </w:tc>
      </w:tr>
      <w:tr>
        <w:tblPrEx>
          <w:tblCellMar>
            <w:top w:w="15" w:type="dxa"/>
            <w:left w:w="108" w:type="dxa"/>
            <w:bottom w:w="15" w:type="dxa"/>
            <w:right w:w="108" w:type="dxa"/>
          </w:tblCellMar>
        </w:tblPrEx>
        <w:trPr>
          <w:trHeight w:val="994"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Cs w:val="21"/>
              </w:rPr>
            </w:pPr>
            <w:r>
              <w:rPr>
                <w:rFonts w:hint="eastAsia" w:ascii="宋体" w:hAnsi="宋体" w:cs="宋体"/>
                <w:color w:val="000000"/>
                <w:kern w:val="0"/>
                <w:szCs w:val="21"/>
              </w:rPr>
              <w:t>9.7干式除尘系统未规范设置锁气卸灰装置。</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《粉尘防爆安全规程》（GB 15577-2007）6.6.4</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重点在铝镁等金属制品加工和木材加工企业</w:t>
            </w:r>
          </w:p>
        </w:tc>
      </w:tr>
      <w:tr>
        <w:tblPrEx>
          <w:tblCellMar>
            <w:top w:w="15" w:type="dxa"/>
            <w:left w:w="108" w:type="dxa"/>
            <w:bottom w:w="15" w:type="dxa"/>
            <w:right w:w="108" w:type="dxa"/>
          </w:tblCellMar>
        </w:tblPrEx>
        <w:trPr>
          <w:trHeight w:val="333"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液氨制冷企业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657"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10.1  包装间、切割室、产品整理间等人员较多场所空调系统的制冷方式</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《冷库设计规范》（GB50072-2010)6.2.7</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139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10.2  构成重大危险源的储氨单元的登记建档情况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《安全生产法》第三十七条；《危险化学品重大危险源监督管理暂行规定》（国家安全监管总局令第40号）</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75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存在有限空间作业企业</w:t>
            </w: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lang w:eastAsia="zh-CN"/>
              </w:rPr>
              <w:t>桦南县应急管理局</w:t>
            </w:r>
            <w:bookmarkStart w:id="0" w:name="_GoBack"/>
            <w:bookmarkEnd w:id="0"/>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990"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11.1  有限空间作业场所安全警示标志的设置情况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bdr w:val="single" w:color="auto" w:sz="4" w:space="0"/>
                <w:shd w:val="pct10" w:color="auto" w:fill="FFFFFF"/>
              </w:rPr>
            </w:pPr>
            <w:r>
              <w:rPr>
                <w:rFonts w:hint="eastAsia" w:ascii="宋体" w:hAnsi="宋体"/>
                <w:bCs/>
                <w:szCs w:val="21"/>
              </w:rPr>
              <w:t>工贸企业有限空间作业安全管理与监督暂行规定（</w:t>
            </w:r>
            <w:r>
              <w:rPr>
                <w:rFonts w:hint="eastAsia" w:ascii="宋体" w:hAnsi="宋体" w:cs="宋体"/>
                <w:color w:val="000000"/>
                <w:kern w:val="0"/>
                <w:szCs w:val="21"/>
              </w:rPr>
              <w:t>国家安全监管总局令第59号）</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665"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11.2  有限空间作业审批制度的落实情况</w:t>
            </w:r>
          </w:p>
        </w:tc>
        <w:tc>
          <w:tcPr>
            <w:tcW w:w="3375"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20" w:lineRule="exact"/>
              <w:rPr>
                <w:rFonts w:ascii="宋体" w:hAnsi="宋体" w:cs="宋体"/>
                <w:color w:val="000000"/>
                <w:kern w:val="0"/>
                <w:szCs w:val="21"/>
                <w:bdr w:val="single" w:color="auto" w:sz="4" w:space="0"/>
                <w:shd w:val="pct10" w:color="auto" w:fill="FFFFFF"/>
              </w:rPr>
            </w:pPr>
            <w:r>
              <w:rPr>
                <w:rFonts w:hint="eastAsia" w:ascii="宋体" w:hAnsi="宋体"/>
                <w:bCs/>
                <w:szCs w:val="21"/>
              </w:rPr>
              <w:t>工贸企业有限空间作业安全管理与监督暂行规定（</w:t>
            </w:r>
            <w:r>
              <w:rPr>
                <w:rFonts w:hint="eastAsia" w:ascii="宋体" w:hAnsi="宋体" w:cs="宋体"/>
                <w:color w:val="000000"/>
                <w:kern w:val="0"/>
                <w:szCs w:val="21"/>
              </w:rPr>
              <w:t>国家安全监管总局令第59号）</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r>
        <w:tblPrEx>
          <w:tblCellMar>
            <w:top w:w="15" w:type="dxa"/>
            <w:left w:w="108" w:type="dxa"/>
            <w:bottom w:w="15" w:type="dxa"/>
            <w:right w:w="108" w:type="dxa"/>
          </w:tblCellMar>
        </w:tblPrEx>
        <w:trPr>
          <w:trHeight w:val="688" w:hRule="atLeast"/>
          <w:jc w:val="center"/>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jc w:val="center"/>
              <w:rPr>
                <w:rFonts w:ascii="宋体" w:hAnsi="宋体" w:cs="宋体"/>
                <w:color w:val="000000"/>
                <w:kern w:val="0"/>
                <w:szCs w:val="21"/>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30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r>
              <w:rPr>
                <w:rFonts w:hint="eastAsia" w:ascii="宋体" w:hAnsi="宋体" w:cs="宋体"/>
                <w:color w:val="000000"/>
                <w:kern w:val="0"/>
                <w:szCs w:val="21"/>
              </w:rPr>
              <w:t>11.3  有限空间作业程序的规范和落实情况</w:t>
            </w:r>
          </w:p>
        </w:tc>
        <w:tc>
          <w:tcPr>
            <w:tcW w:w="3375"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20" w:lineRule="exact"/>
              <w:rPr>
                <w:rFonts w:ascii="宋体" w:hAnsi="宋体" w:cs="宋体"/>
                <w:color w:val="000000"/>
                <w:kern w:val="0"/>
                <w:szCs w:val="21"/>
                <w:bdr w:val="single" w:color="auto" w:sz="4" w:space="0"/>
                <w:shd w:val="pct10" w:color="auto" w:fill="FFFFFF"/>
              </w:rPr>
            </w:pPr>
            <w:r>
              <w:rPr>
                <w:rFonts w:hint="eastAsia" w:ascii="宋体" w:hAnsi="宋体"/>
                <w:bCs/>
                <w:szCs w:val="21"/>
              </w:rPr>
              <w:t>工贸企业有限空间作业安全管理与监督暂行规定（</w:t>
            </w:r>
            <w:r>
              <w:rPr>
                <w:rFonts w:hint="eastAsia" w:ascii="宋体" w:hAnsi="宋体" w:cs="宋体"/>
                <w:color w:val="000000"/>
                <w:kern w:val="0"/>
                <w:szCs w:val="21"/>
              </w:rPr>
              <w:t>国家安全监管总局令第59号）</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c>
          <w:tcPr>
            <w:tcW w:w="21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Fonts w:ascii="宋体" w:hAnsi="宋体" w:cs="宋体"/>
                <w:color w:val="000000"/>
                <w:kern w:val="0"/>
                <w:szCs w:val="21"/>
              </w:rPr>
            </w:pPr>
          </w:p>
        </w:tc>
      </w:tr>
    </w:tbl>
    <w:p>
      <w:pPr>
        <w:rPr>
          <w:rFonts w:ascii="仿宋_GB2312" w:eastAsia="仿宋_GB2312"/>
          <w:sz w:val="32"/>
          <w:szCs w:val="32"/>
        </w:rPr>
      </w:pPr>
    </w:p>
    <w:sectPr>
      <w:footerReference r:id="rId3" w:type="default"/>
      <w:pgSz w:w="16838" w:h="11906" w:orient="landscape"/>
      <w:pgMar w:top="1588" w:right="1701" w:bottom="1588" w:left="1474" w:header="0" w:footer="907" w:gutter="0"/>
      <w:pgNumType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zMmZmN2ZiMmM0NDcwMGNjMzMwYmZiMmYxNGExZWEifQ=="/>
  </w:docVars>
  <w:rsids>
    <w:rsidRoot w:val="00CF43FF"/>
    <w:rsid w:val="00002949"/>
    <w:rsid w:val="00007449"/>
    <w:rsid w:val="0001129B"/>
    <w:rsid w:val="000112C7"/>
    <w:rsid w:val="00025185"/>
    <w:rsid w:val="000256E8"/>
    <w:rsid w:val="0003370B"/>
    <w:rsid w:val="00047A0C"/>
    <w:rsid w:val="00052867"/>
    <w:rsid w:val="00052D8B"/>
    <w:rsid w:val="000557E0"/>
    <w:rsid w:val="000563BE"/>
    <w:rsid w:val="00065465"/>
    <w:rsid w:val="00065E62"/>
    <w:rsid w:val="000711B6"/>
    <w:rsid w:val="000717E9"/>
    <w:rsid w:val="00074F02"/>
    <w:rsid w:val="00084F98"/>
    <w:rsid w:val="00085292"/>
    <w:rsid w:val="00087D84"/>
    <w:rsid w:val="00090B46"/>
    <w:rsid w:val="00094A2F"/>
    <w:rsid w:val="00095462"/>
    <w:rsid w:val="00097DCF"/>
    <w:rsid w:val="000A67B1"/>
    <w:rsid w:val="000B1067"/>
    <w:rsid w:val="000B233D"/>
    <w:rsid w:val="000B567B"/>
    <w:rsid w:val="000C175F"/>
    <w:rsid w:val="000C3A02"/>
    <w:rsid w:val="000C6024"/>
    <w:rsid w:val="000D0223"/>
    <w:rsid w:val="000D0589"/>
    <w:rsid w:val="000E5841"/>
    <w:rsid w:val="000E62D5"/>
    <w:rsid w:val="000E7DBA"/>
    <w:rsid w:val="000F4E88"/>
    <w:rsid w:val="000F6DD0"/>
    <w:rsid w:val="001011EA"/>
    <w:rsid w:val="00101B68"/>
    <w:rsid w:val="001040E5"/>
    <w:rsid w:val="0010511E"/>
    <w:rsid w:val="001061FD"/>
    <w:rsid w:val="00121631"/>
    <w:rsid w:val="001318E3"/>
    <w:rsid w:val="00133B82"/>
    <w:rsid w:val="00137B09"/>
    <w:rsid w:val="0015054E"/>
    <w:rsid w:val="00151123"/>
    <w:rsid w:val="00160E70"/>
    <w:rsid w:val="001629F6"/>
    <w:rsid w:val="00166E45"/>
    <w:rsid w:val="00172B66"/>
    <w:rsid w:val="001805CD"/>
    <w:rsid w:val="00184B81"/>
    <w:rsid w:val="00184C28"/>
    <w:rsid w:val="00185C15"/>
    <w:rsid w:val="00193F76"/>
    <w:rsid w:val="00196547"/>
    <w:rsid w:val="001A5A01"/>
    <w:rsid w:val="001B0106"/>
    <w:rsid w:val="001B245E"/>
    <w:rsid w:val="001C2C18"/>
    <w:rsid w:val="001C3E82"/>
    <w:rsid w:val="001D4624"/>
    <w:rsid w:val="001D4C8D"/>
    <w:rsid w:val="001E5353"/>
    <w:rsid w:val="001F6CA1"/>
    <w:rsid w:val="002055A2"/>
    <w:rsid w:val="00214DC7"/>
    <w:rsid w:val="00227C45"/>
    <w:rsid w:val="002302E6"/>
    <w:rsid w:val="002358BA"/>
    <w:rsid w:val="00243110"/>
    <w:rsid w:val="00247A6F"/>
    <w:rsid w:val="0025205F"/>
    <w:rsid w:val="00254790"/>
    <w:rsid w:val="00256754"/>
    <w:rsid w:val="0026264F"/>
    <w:rsid w:val="00263C4E"/>
    <w:rsid w:val="00266871"/>
    <w:rsid w:val="0027026F"/>
    <w:rsid w:val="00272018"/>
    <w:rsid w:val="00273732"/>
    <w:rsid w:val="00282F3D"/>
    <w:rsid w:val="0029204F"/>
    <w:rsid w:val="002925B4"/>
    <w:rsid w:val="002B5B96"/>
    <w:rsid w:val="002C3A14"/>
    <w:rsid w:val="002D7B0B"/>
    <w:rsid w:val="002E052D"/>
    <w:rsid w:val="002E2DAC"/>
    <w:rsid w:val="002F12C3"/>
    <w:rsid w:val="002F36B2"/>
    <w:rsid w:val="00301D0C"/>
    <w:rsid w:val="00307D05"/>
    <w:rsid w:val="003147B8"/>
    <w:rsid w:val="003158DB"/>
    <w:rsid w:val="00320D6A"/>
    <w:rsid w:val="00324A7D"/>
    <w:rsid w:val="00330617"/>
    <w:rsid w:val="00332E11"/>
    <w:rsid w:val="00333D4C"/>
    <w:rsid w:val="00335930"/>
    <w:rsid w:val="00344A82"/>
    <w:rsid w:val="0035339A"/>
    <w:rsid w:val="00360E96"/>
    <w:rsid w:val="0036515B"/>
    <w:rsid w:val="003756B9"/>
    <w:rsid w:val="00376619"/>
    <w:rsid w:val="00382E59"/>
    <w:rsid w:val="00384E3C"/>
    <w:rsid w:val="00392F22"/>
    <w:rsid w:val="003A626C"/>
    <w:rsid w:val="003A7934"/>
    <w:rsid w:val="003B16F1"/>
    <w:rsid w:val="003B1BFE"/>
    <w:rsid w:val="003B3106"/>
    <w:rsid w:val="003B5FB4"/>
    <w:rsid w:val="003D4E38"/>
    <w:rsid w:val="003F0350"/>
    <w:rsid w:val="003F1A35"/>
    <w:rsid w:val="003F6427"/>
    <w:rsid w:val="00403601"/>
    <w:rsid w:val="0041071A"/>
    <w:rsid w:val="00420089"/>
    <w:rsid w:val="0043323A"/>
    <w:rsid w:val="00441569"/>
    <w:rsid w:val="00452FFC"/>
    <w:rsid w:val="004608A7"/>
    <w:rsid w:val="004618BC"/>
    <w:rsid w:val="00464E02"/>
    <w:rsid w:val="00465908"/>
    <w:rsid w:val="00465E1F"/>
    <w:rsid w:val="00481549"/>
    <w:rsid w:val="004905C7"/>
    <w:rsid w:val="004905DC"/>
    <w:rsid w:val="00493E2D"/>
    <w:rsid w:val="004A5EA0"/>
    <w:rsid w:val="004C4599"/>
    <w:rsid w:val="004D5848"/>
    <w:rsid w:val="004E20FE"/>
    <w:rsid w:val="004E3E52"/>
    <w:rsid w:val="004E50E2"/>
    <w:rsid w:val="004F069D"/>
    <w:rsid w:val="004F39EC"/>
    <w:rsid w:val="004F571E"/>
    <w:rsid w:val="004F70FD"/>
    <w:rsid w:val="00501F32"/>
    <w:rsid w:val="005061E1"/>
    <w:rsid w:val="00512AF4"/>
    <w:rsid w:val="005164DC"/>
    <w:rsid w:val="00522626"/>
    <w:rsid w:val="00524108"/>
    <w:rsid w:val="005247E1"/>
    <w:rsid w:val="00525893"/>
    <w:rsid w:val="005272F5"/>
    <w:rsid w:val="00531178"/>
    <w:rsid w:val="005319D5"/>
    <w:rsid w:val="00535735"/>
    <w:rsid w:val="0053610E"/>
    <w:rsid w:val="00542954"/>
    <w:rsid w:val="00545BFB"/>
    <w:rsid w:val="0055068C"/>
    <w:rsid w:val="00553557"/>
    <w:rsid w:val="00555B4A"/>
    <w:rsid w:val="00567DCC"/>
    <w:rsid w:val="00586F18"/>
    <w:rsid w:val="005A1ECE"/>
    <w:rsid w:val="005A7D76"/>
    <w:rsid w:val="005B67D0"/>
    <w:rsid w:val="005B6C00"/>
    <w:rsid w:val="005B7FE4"/>
    <w:rsid w:val="005C31C0"/>
    <w:rsid w:val="005C7F35"/>
    <w:rsid w:val="005D2311"/>
    <w:rsid w:val="005D4839"/>
    <w:rsid w:val="005D4B24"/>
    <w:rsid w:val="005E2499"/>
    <w:rsid w:val="005E37F3"/>
    <w:rsid w:val="005F271D"/>
    <w:rsid w:val="00600A7F"/>
    <w:rsid w:val="00615DB6"/>
    <w:rsid w:val="00616A87"/>
    <w:rsid w:val="00627FC9"/>
    <w:rsid w:val="00630F30"/>
    <w:rsid w:val="00634123"/>
    <w:rsid w:val="00640F19"/>
    <w:rsid w:val="00652730"/>
    <w:rsid w:val="00656E40"/>
    <w:rsid w:val="00657B74"/>
    <w:rsid w:val="0066326D"/>
    <w:rsid w:val="00670649"/>
    <w:rsid w:val="00680D25"/>
    <w:rsid w:val="00682E49"/>
    <w:rsid w:val="006865C2"/>
    <w:rsid w:val="0069095E"/>
    <w:rsid w:val="00693312"/>
    <w:rsid w:val="006A3303"/>
    <w:rsid w:val="006A550F"/>
    <w:rsid w:val="006B7084"/>
    <w:rsid w:val="006C236B"/>
    <w:rsid w:val="006C3935"/>
    <w:rsid w:val="006C7D62"/>
    <w:rsid w:val="006D10CF"/>
    <w:rsid w:val="006D1373"/>
    <w:rsid w:val="006D1B54"/>
    <w:rsid w:val="006D428B"/>
    <w:rsid w:val="006D4412"/>
    <w:rsid w:val="006E0EF2"/>
    <w:rsid w:val="006E2063"/>
    <w:rsid w:val="006F0594"/>
    <w:rsid w:val="006F0F18"/>
    <w:rsid w:val="006F2EFC"/>
    <w:rsid w:val="006F3637"/>
    <w:rsid w:val="006F39E0"/>
    <w:rsid w:val="006F3CC3"/>
    <w:rsid w:val="006F786C"/>
    <w:rsid w:val="0070141B"/>
    <w:rsid w:val="007051F2"/>
    <w:rsid w:val="00712CD1"/>
    <w:rsid w:val="00716B40"/>
    <w:rsid w:val="00726A31"/>
    <w:rsid w:val="00731A8D"/>
    <w:rsid w:val="00731B2F"/>
    <w:rsid w:val="00733199"/>
    <w:rsid w:val="00741677"/>
    <w:rsid w:val="0074667D"/>
    <w:rsid w:val="007509B7"/>
    <w:rsid w:val="007523EC"/>
    <w:rsid w:val="00755CDA"/>
    <w:rsid w:val="00756139"/>
    <w:rsid w:val="007601F9"/>
    <w:rsid w:val="007635E7"/>
    <w:rsid w:val="00766A0C"/>
    <w:rsid w:val="00771F35"/>
    <w:rsid w:val="00773315"/>
    <w:rsid w:val="00775428"/>
    <w:rsid w:val="00776479"/>
    <w:rsid w:val="007836E4"/>
    <w:rsid w:val="00796D97"/>
    <w:rsid w:val="007A5284"/>
    <w:rsid w:val="007A7D63"/>
    <w:rsid w:val="007B249B"/>
    <w:rsid w:val="007B4382"/>
    <w:rsid w:val="007C1295"/>
    <w:rsid w:val="007D41DD"/>
    <w:rsid w:val="007E4190"/>
    <w:rsid w:val="007E6BD3"/>
    <w:rsid w:val="007F5AA5"/>
    <w:rsid w:val="00801ADB"/>
    <w:rsid w:val="008037A5"/>
    <w:rsid w:val="0080461C"/>
    <w:rsid w:val="00811669"/>
    <w:rsid w:val="008146E7"/>
    <w:rsid w:val="008235AC"/>
    <w:rsid w:val="00826CFE"/>
    <w:rsid w:val="008315DB"/>
    <w:rsid w:val="0083624A"/>
    <w:rsid w:val="00841FFA"/>
    <w:rsid w:val="0084418F"/>
    <w:rsid w:val="00845D73"/>
    <w:rsid w:val="00846D80"/>
    <w:rsid w:val="00847E6B"/>
    <w:rsid w:val="00851460"/>
    <w:rsid w:val="008536EA"/>
    <w:rsid w:val="008571BF"/>
    <w:rsid w:val="008572A9"/>
    <w:rsid w:val="00860105"/>
    <w:rsid w:val="00861C7D"/>
    <w:rsid w:val="008668EB"/>
    <w:rsid w:val="008713A7"/>
    <w:rsid w:val="00874299"/>
    <w:rsid w:val="00875A54"/>
    <w:rsid w:val="00890936"/>
    <w:rsid w:val="00893F53"/>
    <w:rsid w:val="00895F2D"/>
    <w:rsid w:val="008A5671"/>
    <w:rsid w:val="008B74B8"/>
    <w:rsid w:val="008E0885"/>
    <w:rsid w:val="008E168C"/>
    <w:rsid w:val="008E7505"/>
    <w:rsid w:val="008F3AAC"/>
    <w:rsid w:val="008F569C"/>
    <w:rsid w:val="008F7DB3"/>
    <w:rsid w:val="00905144"/>
    <w:rsid w:val="00912FE9"/>
    <w:rsid w:val="009159EB"/>
    <w:rsid w:val="00915A8C"/>
    <w:rsid w:val="009211B6"/>
    <w:rsid w:val="009309FE"/>
    <w:rsid w:val="00931595"/>
    <w:rsid w:val="00941594"/>
    <w:rsid w:val="009441BD"/>
    <w:rsid w:val="0095502E"/>
    <w:rsid w:val="00956238"/>
    <w:rsid w:val="00962FC4"/>
    <w:rsid w:val="0096521C"/>
    <w:rsid w:val="00966777"/>
    <w:rsid w:val="009704F1"/>
    <w:rsid w:val="00972DD5"/>
    <w:rsid w:val="009754BD"/>
    <w:rsid w:val="00987361"/>
    <w:rsid w:val="00997264"/>
    <w:rsid w:val="00997B74"/>
    <w:rsid w:val="009A01A4"/>
    <w:rsid w:val="009A0B11"/>
    <w:rsid w:val="009B0A2A"/>
    <w:rsid w:val="009B16D7"/>
    <w:rsid w:val="009B7BAE"/>
    <w:rsid w:val="009C7D75"/>
    <w:rsid w:val="009D2F2B"/>
    <w:rsid w:val="009D5793"/>
    <w:rsid w:val="009E0A37"/>
    <w:rsid w:val="009E1F43"/>
    <w:rsid w:val="009E7740"/>
    <w:rsid w:val="009F53E9"/>
    <w:rsid w:val="009F5DF0"/>
    <w:rsid w:val="00A0025A"/>
    <w:rsid w:val="00A00E2C"/>
    <w:rsid w:val="00A01F07"/>
    <w:rsid w:val="00A02B08"/>
    <w:rsid w:val="00A11B54"/>
    <w:rsid w:val="00A279A8"/>
    <w:rsid w:val="00A27F23"/>
    <w:rsid w:val="00A341C4"/>
    <w:rsid w:val="00A44291"/>
    <w:rsid w:val="00A44672"/>
    <w:rsid w:val="00A54D97"/>
    <w:rsid w:val="00A57993"/>
    <w:rsid w:val="00A638A3"/>
    <w:rsid w:val="00A717DD"/>
    <w:rsid w:val="00A906A3"/>
    <w:rsid w:val="00A90E75"/>
    <w:rsid w:val="00A93B4F"/>
    <w:rsid w:val="00AA450D"/>
    <w:rsid w:val="00AA491B"/>
    <w:rsid w:val="00AB3A1C"/>
    <w:rsid w:val="00AC0A0D"/>
    <w:rsid w:val="00AD1C57"/>
    <w:rsid w:val="00AE0741"/>
    <w:rsid w:val="00AE4E99"/>
    <w:rsid w:val="00AE640C"/>
    <w:rsid w:val="00AF38AD"/>
    <w:rsid w:val="00AF552F"/>
    <w:rsid w:val="00AF679B"/>
    <w:rsid w:val="00B018E5"/>
    <w:rsid w:val="00B05B01"/>
    <w:rsid w:val="00B1258D"/>
    <w:rsid w:val="00B12794"/>
    <w:rsid w:val="00B2724F"/>
    <w:rsid w:val="00B30F4F"/>
    <w:rsid w:val="00B57158"/>
    <w:rsid w:val="00B70EC3"/>
    <w:rsid w:val="00B74EDA"/>
    <w:rsid w:val="00B760C8"/>
    <w:rsid w:val="00B85BE9"/>
    <w:rsid w:val="00B9243A"/>
    <w:rsid w:val="00B9584A"/>
    <w:rsid w:val="00B95AC5"/>
    <w:rsid w:val="00BA1278"/>
    <w:rsid w:val="00BB016E"/>
    <w:rsid w:val="00BB4B80"/>
    <w:rsid w:val="00BB6CA2"/>
    <w:rsid w:val="00BB749A"/>
    <w:rsid w:val="00BD0C17"/>
    <w:rsid w:val="00BD16E6"/>
    <w:rsid w:val="00BD2B27"/>
    <w:rsid w:val="00BD5F7F"/>
    <w:rsid w:val="00BF1616"/>
    <w:rsid w:val="00BF2037"/>
    <w:rsid w:val="00BF2EF3"/>
    <w:rsid w:val="00BF34F3"/>
    <w:rsid w:val="00BF4E6E"/>
    <w:rsid w:val="00C028F3"/>
    <w:rsid w:val="00C029D1"/>
    <w:rsid w:val="00C02A91"/>
    <w:rsid w:val="00C16E95"/>
    <w:rsid w:val="00C2499A"/>
    <w:rsid w:val="00C328FA"/>
    <w:rsid w:val="00C40226"/>
    <w:rsid w:val="00C431F7"/>
    <w:rsid w:val="00C46FB9"/>
    <w:rsid w:val="00C47DC8"/>
    <w:rsid w:val="00C505C9"/>
    <w:rsid w:val="00C531F7"/>
    <w:rsid w:val="00C54920"/>
    <w:rsid w:val="00C56D5D"/>
    <w:rsid w:val="00C574A7"/>
    <w:rsid w:val="00C805C6"/>
    <w:rsid w:val="00C81C37"/>
    <w:rsid w:val="00C82CAF"/>
    <w:rsid w:val="00C85300"/>
    <w:rsid w:val="00C86103"/>
    <w:rsid w:val="00C862EC"/>
    <w:rsid w:val="00C87921"/>
    <w:rsid w:val="00C87B37"/>
    <w:rsid w:val="00C90843"/>
    <w:rsid w:val="00C913EE"/>
    <w:rsid w:val="00C9189F"/>
    <w:rsid w:val="00CA5984"/>
    <w:rsid w:val="00CB3950"/>
    <w:rsid w:val="00CC4ABC"/>
    <w:rsid w:val="00CC6955"/>
    <w:rsid w:val="00CD5E50"/>
    <w:rsid w:val="00CF43FF"/>
    <w:rsid w:val="00CF64CE"/>
    <w:rsid w:val="00CF662E"/>
    <w:rsid w:val="00D15C23"/>
    <w:rsid w:val="00D16199"/>
    <w:rsid w:val="00D170CD"/>
    <w:rsid w:val="00D34EE9"/>
    <w:rsid w:val="00D42EA1"/>
    <w:rsid w:val="00D43654"/>
    <w:rsid w:val="00D449E1"/>
    <w:rsid w:val="00D472D8"/>
    <w:rsid w:val="00D5164B"/>
    <w:rsid w:val="00D56202"/>
    <w:rsid w:val="00D9436A"/>
    <w:rsid w:val="00D949F4"/>
    <w:rsid w:val="00D96507"/>
    <w:rsid w:val="00D97532"/>
    <w:rsid w:val="00DA0862"/>
    <w:rsid w:val="00DA6007"/>
    <w:rsid w:val="00DA6CEB"/>
    <w:rsid w:val="00DB5B1A"/>
    <w:rsid w:val="00DD0283"/>
    <w:rsid w:val="00DD7904"/>
    <w:rsid w:val="00DD7D8D"/>
    <w:rsid w:val="00DE10C3"/>
    <w:rsid w:val="00DE52F7"/>
    <w:rsid w:val="00DE618F"/>
    <w:rsid w:val="00DF0127"/>
    <w:rsid w:val="00DF0C1C"/>
    <w:rsid w:val="00E0234F"/>
    <w:rsid w:val="00E076AC"/>
    <w:rsid w:val="00E14881"/>
    <w:rsid w:val="00E14FD5"/>
    <w:rsid w:val="00E41E87"/>
    <w:rsid w:val="00E41F06"/>
    <w:rsid w:val="00E422E5"/>
    <w:rsid w:val="00E44354"/>
    <w:rsid w:val="00E454CF"/>
    <w:rsid w:val="00E537BD"/>
    <w:rsid w:val="00E54E7F"/>
    <w:rsid w:val="00E660EA"/>
    <w:rsid w:val="00E70475"/>
    <w:rsid w:val="00E7161F"/>
    <w:rsid w:val="00E74FEE"/>
    <w:rsid w:val="00E90AA6"/>
    <w:rsid w:val="00EA08D4"/>
    <w:rsid w:val="00EA627E"/>
    <w:rsid w:val="00EB2355"/>
    <w:rsid w:val="00EB33CF"/>
    <w:rsid w:val="00EB67CE"/>
    <w:rsid w:val="00EB7406"/>
    <w:rsid w:val="00EB7D10"/>
    <w:rsid w:val="00EC23DD"/>
    <w:rsid w:val="00EC39B8"/>
    <w:rsid w:val="00EC4025"/>
    <w:rsid w:val="00ED6A8A"/>
    <w:rsid w:val="00ED7F13"/>
    <w:rsid w:val="00EE217A"/>
    <w:rsid w:val="00EF5BA7"/>
    <w:rsid w:val="00F01ED2"/>
    <w:rsid w:val="00F12FF6"/>
    <w:rsid w:val="00F13D85"/>
    <w:rsid w:val="00F21E37"/>
    <w:rsid w:val="00F224E2"/>
    <w:rsid w:val="00F262F9"/>
    <w:rsid w:val="00F27CA9"/>
    <w:rsid w:val="00F34579"/>
    <w:rsid w:val="00F511FF"/>
    <w:rsid w:val="00F51B2B"/>
    <w:rsid w:val="00F54846"/>
    <w:rsid w:val="00F567ED"/>
    <w:rsid w:val="00F57106"/>
    <w:rsid w:val="00F730A7"/>
    <w:rsid w:val="00F77161"/>
    <w:rsid w:val="00F8425C"/>
    <w:rsid w:val="00F86ECC"/>
    <w:rsid w:val="00F92FEB"/>
    <w:rsid w:val="00F94E3B"/>
    <w:rsid w:val="00FB5057"/>
    <w:rsid w:val="00FB6B1E"/>
    <w:rsid w:val="00FC0387"/>
    <w:rsid w:val="00FC45D1"/>
    <w:rsid w:val="00FC52C5"/>
    <w:rsid w:val="00FC67FA"/>
    <w:rsid w:val="00FC701E"/>
    <w:rsid w:val="00FD25BA"/>
    <w:rsid w:val="00FE761F"/>
    <w:rsid w:val="00FF4184"/>
    <w:rsid w:val="00FF561C"/>
    <w:rsid w:val="00FF6CE9"/>
    <w:rsid w:val="1CE04B6B"/>
    <w:rsid w:val="3D2B683C"/>
    <w:rsid w:val="75EA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uiPriority w:val="0"/>
    <w:pPr>
      <w:spacing w:line="240" w:lineRule="atLeast"/>
    </w:pPr>
    <w:rPr>
      <w:rFonts w:ascii="宋体" w:hAnsi="Courier New" w:cs="Courier New"/>
      <w:szCs w:val="21"/>
    </w:rPr>
  </w:style>
  <w:style w:type="paragraph" w:styleId="3">
    <w:name w:val="Balloon Text"/>
    <w:basedOn w:val="1"/>
    <w:link w:val="12"/>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uiPriority w:val="99"/>
    <w:rPr>
      <w:color w:val="0000FF"/>
      <w:u w:val="single"/>
    </w:rPr>
  </w:style>
  <w:style w:type="character" w:customStyle="1" w:styleId="10">
    <w:name w:val="页脚 Char"/>
    <w:basedOn w:val="8"/>
    <w:link w:val="4"/>
    <w:uiPriority w:val="99"/>
    <w:rPr>
      <w:kern w:val="2"/>
      <w:sz w:val="18"/>
      <w:szCs w:val="18"/>
    </w:rPr>
  </w:style>
  <w:style w:type="character" w:customStyle="1" w:styleId="11">
    <w:name w:val="页眉 Char"/>
    <w:basedOn w:val="8"/>
    <w:link w:val="5"/>
    <w:semiHidden/>
    <w:uiPriority w:val="99"/>
    <w:rPr>
      <w:kern w:val="2"/>
      <w:sz w:val="18"/>
      <w:szCs w:val="18"/>
    </w:rPr>
  </w:style>
  <w:style w:type="character" w:customStyle="1" w:styleId="12">
    <w:name w:val="批注框文本 Char"/>
    <w:basedOn w:val="8"/>
    <w:link w:val="3"/>
    <w:semiHidden/>
    <w:uiPriority w:val="99"/>
    <w:rPr>
      <w:kern w:val="2"/>
      <w:sz w:val="18"/>
      <w:szCs w:val="18"/>
    </w:rPr>
  </w:style>
  <w:style w:type="character" w:customStyle="1" w:styleId="13">
    <w:name w:val="纯文本 Char"/>
    <w:basedOn w:val="8"/>
    <w:link w:val="2"/>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7801</Words>
  <Characters>9101</Characters>
  <Lines>73</Lines>
  <Paragraphs>20</Paragraphs>
  <TotalTime>0</TotalTime>
  <ScaleCrop>false</ScaleCrop>
  <LinksUpToDate>false</LinksUpToDate>
  <CharactersWithSpaces>9322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2016-10-28T07:20:00Z</dcterms:created>
  <dc:creator>Administrator</dc:creator>
  <cp:lastModifiedBy>哆啦A梦 </cp:lastModifiedBy>
  <cp:lastPrinted>2016-07-27T01:20:00Z</cp:lastPrinted>
  <dcterms:modified xsi:type="dcterms:W3CDTF">2023-06-05T02:49:24Z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63D66FA41C9843EBA4368443D284C3C4_12</vt:lpwstr>
  </property>
</Properties>
</file>