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16040">
      <w:pPr>
        <w:spacing w:line="600" w:lineRule="exact"/>
        <w:jc w:val="center"/>
        <w:rPr>
          <w:rFonts w:hint="default" w:ascii="Times New Roman" w:hAnsi="Times New Roman" w:cs="Times New Roman"/>
          <w:color w:val="000000"/>
          <w:kern w:val="0"/>
          <w:sz w:val="44"/>
          <w:szCs w:val="44"/>
          <w:highlight w:val="none"/>
          <w:u w:val="none"/>
        </w:rPr>
      </w:pPr>
    </w:p>
    <w:p w14:paraId="6D8C4C20">
      <w:pPr>
        <w:pStyle w:val="15"/>
        <w:outlineLvl w:val="9"/>
        <w:rPr>
          <w:rFonts w:hint="default" w:ascii="Times New Roman" w:hAnsi="Times New Roman" w:cs="Times New Roman"/>
          <w:color w:val="000000"/>
          <w:highlight w:val="none"/>
          <w:u w:val="none"/>
        </w:rPr>
      </w:pPr>
    </w:p>
    <w:p w14:paraId="65681B90">
      <w:pPr>
        <w:pStyle w:val="14"/>
        <w:widowControl w:val="0"/>
        <w:spacing w:before="0" w:beforeLines="0" w:beforeAutospacing="0" w:after="0" w:afterLines="0" w:afterAutospacing="0" w:line="1000" w:lineRule="exact"/>
        <w:jc w:val="center"/>
        <w:rPr>
          <w:rFonts w:hint="default" w:ascii="Times New Roman" w:hAnsi="Times New Roman" w:eastAsia="方正小标宋简体" w:cs="Times New Roman"/>
          <w:color w:val="000000"/>
          <w:sz w:val="56"/>
          <w:szCs w:val="56"/>
          <w:highlight w:val="none"/>
          <w:u w:val="none"/>
        </w:rPr>
      </w:pPr>
      <w:r>
        <w:rPr>
          <w:rFonts w:hint="default" w:ascii="Times New Roman" w:hAnsi="Times New Roman" w:eastAsia="方正小标宋简体" w:cs="Times New Roman"/>
          <w:color w:val="000000"/>
          <w:sz w:val="56"/>
          <w:szCs w:val="56"/>
          <w:highlight w:val="none"/>
          <w:u w:val="none"/>
          <w:lang w:eastAsia="zh-CN"/>
        </w:rPr>
        <w:t>桦南县</w:t>
      </w:r>
      <w:r>
        <w:rPr>
          <w:rFonts w:hint="default" w:ascii="Times New Roman" w:hAnsi="Times New Roman" w:eastAsia="方正小标宋简体" w:cs="Times New Roman"/>
          <w:color w:val="000000"/>
          <w:sz w:val="56"/>
          <w:szCs w:val="56"/>
          <w:highlight w:val="none"/>
          <w:u w:val="none"/>
        </w:rPr>
        <w:t>国民经济和社会发展</w:t>
      </w:r>
    </w:p>
    <w:p w14:paraId="75C34999">
      <w:pPr>
        <w:pStyle w:val="14"/>
        <w:widowControl w:val="0"/>
        <w:spacing w:before="0" w:beforeLines="0" w:beforeAutospacing="0" w:after="0" w:afterLines="0" w:afterAutospacing="0" w:line="1000" w:lineRule="exact"/>
        <w:jc w:val="center"/>
        <w:rPr>
          <w:rFonts w:hint="default" w:ascii="Times New Roman" w:hAnsi="Times New Roman" w:eastAsia="方正小标宋简体" w:cs="Times New Roman"/>
          <w:color w:val="000000"/>
          <w:sz w:val="56"/>
          <w:szCs w:val="56"/>
          <w:highlight w:val="none"/>
          <w:u w:val="none"/>
        </w:rPr>
      </w:pPr>
      <w:r>
        <w:rPr>
          <w:rFonts w:hint="default" w:ascii="Times New Roman" w:hAnsi="Times New Roman" w:eastAsia="方正小标宋简体" w:cs="Times New Roman"/>
          <w:color w:val="000000"/>
          <w:sz w:val="56"/>
          <w:szCs w:val="56"/>
          <w:highlight w:val="none"/>
          <w:u w:val="none"/>
        </w:rPr>
        <w:t>第十四个五年规划和二</w:t>
      </w:r>
      <w:r>
        <w:rPr>
          <w:rFonts w:hint="default" w:ascii="Times New Roman" w:hAnsi="Times New Roman" w:cs="Times New Roman"/>
          <w:color w:val="000000"/>
          <w:sz w:val="56"/>
          <w:szCs w:val="56"/>
          <w:highlight w:val="none"/>
          <w:u w:val="none"/>
        </w:rPr>
        <w:t>〇</w:t>
      </w:r>
      <w:r>
        <w:rPr>
          <w:rFonts w:hint="default" w:ascii="Times New Roman" w:hAnsi="Times New Roman" w:eastAsia="方正小标宋简体" w:cs="Times New Roman"/>
          <w:color w:val="000000"/>
          <w:sz w:val="56"/>
          <w:szCs w:val="56"/>
          <w:highlight w:val="none"/>
          <w:u w:val="none"/>
        </w:rPr>
        <w:t>三五年</w:t>
      </w:r>
    </w:p>
    <w:p w14:paraId="1B2C8DAC">
      <w:pPr>
        <w:pStyle w:val="14"/>
        <w:widowControl w:val="0"/>
        <w:spacing w:before="0" w:beforeLines="0" w:beforeAutospacing="0" w:after="0" w:afterLines="0" w:afterAutospacing="0" w:line="1000" w:lineRule="exact"/>
        <w:jc w:val="center"/>
        <w:rPr>
          <w:rFonts w:hint="default" w:ascii="Times New Roman" w:hAnsi="Times New Roman" w:eastAsia="方正小标宋简体" w:cs="Times New Roman"/>
          <w:color w:val="000000"/>
          <w:sz w:val="56"/>
          <w:szCs w:val="56"/>
          <w:highlight w:val="none"/>
          <w:u w:val="none"/>
          <w:lang w:eastAsia="zh-CN"/>
        </w:rPr>
      </w:pPr>
      <w:r>
        <w:rPr>
          <w:rFonts w:hint="default" w:ascii="Times New Roman" w:hAnsi="Times New Roman" w:eastAsia="方正小标宋简体" w:cs="Times New Roman"/>
          <w:color w:val="000000"/>
          <w:sz w:val="56"/>
          <w:szCs w:val="56"/>
          <w:highlight w:val="none"/>
          <w:u w:val="none"/>
        </w:rPr>
        <w:t>远景目标</w:t>
      </w:r>
      <w:r>
        <w:rPr>
          <w:rFonts w:hint="eastAsia" w:ascii="Times New Roman" w:hAnsi="Times New Roman" w:eastAsia="方正小标宋简体" w:cs="Times New Roman"/>
          <w:color w:val="000000"/>
          <w:sz w:val="56"/>
          <w:szCs w:val="56"/>
          <w:highlight w:val="none"/>
          <w:u w:val="none"/>
          <w:lang w:eastAsia="zh-CN"/>
        </w:rPr>
        <w:t>纲要</w:t>
      </w:r>
    </w:p>
    <w:p w14:paraId="313E405F">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r>
        <w:rPr>
          <w:rFonts w:hint="default" w:ascii="Times New Roman" w:hAnsi="Times New Roman" w:cs="Times New Roman"/>
          <w:b/>
          <w:color w:val="000000"/>
          <w:sz w:val="32"/>
          <w:szCs w:val="32"/>
          <w:highlight w:val="none"/>
          <w:u w:val="none"/>
        </w:rPr>
        <w:t>（</w:t>
      </w:r>
      <w:r>
        <w:rPr>
          <w:rFonts w:hint="eastAsia" w:ascii="Times New Roman" w:hAnsi="Times New Roman" w:cs="Times New Roman"/>
          <w:b/>
          <w:color w:val="000000"/>
          <w:sz w:val="32"/>
          <w:szCs w:val="32"/>
          <w:highlight w:val="none"/>
          <w:u w:val="none"/>
          <w:lang w:eastAsia="zh-CN"/>
        </w:rPr>
        <w:t>草案</w:t>
      </w:r>
      <w:r>
        <w:rPr>
          <w:rFonts w:hint="default" w:ascii="Times New Roman" w:hAnsi="Times New Roman" w:cs="Times New Roman"/>
          <w:b/>
          <w:color w:val="000000"/>
          <w:sz w:val="32"/>
          <w:szCs w:val="32"/>
          <w:highlight w:val="none"/>
          <w:u w:val="none"/>
        </w:rPr>
        <w:t>）</w:t>
      </w:r>
    </w:p>
    <w:p w14:paraId="17B5F37D">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6E9BEF72">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65902148">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7B4E0917">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558E7A15">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5C26912E">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2505DF2D">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176843BD">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08801C14">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47980F29">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3625CF26">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122BED5A">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pPr>
    </w:p>
    <w:p w14:paraId="26875D30">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r>
        <w:rPr>
          <w:rFonts w:hint="default" w:ascii="Times New Roman" w:hAnsi="Times New Roman" w:eastAsia="楷体_GB2312" w:cs="Times New Roman"/>
          <w:b/>
          <w:color w:val="000000"/>
          <w:sz w:val="44"/>
          <w:szCs w:val="44"/>
          <w:highlight w:val="none"/>
          <w:u w:val="none"/>
        </w:rPr>
        <w:t>二〇二〇年一月</w:t>
      </w:r>
    </w:p>
    <w:p w14:paraId="1CA01A60">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sectPr>
          <w:headerReference r:id="rId4" w:type="first"/>
          <w:headerReference r:id="rId3" w:type="even"/>
          <w:footerReference r:id="rId5" w:type="even"/>
          <w:pgSz w:w="11906" w:h="16838"/>
          <w:pgMar w:top="1474" w:right="1474" w:bottom="1474" w:left="1474" w:header="851" w:footer="992" w:gutter="0"/>
          <w:pgNumType w:start="1"/>
          <w:cols w:space="720" w:num="1"/>
          <w:titlePg/>
          <w:docGrid w:type="lines" w:linePitch="312" w:charSpace="0"/>
        </w:sectPr>
      </w:pPr>
    </w:p>
    <w:p w14:paraId="21C15ECE">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13227491">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7C121799">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586B5780">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0C24A956">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490E9CB5">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301A300C">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35F9BC9E">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294746E5">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46AF4491">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11DB8BDA">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18D391F8">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6BCDE0DB">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086F4042">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60689D5A">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1FCAB373">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24A54EA4">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2339FD70">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78B61773">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7BE759DD">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36E40150">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292BDBCA">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5ACA5F11">
      <w:pPr>
        <w:pStyle w:val="14"/>
        <w:widowControl w:val="0"/>
        <w:spacing w:before="0" w:beforeLines="0" w:beforeAutospacing="0" w:after="0" w:afterLines="0" w:afterAutospacing="0" w:line="600" w:lineRule="exact"/>
        <w:jc w:val="center"/>
        <w:rPr>
          <w:rFonts w:hint="default" w:ascii="Times New Roman" w:hAnsi="Times New Roman" w:eastAsia="楷体_GB2312" w:cs="Times New Roman"/>
          <w:b/>
          <w:color w:val="000000"/>
          <w:sz w:val="44"/>
          <w:szCs w:val="44"/>
          <w:highlight w:val="none"/>
          <w:u w:val="none"/>
        </w:rPr>
      </w:pPr>
    </w:p>
    <w:p w14:paraId="2BC37006">
      <w:pPr>
        <w:pStyle w:val="14"/>
        <w:widowControl w:val="0"/>
        <w:spacing w:before="0" w:beforeLines="0" w:beforeAutospacing="0" w:after="0" w:afterLines="0" w:afterAutospacing="0" w:line="600" w:lineRule="exact"/>
        <w:jc w:val="center"/>
        <w:rPr>
          <w:rFonts w:hint="default" w:ascii="Times New Roman" w:hAnsi="Times New Roman" w:cs="Times New Roman"/>
          <w:b/>
          <w:color w:val="000000"/>
          <w:sz w:val="32"/>
          <w:szCs w:val="32"/>
          <w:highlight w:val="none"/>
          <w:u w:val="none"/>
        </w:rPr>
        <w:sectPr>
          <w:footerReference r:id="rId7" w:type="first"/>
          <w:footerReference r:id="rId6" w:type="default"/>
          <w:pgSz w:w="11906" w:h="16838"/>
          <w:pgMar w:top="1474" w:right="1474" w:bottom="1474" w:left="1474" w:header="851" w:footer="992" w:gutter="0"/>
          <w:pgNumType w:start="1"/>
          <w:cols w:space="720" w:num="1"/>
          <w:docGrid w:type="lines" w:linePitch="312" w:charSpace="0"/>
        </w:sectPr>
      </w:pPr>
    </w:p>
    <w:p w14:paraId="6D195CFD">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default" w:ascii="Times New Roman" w:hAnsi="Times New Roman" w:cs="Times New Roman"/>
          <w:b/>
          <w:color w:val="000000"/>
          <w:sz w:val="32"/>
          <w:szCs w:val="32"/>
          <w:highlight w:val="none"/>
          <w:u w:val="none"/>
        </w:rPr>
      </w:pPr>
    </w:p>
    <w:p w14:paraId="4B17AC2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000000"/>
          <w:sz w:val="44"/>
          <w:szCs w:val="44"/>
          <w:highlight w:val="none"/>
          <w:u w:val="none"/>
        </w:rPr>
      </w:pPr>
      <w:r>
        <w:rPr>
          <w:rFonts w:hint="default" w:ascii="Times New Roman" w:hAnsi="Times New Roman" w:eastAsia="方正小标宋简体" w:cs="Times New Roman"/>
          <w:color w:val="000000"/>
          <w:sz w:val="44"/>
          <w:szCs w:val="44"/>
          <w:highlight w:val="none"/>
          <w:u w:val="none"/>
        </w:rPr>
        <w:t>目   录</w:t>
      </w:r>
    </w:p>
    <w:p w14:paraId="72FC9B3C">
      <w:pPr>
        <w:pStyle w:val="15"/>
        <w:keepNext w:val="0"/>
        <w:keepLines w:val="0"/>
        <w:pageBreakBefore w:val="0"/>
        <w:widowControl w:val="0"/>
        <w:kinsoku/>
        <w:wordWrap/>
        <w:overflowPunct/>
        <w:topLinePunct w:val="0"/>
        <w:autoSpaceDE/>
        <w:autoSpaceDN/>
        <w:bidi w:val="0"/>
        <w:adjustRightInd/>
        <w:snapToGrid/>
        <w:spacing w:before="0" w:beforeLines="0" w:after="0" w:afterLines="0" w:line="360" w:lineRule="exact"/>
        <w:textAlignment w:val="auto"/>
        <w:rPr>
          <w:rFonts w:hint="default" w:ascii="Times New Roman" w:hAnsi="Times New Roman" w:cs="Times New Roman"/>
          <w:color w:val="000000"/>
          <w:highlight w:val="none"/>
          <w:u w:val="none"/>
        </w:rPr>
      </w:pPr>
    </w:p>
    <w:p w14:paraId="5C50A2CE">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sz w:val="32"/>
          <w:szCs w:val="32"/>
          <w:highlight w:val="none"/>
          <w:u w:val="none"/>
        </w:rPr>
        <w:fldChar w:fldCharType="begin"/>
      </w:r>
      <w:r>
        <w:rPr>
          <w:rFonts w:hint="default" w:ascii="Times New Roman" w:hAnsi="Times New Roman" w:cs="Times New Roman"/>
          <w:color w:val="000000"/>
          <w:sz w:val="32"/>
          <w:szCs w:val="32"/>
          <w:highlight w:val="none"/>
          <w:u w:val="none"/>
        </w:rPr>
        <w:instrText xml:space="preserve">TOC \o "1-3" \h \u </w:instrText>
      </w:r>
      <w:r>
        <w:rPr>
          <w:rFonts w:hint="default" w:ascii="Times New Roman" w:hAnsi="Times New Roman" w:cs="Times New Roman"/>
          <w:color w:val="000000"/>
          <w:sz w:val="32"/>
          <w:szCs w:val="32"/>
          <w:highlight w:val="none"/>
          <w:u w:val="none"/>
        </w:rPr>
        <w:fldChar w:fldCharType="separate"/>
      </w: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"_Toc61268170"</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第一章  全面建成小康社会，实现经济社会高质量发展</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_Toc61268170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1</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016936C4">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"_Toc61268171"</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全面建成小康社会取得显著成就</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_Toc61268171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1</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158D637B">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"_Toc61268172"</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发展环境</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_Toc61268172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6</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55402B48">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"_Toc61268173"</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二〇三五年基本实现现代化的远景目标</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_Toc61268173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8</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13B9901B">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"_Toc61268174"</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第二章  “十四五”时期经济社会发展总体要求</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_Toc61268174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9</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56EF3DC0">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"_Toc61268175"</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指导思想</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_Toc61268175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9</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7FAD72AB">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"_Toc61268176"</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基本原则</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_Toc61268176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10</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460227CB">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"_Toc61268177"</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主要目标</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_Toc61268177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11</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235377CF">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"_Toc61268178"</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第三章  加快产业升级，全力培育壮大实体经济</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_Toc61268178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14</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1B5326E8">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"_Toc61268179"</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大力发展现代产业体系</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_Toc61268179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14</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33910B84">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"_Toc61268181"</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全面建设省级高新区</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_Toc61268181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20</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616B1FA2">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"_Toc61268182"</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发展战略性新兴产业</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_Toc61268182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22</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387B85CA">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"_Toc61268183"</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第四节  发展壮大装备制造业</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_Toc61268183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22</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6F848F81">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"_Toc61268184"</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第四章  推进乡村振兴，加快农业农村现代化建设</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_Toc61268184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23</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724DD8F8">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"_Toc61268185"</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夯实现代农业发展基础</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_Toc61268185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23</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7DF66C01">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"_Toc61268186"</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提升农产品质量</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_Toc61268186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26</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18097C7E">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"_Toc61268187"</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加强黑土地地力保护</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_Toc61268187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27</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13FC9067">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"_Toc61268188"</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第四节  创建农村三产融合发展示范区</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_Toc61268188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28</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1E2842ED">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"_Toc61268189"</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第五节  深化农村改革</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_Toc61268189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30</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34871E7A">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"_Toc61268190"</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第六节  实施乡村建设行动</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_Toc61268190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31</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2E015AC3">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"_Toc61268191"</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第七节  推进巩固拓展脱贫攻坚成果同乡村振兴有效衔接</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_Toc61268191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34</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2D2A4EB0">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"_Toc61268192"</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第五章  深入融合发展，主动融入新发展格局</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_Toc61268192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35</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00893D5A">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"_Toc61268193"</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提高竞争力积极融入国内“大循环”</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_Toc61268193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35</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0E9FBFFD">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"_Toc61268194"</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发挥优势参与国际大循环</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_Toc61268194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36</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431EF642">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"_Toc61268195"</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积极扩大有效投资</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_Toc61268195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36</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3BBB8883">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"_Toc61268196"</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第四节  全面促进消费升级</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_Toc61268196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37</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2A44E3F7">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"_Toc61268197"</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第六章  加强区域协同，着力优化国土空间布局</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_Toc61268197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38</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52547DC6">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"_Toc61268198"</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构建国土空间开发保护新格局</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_Toc61268198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38</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117BD50B">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"_Toc61268199"</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促进城乡融合发展</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_Toc61268199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40</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49A6440F">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"_Toc61268200"</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提升区域合作水平</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_Toc61268200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40</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62D1D4FE">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"_Toc61268201"</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第四节  推进以人为核心的新型城镇化</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_Toc61268201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41</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1E2BE4C2">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"_Toc61268202"</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第七章  深化改革创新，全面激发市场主体活力</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_Toc61268202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45</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35F6CAA5">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"_Toc61268203"</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全面优化营商环境</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_Toc61268203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45</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75968A84">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"_Toc61268204"</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坚持创新驱动</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_Toc61268204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47</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413AEA2D">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"_Toc61268205"</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完善人才发展体制机制</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_Toc61268205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48</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6C8CF6A7">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"_Toc61268206"</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第四节 激发民营经济活力</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_Toc61268206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49</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5040BFDC">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"_Toc61268207"</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第八章  建设生态文明，促进人与自然和谐共生</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_Toc61268207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51</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06E67899">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"_Toc61268208"</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加快形成绿色发展方式</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_Toc61268208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51</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6E569DAC">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"_Toc61268209"</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提升生态系统质量和稳定性</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_Toc61268209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52</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36598C22">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"_Toc61268210"</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积极推进生态价值转换</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_Toc61268210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56</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08971897">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"_Toc61268211"</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第四节 建设生态文明制度体系</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_Toc61268211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56</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58356E5F">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"_Toc61268212"</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第九章  注重文旅融合，推动文化产业高质量发展</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_Toc61268212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57</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5209995F">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"_Toc61268214"</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提高社会文明程度</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_Toc61268214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57</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28B58049">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"_Toc61268215"</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优化全域旅游布局</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_Toc61268215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58</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22D909E4">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"_Toc61268216"</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提高公共文化服务水平</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_Toc61268216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62</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27CDCCDB">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"_Toc61268217"</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第十章  强化互联互通，增强基础设施保障能力</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_Toc61268217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62</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1CB4242D">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"_Toc61268218"</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加强综合交通运输网络建设</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_Toc61268218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63</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043241B7">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"_Toc61268219"</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加强新一代信息技术建设</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_Toc61268219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64</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4A973097">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"_Toc61268220"</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加强水利基础设施建设</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_Toc61268220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65</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36310413">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"_Toc61268221"</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第十一章  坚持民生优先，着力提高人民生活质量</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_Toc61268221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66</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73F33D6C">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"_Toc61268222"</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促进城乡居民增收</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_Toc61268222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66</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5424F657">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"_Toc61268223"</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推动更充分更高质量就业</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_Toc61268223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67</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05DCECFC">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"_Toc61268224"</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建设高质量教育体系</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_Toc61268224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67</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1E975725">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"_Toc61268225"</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第四节  健全多层次社会保障体系</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_Toc61268225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69</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21A2E8C9">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"_Toc61268226"</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第五节  全面推进健康桦南建设</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_Toc61268226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71</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0BF35EF1">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"_Toc61268227"</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第十二章  创新社会治理，切实维护社会安全稳定</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_Toc61268227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73</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7E3E273A">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"_Toc61268228"</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深化法治桦南建设</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_Toc61268228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74</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4FD00009">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"_Toc61268229"</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加强应急管理体系建设</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_Toc61268229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75</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7E766D5E">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"_Toc61268230"</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深入推进平安桦南建设</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_Toc61268230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77</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680E78AB">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"_Toc61268231"</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第四节  加强党管武装工作</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_Toc61268231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79</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7A447FD4">
      <w:pPr>
        <w:pStyle w:val="11"/>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"_Toc61268232"</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b/>
          <w:color w:val="000000"/>
          <w:highlight w:val="none"/>
          <w:u w:val="none"/>
        </w:rPr>
        <w:t>第十三章 加强党的全面领导，为规划实施提供坚强保障</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_Toc61268232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80</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1B283979">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"_Toc61268233"</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第一节  加强党的全面领导</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_Toc61268233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80</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332BCBFA">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"_Toc61268234"</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第二节  推进全面从严治党</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_Toc61268234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81</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55200B1B">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"_Toc61268235"</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第三节  加强民主政治建设</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_Toc61268235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81</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25609EBA">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"_Toc61268236"</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第四节  健全统一规划体系</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_Toc61268236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82</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306E026B">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"_Toc61268237"</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第五节  强化政策项目支撑</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_Toc61268237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82</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25A64D9E">
      <w:pPr>
        <w:pStyle w:val="13"/>
        <w:keepNext w:val="0"/>
        <w:keepLines w:val="0"/>
        <w:pageBreakBefore w:val="0"/>
        <w:widowControl w:val="0"/>
        <w:tabs>
          <w:tab w:val="right" w:leader="dot" w:pos="8948"/>
        </w:tabs>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000000"/>
          <w:szCs w:val="22"/>
          <w:highlight w:val="none"/>
          <w:u w:val="none"/>
        </w:rPr>
      </w:pPr>
      <w:r>
        <w:rPr>
          <w:rFonts w:hint="default" w:ascii="Times New Roman" w:hAnsi="Times New Roman" w:cs="Times New Roman"/>
          <w:color w:val="000000"/>
          <w:highlight w:val="none"/>
          <w:u w:val="none"/>
        </w:rPr>
        <w:fldChar w:fldCharType="begin"/>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instrText xml:space="preserve">HYPERLINK \l "_Toc61268238"</w:instrText>
      </w:r>
      <w:r>
        <w:rPr>
          <w:rStyle w:val="21"/>
          <w:rFonts w:hint="default" w:ascii="Times New Roman" w:hAnsi="Times New Roman" w:cs="Times New Roman"/>
          <w:color w:val="000000"/>
          <w:highlight w:val="none"/>
          <w:u w:val="none"/>
        </w:rPr>
        <w:instrText xml:space="preserve"> </w:instrText>
      </w:r>
      <w:r>
        <w:rPr>
          <w:rFonts w:hint="default" w:ascii="Times New Roman" w:hAnsi="Times New Roman" w:cs="Times New Roman"/>
          <w:color w:val="000000"/>
          <w:highlight w:val="none"/>
          <w:u w:val="none"/>
        </w:rPr>
        <w:fldChar w:fldCharType="separate"/>
      </w:r>
      <w:r>
        <w:rPr>
          <w:rStyle w:val="21"/>
          <w:rFonts w:hint="default" w:ascii="Times New Roman" w:hAnsi="Times New Roman" w:cs="Times New Roman"/>
          <w:color w:val="000000"/>
          <w:highlight w:val="none"/>
          <w:u w:val="none"/>
        </w:rPr>
        <w:t>第六节  完善规划落实机制</w:t>
      </w:r>
      <w:r>
        <w:rPr>
          <w:rFonts w:hint="default" w:ascii="Times New Roman" w:hAnsi="Times New Roman" w:cs="Times New Roman"/>
          <w:color w:val="000000"/>
          <w:highlight w:val="none"/>
          <w:u w:val="none"/>
        </w:rPr>
        <w:tab/>
      </w:r>
      <w:r>
        <w:rPr>
          <w:rFonts w:hint="default" w:ascii="Times New Roman" w:hAnsi="Times New Roman" w:cs="Times New Roman"/>
          <w:color w:val="000000"/>
          <w:highlight w:val="none"/>
          <w:u w:val="none"/>
        </w:rPr>
        <w:fldChar w:fldCharType="begin"/>
      </w:r>
      <w:r>
        <w:rPr>
          <w:rFonts w:hint="default" w:ascii="Times New Roman" w:hAnsi="Times New Roman" w:cs="Times New Roman"/>
          <w:color w:val="000000"/>
          <w:highlight w:val="none"/>
          <w:u w:val="none"/>
        </w:rPr>
        <w:instrText xml:space="preserve"> PAGEREF _Toc61268238 \h </w:instrText>
      </w:r>
      <w:r>
        <w:rPr>
          <w:rFonts w:hint="default" w:ascii="Times New Roman" w:hAnsi="Times New Roman" w:cs="Times New Roman"/>
          <w:color w:val="000000"/>
          <w:highlight w:val="none"/>
          <w:u w:val="none"/>
        </w:rPr>
        <w:fldChar w:fldCharType="separate"/>
      </w:r>
      <w:r>
        <w:rPr>
          <w:rFonts w:hint="default" w:ascii="Times New Roman" w:hAnsi="Times New Roman" w:cs="Times New Roman"/>
          <w:color w:val="000000"/>
          <w:highlight w:val="none"/>
          <w:u w:val="none"/>
        </w:rPr>
        <w:t>83</w:t>
      </w:r>
      <w:r>
        <w:rPr>
          <w:rFonts w:hint="default" w:ascii="Times New Roman" w:hAnsi="Times New Roman" w:cs="Times New Roman"/>
          <w:color w:val="000000"/>
          <w:highlight w:val="none"/>
          <w:u w:val="none"/>
        </w:rPr>
        <w:fldChar w:fldCharType="end"/>
      </w:r>
      <w:r>
        <w:rPr>
          <w:rFonts w:hint="default" w:ascii="Times New Roman" w:hAnsi="Times New Roman" w:cs="Times New Roman"/>
          <w:color w:val="000000"/>
          <w:highlight w:val="none"/>
          <w:u w:val="none"/>
        </w:rPr>
        <w:fldChar w:fldCharType="end"/>
      </w:r>
    </w:p>
    <w:p w14:paraId="605E4781">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default" w:ascii="Times New Roman" w:hAnsi="Times New Roman" w:cs="Times New Roman"/>
          <w:color w:val="000000"/>
          <w:sz w:val="32"/>
          <w:szCs w:val="32"/>
          <w:highlight w:val="none"/>
          <w:u w:val="none"/>
        </w:rPr>
      </w:pPr>
      <w:r>
        <w:rPr>
          <w:rFonts w:hint="default" w:ascii="Times New Roman" w:hAnsi="Times New Roman" w:cs="Times New Roman"/>
          <w:color w:val="000000"/>
          <w:sz w:val="32"/>
          <w:szCs w:val="32"/>
          <w:highlight w:val="none"/>
          <w:u w:val="none"/>
        </w:rPr>
        <w:fldChar w:fldCharType="end"/>
      </w:r>
      <w:bookmarkStart w:id="0" w:name="_Toc8174"/>
      <w:bookmarkStart w:id="1" w:name="_Toc28691"/>
    </w:p>
    <w:p w14:paraId="0030DDB9">
      <w:pPr>
        <w:pStyle w:val="14"/>
        <w:widowControl w:val="0"/>
        <w:spacing w:before="0" w:beforeAutospacing="0" w:after="0" w:afterAutospacing="0" w:line="600" w:lineRule="exact"/>
        <w:jc w:val="center"/>
        <w:rPr>
          <w:rFonts w:hint="eastAsia" w:ascii="方正小标宋简体" w:hAnsi="方正小标宋简体" w:eastAsia="方正小标宋简体" w:cs="方正小标宋简体"/>
          <w:bCs/>
          <w:color w:val="auto"/>
          <w:sz w:val="44"/>
          <w:szCs w:val="44"/>
          <w:highlight w:val="none"/>
        </w:rPr>
      </w:pPr>
    </w:p>
    <w:p w14:paraId="0B2507F2">
      <w:pPr>
        <w:pStyle w:val="14"/>
        <w:widowControl w:val="0"/>
        <w:spacing w:before="0" w:beforeAutospacing="0" w:after="0" w:afterAutospacing="0" w:line="600" w:lineRule="exact"/>
        <w:jc w:val="center"/>
        <w:rPr>
          <w:rFonts w:hint="eastAsia" w:ascii="方正小标宋简体" w:hAnsi="方正小标宋简体" w:eastAsia="方正小标宋简体" w:cs="方正小标宋简体"/>
          <w:bCs/>
          <w:color w:val="auto"/>
          <w:sz w:val="44"/>
          <w:szCs w:val="44"/>
          <w:highlight w:val="none"/>
        </w:rPr>
      </w:pPr>
    </w:p>
    <w:p w14:paraId="296CFE2A">
      <w:pPr>
        <w:pStyle w:val="14"/>
        <w:widowControl w:val="0"/>
        <w:spacing w:before="0" w:beforeAutospacing="0" w:after="0" w:afterAutospacing="0" w:line="600" w:lineRule="exact"/>
        <w:jc w:val="center"/>
        <w:rPr>
          <w:rFonts w:hint="eastAsia" w:ascii="方正小标宋简体" w:hAnsi="方正小标宋简体" w:eastAsia="方正小标宋简体" w:cs="方正小标宋简体"/>
          <w:bCs/>
          <w:color w:val="auto"/>
          <w:sz w:val="44"/>
          <w:szCs w:val="44"/>
          <w:highlight w:val="none"/>
        </w:rPr>
      </w:pPr>
    </w:p>
    <w:p w14:paraId="587BC833">
      <w:pPr>
        <w:pStyle w:val="14"/>
        <w:widowControl w:val="0"/>
        <w:spacing w:before="0" w:beforeAutospacing="0" w:after="0" w:afterAutospacing="0" w:line="6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前  言</w:t>
      </w:r>
    </w:p>
    <w:p w14:paraId="6CD927BA">
      <w:pPr>
        <w:spacing w:line="600" w:lineRule="exact"/>
        <w:rPr>
          <w:color w:val="auto"/>
          <w:highlight w:val="none"/>
        </w:rPr>
      </w:pPr>
    </w:p>
    <w:p w14:paraId="0ED6FA0C">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十四五”时期是我国全面建成小康社会、实现第一个百年奋斗目标之后，趁势而上开启全面建设社会主义现代化国家新征程、向第二个百年奋斗目标进军的第一个五年，是桦南县开启建设社会主义现代化新征程的关键期，是加快调结构转方式、推动高质量发展、夯实全面振兴全方位振兴基础的重要时期。围绕全面建设社会主义现代化国家的宏伟目标，依据国家、黑龙江省、佳木斯市关于</w:t>
      </w:r>
      <w:r>
        <w:rPr>
          <w:rFonts w:hint="eastAsia" w:eastAsia="仿宋_GB2312"/>
          <w:color w:val="auto"/>
          <w:sz w:val="32"/>
          <w:szCs w:val="32"/>
          <w:highlight w:val="none"/>
        </w:rPr>
        <w:t>制定</w:t>
      </w:r>
      <w:r>
        <w:rPr>
          <w:rFonts w:eastAsia="仿宋_GB2312"/>
          <w:color w:val="auto"/>
          <w:sz w:val="32"/>
          <w:szCs w:val="32"/>
          <w:highlight w:val="none"/>
        </w:rPr>
        <w:t>国民经济和社会发展第十四个五年规划</w:t>
      </w:r>
      <w:r>
        <w:rPr>
          <w:rFonts w:hint="eastAsia" w:eastAsia="仿宋_GB2312"/>
          <w:color w:val="auto"/>
          <w:sz w:val="32"/>
          <w:szCs w:val="32"/>
          <w:highlight w:val="none"/>
        </w:rPr>
        <w:t>的</w:t>
      </w:r>
      <w:r>
        <w:rPr>
          <w:rFonts w:eastAsia="仿宋_GB2312"/>
          <w:color w:val="auto"/>
          <w:sz w:val="32"/>
          <w:szCs w:val="32"/>
          <w:highlight w:val="none"/>
        </w:rPr>
        <w:t>建议，科学编制《桦南县国民经济和社会发展第十四个五年规划</w:t>
      </w:r>
      <w:r>
        <w:rPr>
          <w:rFonts w:hint="eastAsia" w:eastAsia="仿宋_GB2312"/>
          <w:color w:val="auto"/>
          <w:sz w:val="32"/>
          <w:szCs w:val="32"/>
          <w:highlight w:val="none"/>
        </w:rPr>
        <w:t>纲</w:t>
      </w:r>
      <w:r>
        <w:rPr>
          <w:rFonts w:eastAsia="仿宋_GB2312"/>
          <w:color w:val="auto"/>
          <w:sz w:val="32"/>
          <w:szCs w:val="32"/>
          <w:highlight w:val="none"/>
        </w:rPr>
        <w:t>要》。本规划纲要主要阐明“十四五”时期桦南县经济社会发展的</w:t>
      </w:r>
      <w:r>
        <w:rPr>
          <w:rFonts w:hint="eastAsia" w:eastAsia="仿宋_GB2312"/>
          <w:color w:val="auto"/>
          <w:sz w:val="32"/>
          <w:szCs w:val="32"/>
          <w:highlight w:val="none"/>
        </w:rPr>
        <w:t>指导思想</w:t>
      </w:r>
      <w:r>
        <w:rPr>
          <w:rFonts w:eastAsia="仿宋_GB2312"/>
          <w:color w:val="auto"/>
          <w:sz w:val="32"/>
          <w:szCs w:val="32"/>
          <w:highlight w:val="none"/>
        </w:rPr>
        <w:t>、</w:t>
      </w:r>
      <w:r>
        <w:rPr>
          <w:rFonts w:hint="eastAsia" w:eastAsia="仿宋_GB2312"/>
          <w:color w:val="auto"/>
          <w:sz w:val="32"/>
          <w:szCs w:val="32"/>
          <w:highlight w:val="none"/>
        </w:rPr>
        <w:t>基本原则、战略目标、</w:t>
      </w:r>
      <w:r>
        <w:rPr>
          <w:rFonts w:eastAsia="仿宋_GB2312"/>
          <w:color w:val="auto"/>
          <w:sz w:val="32"/>
          <w:szCs w:val="32"/>
          <w:highlight w:val="none"/>
        </w:rPr>
        <w:t>重点任务和</w:t>
      </w:r>
      <w:r>
        <w:rPr>
          <w:rFonts w:hint="eastAsia" w:eastAsia="仿宋_GB2312"/>
          <w:color w:val="auto"/>
          <w:sz w:val="32"/>
          <w:szCs w:val="32"/>
          <w:highlight w:val="none"/>
        </w:rPr>
        <w:t>保障措施</w:t>
      </w:r>
      <w:r>
        <w:rPr>
          <w:rFonts w:eastAsia="仿宋_GB2312"/>
          <w:color w:val="auto"/>
          <w:sz w:val="32"/>
          <w:szCs w:val="32"/>
          <w:highlight w:val="none"/>
        </w:rPr>
        <w:t>，是政府履行工作职责、编制和实施各类</w:t>
      </w:r>
      <w:r>
        <w:rPr>
          <w:rFonts w:hint="eastAsia" w:eastAsia="仿宋_GB2312"/>
          <w:color w:val="auto"/>
          <w:sz w:val="32"/>
          <w:szCs w:val="32"/>
          <w:highlight w:val="none"/>
        </w:rPr>
        <w:t>专项</w:t>
      </w:r>
      <w:r>
        <w:rPr>
          <w:rFonts w:eastAsia="仿宋_GB2312"/>
          <w:color w:val="auto"/>
          <w:sz w:val="32"/>
          <w:szCs w:val="32"/>
          <w:highlight w:val="none"/>
        </w:rPr>
        <w:t>规划以及制定相关政策的重要依据，是今后五年乃至十五年桦南</w:t>
      </w:r>
      <w:r>
        <w:rPr>
          <w:rFonts w:hint="eastAsia" w:eastAsia="仿宋_GB2312"/>
          <w:color w:val="auto"/>
          <w:sz w:val="32"/>
          <w:szCs w:val="32"/>
          <w:highlight w:val="none"/>
        </w:rPr>
        <w:t>县</w:t>
      </w:r>
      <w:r>
        <w:rPr>
          <w:rFonts w:eastAsia="仿宋_GB2312"/>
          <w:color w:val="auto"/>
          <w:sz w:val="32"/>
          <w:szCs w:val="32"/>
          <w:highlight w:val="none"/>
        </w:rPr>
        <w:t>经济社会发展的宏伟蓝图，是凝聚全县人民力量共同奋斗的行动纲领。本规划基期为2020年，规划期2021</w:t>
      </w:r>
      <w:r>
        <w:rPr>
          <w:rFonts w:hint="eastAsia" w:eastAsia="仿宋_GB2312"/>
          <w:color w:val="auto"/>
          <w:sz w:val="32"/>
          <w:szCs w:val="32"/>
          <w:highlight w:val="none"/>
        </w:rPr>
        <w:t>~</w:t>
      </w:r>
      <w:r>
        <w:rPr>
          <w:rFonts w:eastAsia="仿宋_GB2312"/>
          <w:color w:val="auto"/>
          <w:sz w:val="32"/>
          <w:szCs w:val="32"/>
          <w:highlight w:val="none"/>
        </w:rPr>
        <w:t>2025年。</w:t>
      </w:r>
    </w:p>
    <w:p w14:paraId="326334A0">
      <w:pPr>
        <w:pStyle w:val="15"/>
        <w:rPr>
          <w:rFonts w:ascii="Times New Roman" w:hAnsi="Times New Roman" w:eastAsia="仿宋_GB2312"/>
          <w:color w:val="auto"/>
          <w:highlight w:val="none"/>
        </w:rPr>
      </w:pPr>
    </w:p>
    <w:p w14:paraId="16415DBA">
      <w:pPr>
        <w:rPr>
          <w:rFonts w:ascii="Times New Roman" w:hAnsi="Times New Roman" w:eastAsia="仿宋_GB2312"/>
          <w:color w:val="auto"/>
          <w:highlight w:val="none"/>
        </w:rPr>
      </w:pPr>
    </w:p>
    <w:p w14:paraId="1E1DBB1B">
      <w:pPr>
        <w:pStyle w:val="2"/>
        <w:rPr>
          <w:rFonts w:ascii="Times New Roman" w:hAnsi="Times New Roman" w:eastAsia="仿宋_GB2312"/>
          <w:color w:val="auto"/>
          <w:highlight w:val="none"/>
        </w:rPr>
      </w:pPr>
    </w:p>
    <w:p w14:paraId="60A70109">
      <w:pPr>
        <w:pStyle w:val="2"/>
        <w:rPr>
          <w:rFonts w:ascii="Times New Roman" w:hAnsi="Times New Roman" w:eastAsia="仿宋_GB2312"/>
          <w:color w:val="auto"/>
          <w:highlight w:val="none"/>
        </w:rPr>
      </w:pPr>
    </w:p>
    <w:p w14:paraId="008DCFF0">
      <w:pPr>
        <w:pStyle w:val="2"/>
        <w:rPr>
          <w:rFonts w:ascii="Times New Roman" w:hAnsi="Times New Roman" w:eastAsia="仿宋_GB2312"/>
          <w:color w:val="auto"/>
          <w:highlight w:val="none"/>
        </w:rPr>
      </w:pPr>
    </w:p>
    <w:p w14:paraId="7D448C98">
      <w:pPr>
        <w:pStyle w:val="2"/>
        <w:rPr>
          <w:rFonts w:ascii="Times New Roman" w:hAnsi="Times New Roman" w:eastAsia="仿宋_GB2312"/>
          <w:color w:val="auto"/>
          <w:highlight w:val="none"/>
        </w:rPr>
      </w:pPr>
    </w:p>
    <w:p w14:paraId="5D018DFF">
      <w:pPr>
        <w:pStyle w:val="2"/>
        <w:rPr>
          <w:rFonts w:ascii="Times New Roman" w:hAnsi="Times New Roman" w:eastAsia="仿宋_GB2312"/>
          <w:color w:val="auto"/>
          <w:highlight w:val="none"/>
        </w:rPr>
      </w:pPr>
    </w:p>
    <w:p w14:paraId="39CB9B0C">
      <w:pPr>
        <w:pStyle w:val="2"/>
        <w:rPr>
          <w:rFonts w:ascii="Times New Roman" w:hAnsi="Times New Roman" w:eastAsia="仿宋_GB2312"/>
          <w:color w:val="auto"/>
          <w:highlight w:val="none"/>
        </w:rPr>
      </w:pPr>
    </w:p>
    <w:p w14:paraId="1ACE27E1">
      <w:pPr>
        <w:pStyle w:val="2"/>
        <w:rPr>
          <w:rFonts w:ascii="Times New Roman" w:hAnsi="Times New Roman" w:eastAsia="仿宋_GB2312"/>
          <w:color w:val="auto"/>
          <w:highlight w:val="none"/>
        </w:rPr>
      </w:pPr>
    </w:p>
    <w:p w14:paraId="6A7501E6">
      <w:pPr>
        <w:pStyle w:val="2"/>
        <w:rPr>
          <w:rFonts w:ascii="Times New Roman" w:hAnsi="Times New Roman" w:eastAsia="仿宋_GB2312"/>
          <w:color w:val="auto"/>
          <w:highlight w:val="none"/>
        </w:rPr>
      </w:pPr>
    </w:p>
    <w:p w14:paraId="2FD45142">
      <w:pPr>
        <w:pStyle w:val="2"/>
        <w:rPr>
          <w:rFonts w:ascii="Times New Roman" w:hAnsi="Times New Roman" w:eastAsia="仿宋_GB2312"/>
          <w:color w:val="auto"/>
          <w:highlight w:val="none"/>
        </w:rPr>
      </w:pPr>
    </w:p>
    <w:p w14:paraId="4C7406AC">
      <w:pPr>
        <w:pStyle w:val="2"/>
        <w:rPr>
          <w:rFonts w:ascii="Times New Roman" w:hAnsi="Times New Roman" w:eastAsia="仿宋_GB2312"/>
          <w:color w:val="auto"/>
          <w:highlight w:val="none"/>
        </w:rPr>
      </w:pPr>
    </w:p>
    <w:p w14:paraId="68F551EA">
      <w:pPr>
        <w:pStyle w:val="2"/>
        <w:rPr>
          <w:rFonts w:ascii="Times New Roman" w:hAnsi="Times New Roman" w:eastAsia="仿宋_GB2312"/>
          <w:color w:val="auto"/>
          <w:highlight w:val="none"/>
        </w:rPr>
      </w:pPr>
    </w:p>
    <w:p w14:paraId="5244208E">
      <w:pPr>
        <w:pStyle w:val="2"/>
        <w:rPr>
          <w:rFonts w:ascii="Times New Roman" w:hAnsi="Times New Roman" w:eastAsia="仿宋_GB2312"/>
          <w:color w:val="auto"/>
          <w:highlight w:val="none"/>
        </w:rPr>
      </w:pPr>
    </w:p>
    <w:p w14:paraId="5C607E5F">
      <w:pPr>
        <w:pStyle w:val="2"/>
        <w:rPr>
          <w:rFonts w:ascii="Times New Roman" w:hAnsi="Times New Roman" w:eastAsia="仿宋_GB2312"/>
          <w:color w:val="auto"/>
          <w:highlight w:val="none"/>
        </w:rPr>
      </w:pPr>
    </w:p>
    <w:p w14:paraId="1646DE21">
      <w:pPr>
        <w:pStyle w:val="2"/>
        <w:rPr>
          <w:rFonts w:ascii="Times New Roman" w:hAnsi="Times New Roman" w:eastAsia="仿宋_GB2312"/>
          <w:color w:val="auto"/>
          <w:highlight w:val="none"/>
        </w:rPr>
      </w:pPr>
    </w:p>
    <w:p w14:paraId="13DF0328">
      <w:pPr>
        <w:pStyle w:val="2"/>
        <w:rPr>
          <w:rFonts w:ascii="Times New Roman" w:hAnsi="Times New Roman" w:eastAsia="仿宋_GB2312"/>
          <w:color w:val="auto"/>
          <w:highlight w:val="none"/>
        </w:rPr>
      </w:pPr>
    </w:p>
    <w:p w14:paraId="24BC058F">
      <w:pPr>
        <w:pStyle w:val="2"/>
        <w:rPr>
          <w:rFonts w:ascii="Times New Roman" w:hAnsi="Times New Roman" w:eastAsia="仿宋_GB2312"/>
          <w:color w:val="auto"/>
          <w:highlight w:val="none"/>
        </w:rPr>
      </w:pPr>
    </w:p>
    <w:p w14:paraId="72288045">
      <w:pPr>
        <w:pStyle w:val="2"/>
        <w:rPr>
          <w:rFonts w:ascii="Times New Roman" w:hAnsi="Times New Roman" w:eastAsia="仿宋_GB2312"/>
          <w:color w:val="auto"/>
          <w:highlight w:val="none"/>
        </w:rPr>
      </w:pPr>
    </w:p>
    <w:p w14:paraId="13EADC46">
      <w:pPr>
        <w:pStyle w:val="2"/>
        <w:rPr>
          <w:rFonts w:ascii="Times New Roman" w:hAnsi="Times New Roman" w:eastAsia="仿宋_GB2312"/>
          <w:color w:val="auto"/>
          <w:highlight w:val="none"/>
        </w:rPr>
      </w:pPr>
    </w:p>
    <w:p w14:paraId="097CAD8A">
      <w:pPr>
        <w:pStyle w:val="2"/>
        <w:rPr>
          <w:rFonts w:ascii="Times New Roman" w:hAnsi="Times New Roman" w:eastAsia="仿宋_GB2312"/>
          <w:color w:val="auto"/>
          <w:highlight w:val="none"/>
        </w:rPr>
      </w:pPr>
    </w:p>
    <w:p w14:paraId="38B3B76F">
      <w:pPr>
        <w:pStyle w:val="2"/>
        <w:rPr>
          <w:rFonts w:ascii="Times New Roman" w:hAnsi="Times New Roman" w:eastAsia="仿宋_GB2312"/>
          <w:color w:val="auto"/>
          <w:highlight w:val="none"/>
        </w:rPr>
      </w:pPr>
    </w:p>
    <w:p w14:paraId="10673ED0">
      <w:pPr>
        <w:pStyle w:val="2"/>
        <w:rPr>
          <w:rFonts w:ascii="Times New Roman" w:hAnsi="Times New Roman" w:eastAsia="仿宋_GB2312"/>
          <w:color w:val="auto"/>
          <w:highlight w:val="none"/>
        </w:rPr>
      </w:pPr>
    </w:p>
    <w:p w14:paraId="4211300E">
      <w:pPr>
        <w:pStyle w:val="14"/>
        <w:widowControl w:val="0"/>
        <w:spacing w:before="0" w:beforeLines="0" w:beforeAutospacing="0" w:after="0" w:afterLines="0" w:afterAutospacing="0" w:line="600" w:lineRule="exact"/>
        <w:jc w:val="both"/>
        <w:rPr>
          <w:rFonts w:hint="default" w:ascii="Times New Roman" w:hAnsi="Times New Roman" w:cs="Times New Roman"/>
          <w:color w:val="000000"/>
          <w:sz w:val="32"/>
          <w:szCs w:val="32"/>
          <w:highlight w:val="none"/>
          <w:u w:val="none"/>
        </w:rPr>
        <w:sectPr>
          <w:footerReference r:id="rId9" w:type="first"/>
          <w:footerReference r:id="rId8" w:type="default"/>
          <w:pgSz w:w="11906" w:h="16838"/>
          <w:pgMar w:top="1474" w:right="1474" w:bottom="1474" w:left="1474" w:header="851" w:footer="992" w:gutter="0"/>
          <w:pgNumType w:start="1"/>
          <w:cols w:space="720" w:num="1"/>
          <w:docGrid w:type="lines" w:linePitch="312" w:charSpace="0"/>
        </w:sectPr>
      </w:pPr>
    </w:p>
    <w:bookmarkEnd w:id="0"/>
    <w:bookmarkEnd w:id="1"/>
    <w:p w14:paraId="4B24AD9C">
      <w:pPr>
        <w:pStyle w:val="3"/>
        <w:keepNext w:val="0"/>
        <w:keepLines w:val="0"/>
        <w:jc w:val="both"/>
        <w:rPr>
          <w:rFonts w:hint="default" w:ascii="Times New Roman" w:hAnsi="Times New Roman" w:cs="Times New Roman"/>
          <w:b/>
          <w:color w:val="000000"/>
          <w:highlight w:val="none"/>
          <w:u w:val="none"/>
        </w:rPr>
      </w:pPr>
      <w:bookmarkStart w:id="2" w:name="_Toc5796"/>
      <w:bookmarkStart w:id="3" w:name="_Toc32724"/>
    </w:p>
    <w:p w14:paraId="3DACCEA3">
      <w:pPr>
        <w:pStyle w:val="3"/>
        <w:rPr>
          <w:rFonts w:hint="default" w:ascii="Times New Roman" w:hAnsi="Times New Roman" w:cs="Times New Roman"/>
          <w:color w:val="000000"/>
          <w:highlight w:val="none"/>
          <w:u w:val="none"/>
        </w:rPr>
      </w:pPr>
      <w:bookmarkStart w:id="4" w:name="_Toc61268170"/>
      <w:r>
        <w:rPr>
          <w:rFonts w:hint="default" w:ascii="Times New Roman" w:hAnsi="Times New Roman" w:cs="Times New Roman"/>
          <w:color w:val="000000"/>
          <w:highlight w:val="none"/>
          <w:u w:val="none"/>
        </w:rPr>
        <w:t>第一章  全面建成小康社会，实现经济社会高质量发展</w:t>
      </w:r>
      <w:bookmarkEnd w:id="2"/>
      <w:bookmarkEnd w:id="3"/>
      <w:bookmarkEnd w:id="4"/>
    </w:p>
    <w:p w14:paraId="4CB0ED24">
      <w:pPr>
        <w:pStyle w:val="4"/>
        <w:keepNext w:val="0"/>
        <w:keepLines w:val="0"/>
        <w:rPr>
          <w:rFonts w:hint="default" w:ascii="Times New Roman" w:hAnsi="Times New Roman" w:cs="Times New Roman"/>
          <w:color w:val="000000"/>
          <w:highlight w:val="none"/>
          <w:u w:val="none"/>
        </w:rPr>
      </w:pPr>
    </w:p>
    <w:p w14:paraId="3BCD9469">
      <w:pPr>
        <w:pStyle w:val="4"/>
        <w:rPr>
          <w:rFonts w:hint="default" w:ascii="Times New Roman" w:hAnsi="Times New Roman" w:cs="Times New Roman"/>
          <w:color w:val="000000"/>
          <w:highlight w:val="none"/>
          <w:u w:val="none"/>
        </w:rPr>
      </w:pPr>
      <w:bookmarkStart w:id="5" w:name="_Toc61268171"/>
      <w:r>
        <w:rPr>
          <w:rFonts w:hint="default" w:ascii="Times New Roman" w:hAnsi="Times New Roman" w:cs="Times New Roman"/>
          <w:color w:val="000000"/>
          <w:highlight w:val="none"/>
          <w:u w:val="none"/>
        </w:rPr>
        <w:t>第一节  全面建成小康社会取得显著成就</w:t>
      </w:r>
      <w:bookmarkEnd w:id="5"/>
    </w:p>
    <w:p w14:paraId="5F30EE05">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十三五”期间，桦南县委、县政府坚持以习近平新时代中国特色社会主义思想为指导，坚持稳中求进工作总基调，坚定不移贯彻新发展理念，着力推动高质量发展，坚决打好三大攻坚战，不断提升城市建设和民生事业发展水平，综合实力进一步增强，发展质量稳步提升，顺利完成脱贫攻坚等各项任务目标，统筹推进疫情防控和经济社会发展，锐意进取、顽强拼搏、攻坚克难、主动作为，“十三五”规划确定的主要目标任务基本完成，与全国同步进入全面小康社会，为“十四五”经济社会发展奠定了坚实基础。荣获国家级荣誉73项，省级荣誉104项，市级荣誉142项。</w:t>
      </w:r>
    </w:p>
    <w:p w14:paraId="5E6B1F5A">
      <w:pPr>
        <w:pStyle w:val="13"/>
        <w:tabs>
          <w:tab w:val="right" w:leader="dot" w:pos="8296"/>
        </w:tabs>
        <w:spacing w:line="600" w:lineRule="exact"/>
        <w:ind w:left="0" w:leftChars="0"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——综合实力大幅攀升。</w:t>
      </w:r>
      <w:r>
        <w:rPr>
          <w:rFonts w:hint="default" w:ascii="Times New Roman" w:hAnsi="Times New Roman" w:eastAsia="仿宋_GB2312" w:cs="Times New Roman"/>
          <w:color w:val="000000"/>
          <w:sz w:val="32"/>
          <w:szCs w:val="32"/>
          <w:highlight w:val="none"/>
          <w:u w:val="none"/>
        </w:rPr>
        <w:t>“十三五”时期，始终坚持以经济建设为中心，坚持不懈抓招商、上项目、兴产业，全力打造县域经济综合强县。2020年全县地区生产总值预计实现122亿元，五年平均增长6.9%；公共财政收入预计实现3.9亿元，五年平均增长2.9%；固定资产投资五年平均增长4.5%；社会消费品零售总额五年平均增长6.1%；城镇、农村常住居民人均可支配收入预计分别实现28500元、12900元，五年分别平均增长11.7%、6.6%，</w:t>
      </w:r>
      <w:r>
        <w:rPr>
          <w:rFonts w:hint="default" w:ascii="Times New Roman" w:hAnsi="Times New Roman" w:eastAsia="仿宋_GB2312" w:cs="Times New Roman"/>
          <w:snapToGrid w:val="0"/>
          <w:color w:val="000000"/>
          <w:sz w:val="32"/>
          <w:szCs w:val="32"/>
          <w:highlight w:val="none"/>
          <w:u w:val="none"/>
        </w:rPr>
        <w:t>进出口贸易总额实现6.8万美元，五年平均增长0.9%。</w:t>
      </w:r>
    </w:p>
    <w:p w14:paraId="5586554B">
      <w:pPr>
        <w:spacing w:line="600" w:lineRule="exact"/>
        <w:ind w:firstLine="643" w:firstLineChars="200"/>
        <w:rPr>
          <w:rFonts w:hint="default" w:ascii="Times New Roman" w:hAnsi="Times New Roman" w:eastAsia="仿宋_GB2312" w:cs="Times New Roman"/>
          <w:snapToGrid w:val="0"/>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——产业结构优化升级。</w:t>
      </w:r>
      <w:r>
        <w:rPr>
          <w:rFonts w:hint="default" w:ascii="Times New Roman" w:hAnsi="Times New Roman" w:eastAsia="仿宋_GB2312" w:cs="Times New Roman"/>
          <w:color w:val="000000"/>
          <w:sz w:val="32"/>
          <w:szCs w:val="32"/>
          <w:highlight w:val="none"/>
          <w:u w:val="none"/>
        </w:rPr>
        <w:t>坚持稳住工业产业、巩固农业产业、发展新兴产业、培育立县主导产业，加快构建现代产业体系。</w:t>
      </w:r>
      <w:r>
        <w:rPr>
          <w:rFonts w:hint="default" w:ascii="Times New Roman" w:hAnsi="Times New Roman" w:eastAsia="仿宋_GB2312" w:cs="Times New Roman"/>
          <w:snapToGrid w:val="0"/>
          <w:color w:val="000000"/>
          <w:sz w:val="32"/>
          <w:szCs w:val="32"/>
          <w:highlight w:val="none"/>
          <w:u w:val="none"/>
        </w:rPr>
        <w:t>五年累计引进项目130项，省市“百大项目”156项。规上工业企业36户，工业增加值实现15.5亿元，五年平均增长25.3%。三次产业比重由2016年的60：11：29，调整为2020年的56：17：27。招商引资签约项目数、开复工产业项目数、产业项目完成投资额始终位于全省前列。桦南经开区成功晋升省级高新产业技术开发区。</w:t>
      </w:r>
    </w:p>
    <w:p w14:paraId="058F5E8C">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——乡村振兴全面实施。</w:t>
      </w:r>
      <w:r>
        <w:rPr>
          <w:rFonts w:hint="default" w:ascii="Times New Roman" w:hAnsi="Times New Roman" w:eastAsia="仿宋_GB2312" w:cs="Times New Roman"/>
          <w:snapToGrid w:val="0"/>
          <w:color w:val="000000"/>
          <w:sz w:val="32"/>
          <w:szCs w:val="32"/>
          <w:highlight w:val="none"/>
          <w:u w:val="none"/>
        </w:rPr>
        <w:t>坚持“三农”重中之重地位不动摇，以农业现代化建设为抓手，全面实施乡村振兴战略，加快农业全面升级、农村全面进步、农民全面发展</w:t>
      </w:r>
      <w:r>
        <w:rPr>
          <w:rFonts w:hint="default" w:ascii="Times New Roman" w:hAnsi="Times New Roman" w:eastAsia="仿宋_GB2312" w:cs="Times New Roman"/>
          <w:color w:val="000000"/>
          <w:sz w:val="32"/>
          <w:szCs w:val="32"/>
          <w:highlight w:val="none"/>
          <w:u w:val="none"/>
        </w:rPr>
        <w:t>，粮食总产量稳定在24亿斤，</w:t>
      </w:r>
      <w:r>
        <w:rPr>
          <w:rFonts w:hint="default" w:ascii="Times New Roman" w:hAnsi="Times New Roman" w:eastAsia="仿宋_GB2312" w:cs="Times New Roman"/>
          <w:bCs/>
          <w:color w:val="000000"/>
          <w:sz w:val="32"/>
          <w:szCs w:val="32"/>
          <w:highlight w:val="none"/>
          <w:u w:val="none"/>
        </w:rPr>
        <w:t>数字乡村稳步推进，</w:t>
      </w:r>
      <w:r>
        <w:rPr>
          <w:rFonts w:hint="default" w:ascii="Times New Roman" w:hAnsi="Times New Roman" w:eastAsia="仿宋_GB2312" w:cs="Times New Roman"/>
          <w:color w:val="000000"/>
          <w:sz w:val="32"/>
          <w:szCs w:val="32"/>
          <w:highlight w:val="none"/>
          <w:u w:val="none"/>
        </w:rPr>
        <w:t>被评为国家数字乡村试点县，建立桦南县代餐粉产业联盟，创建黑龙江桦南代餐粉产业知名品牌创建示范区和省级代餐粉现代农业产业园，成功获批国家级鸿源现代农业创业园、省级圣杰现代农业科技园、龙兴现代农业科技园、中药材现代农业产业园。荣获“全国农村一二三产业融合发展先导区”“全国绿色食品（水稻）一二三产业融合发展园区”“国家第二批大豆良种繁育基地县”“全国林下经济专业合作组织示范县”“全省绿色蔬菜生产基地县”“全省中药材基地示范县”“全省重大动物疫病防控工作先进单位”“省级家畜繁育先进县”“省级农业产业化联合体示范县”。</w:t>
      </w:r>
    </w:p>
    <w:p w14:paraId="06221B10">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——脱贫攻坚成绩斐然。</w:t>
      </w:r>
      <w:r>
        <w:rPr>
          <w:rFonts w:hint="default" w:ascii="Times New Roman" w:hAnsi="Times New Roman" w:eastAsia="仿宋_GB2312" w:cs="Times New Roman"/>
          <w:color w:val="000000"/>
          <w:sz w:val="32"/>
          <w:szCs w:val="32"/>
          <w:highlight w:val="none"/>
          <w:u w:val="none"/>
        </w:rPr>
        <w:t>聚焦精准促脱贫，统筹整合资金40.2亿元，全县脱贫10509户21778人，贫困发生率由5.4%降至零，2019年5月正式脱贫出列。统筹资金12.2亿元，大力实施16项巩固提升专项行动，确保稳定脱贫不返贫。先后顺利通过省际扶贫开发工作成效交叉考核、国家精准扶贫工作成效第三方评估、国家脱贫攻坚督查等8次国家评估和检查，连续四年在全省市（县）党政领导班子扶贫开发成效考核中取得A级佳绩。</w:t>
      </w:r>
    </w:p>
    <w:p w14:paraId="50D6FECA">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——精神文明建设成果丰硕。</w:t>
      </w:r>
      <w:r>
        <w:rPr>
          <w:rFonts w:hint="default" w:ascii="Times New Roman" w:hAnsi="Times New Roman" w:eastAsia="仿宋_GB2312" w:cs="Times New Roman"/>
          <w:color w:val="000000"/>
          <w:sz w:val="32"/>
          <w:szCs w:val="32"/>
          <w:highlight w:val="none"/>
          <w:u w:val="none"/>
        </w:rPr>
        <w:t>扎实开展社会主义核心价值观“七进七促”活动，广泛开展“五大创建”，县级及以上文明乡镇创建达标率实现100%，文明村创建达标率实现65%；成功创建“第六届全国文明城市”，实现了“摘掉贫困帽”“挂上文明牌”目标，食安城、平安城、卫生城、园林城、双拥城均已获得省级荣誉。成立了全省首个县级志愿服务基金会，叫响“志愿服务之城”品牌。典型选树成果丰硕，共获得国家级典型16人次，省级以上典型54人次；国家级先进集体5个，省级以上先进集体19个。被确定为全国第二批新时代文明实践试点县，并以全省第一的成绩顺利通过国家验收。</w:t>
      </w:r>
      <w:r>
        <w:rPr>
          <w:rFonts w:hint="default" w:ascii="Times New Roman" w:hAnsi="Times New Roman" w:eastAsia="仿宋_GB2312" w:cs="Times New Roman"/>
          <w:color w:val="000000"/>
          <w:kern w:val="0"/>
          <w:sz w:val="32"/>
          <w:szCs w:val="32"/>
          <w:highlight w:val="none"/>
          <w:u w:val="none"/>
          <w:lang w:val="zh-CN"/>
        </w:rPr>
        <w:t>桦南县代表黑龙江省参加全国农民体育健身大赛荣获团体二等奖。</w:t>
      </w:r>
    </w:p>
    <w:p w14:paraId="6E526D73">
      <w:pPr>
        <w:spacing w:line="600" w:lineRule="exact"/>
        <w:ind w:firstLine="643" w:firstLineChars="200"/>
        <w:rPr>
          <w:rFonts w:hint="default" w:ascii="Times New Roman" w:hAnsi="Times New Roman" w:eastAsia="仿宋_GB2312" w:cs="Times New Roman"/>
          <w:color w:val="000000"/>
          <w:sz w:val="32"/>
          <w:szCs w:val="32"/>
          <w:highlight w:val="none"/>
          <w:u w:val="none"/>
          <w:shd w:val="clear" w:color="auto" w:fill="FFFFFF"/>
        </w:rPr>
      </w:pPr>
      <w:r>
        <w:rPr>
          <w:rFonts w:hint="default" w:ascii="Times New Roman" w:hAnsi="Times New Roman" w:eastAsia="仿宋_GB2312" w:cs="Times New Roman"/>
          <w:b/>
          <w:color w:val="000000"/>
          <w:sz w:val="32"/>
          <w:szCs w:val="32"/>
          <w:highlight w:val="none"/>
          <w:u w:val="none"/>
        </w:rPr>
        <w:t>——深化改革扎实推进。</w:t>
      </w:r>
      <w:r>
        <w:rPr>
          <w:rFonts w:hint="default" w:ascii="Times New Roman" w:hAnsi="Times New Roman" w:eastAsia="仿宋_GB2312" w:cs="Times New Roman"/>
          <w:color w:val="000000"/>
          <w:sz w:val="32"/>
          <w:szCs w:val="32"/>
          <w:highlight w:val="none"/>
          <w:u w:val="none"/>
        </w:rPr>
        <w:t>全省率先推进“最多跑一次、最多见一面”改革，作为全省唯一县级相对集中行政许可权改革试点县，成立全省唯一一家县级行政审批局，个体营业执照、企业营业执照、不动产登记等审批速度全国领先。农垦和森工办社会职能改革成为全省先进典型。</w:t>
      </w:r>
      <w:r>
        <w:rPr>
          <w:rFonts w:hint="default" w:ascii="Times New Roman" w:hAnsi="Times New Roman" w:eastAsia="仿宋_GB2312" w:cs="Times New Roman"/>
          <w:snapToGrid w:val="0"/>
          <w:color w:val="000000"/>
          <w:sz w:val="32"/>
          <w:szCs w:val="32"/>
          <w:highlight w:val="none"/>
          <w:u w:val="none"/>
        </w:rPr>
        <w:t>在全省率先探索乡镇综合执法改革，</w:t>
      </w:r>
      <w:r>
        <w:rPr>
          <w:rFonts w:hint="default" w:ascii="Times New Roman" w:hAnsi="Times New Roman" w:eastAsia="仿宋_GB2312" w:cs="Times New Roman"/>
          <w:color w:val="000000"/>
          <w:sz w:val="32"/>
          <w:szCs w:val="32"/>
          <w:highlight w:val="none"/>
          <w:u w:val="none"/>
          <w:shd w:val="clear" w:color="auto" w:fill="FFFFFF"/>
        </w:rPr>
        <w:t>被确定为全国第一批乡镇政府服务能力建设典型经验，改革做法被编入《全国加强乡镇政府服务能力建设》和《黑龙江省民政厅乡镇政府与村民自治》辅导读本</w:t>
      </w:r>
      <w:r>
        <w:rPr>
          <w:rFonts w:hint="default" w:ascii="Times New Roman" w:hAnsi="Times New Roman" w:eastAsia="仿宋_GB2312" w:cs="Times New Roman"/>
          <w:color w:val="000000"/>
          <w:sz w:val="32"/>
          <w:szCs w:val="32"/>
          <w:highlight w:val="none"/>
          <w:u w:val="none"/>
        </w:rPr>
        <w:t>。调整行政区划，设立五道岗乡、柳毛河镇。农村集体产权制度改革持续深化，土地经营权入股发展农业产业化经营试点改革经验全国推广，被确定为国家级农村集体产权制度改革整县推进试点县、第二批全国经验交流典型单位、全国农村承包土地确权登记颁证工作典型地区。</w:t>
      </w:r>
      <w:r>
        <w:rPr>
          <w:rFonts w:hint="default" w:ascii="Times New Roman" w:hAnsi="Times New Roman" w:eastAsia="仿宋_GB2312" w:cs="Times New Roman"/>
          <w:color w:val="000000"/>
          <w:sz w:val="32"/>
          <w:szCs w:val="32"/>
          <w:highlight w:val="none"/>
          <w:u w:val="none"/>
          <w:shd w:val="clear" w:color="auto" w:fill="FFFFFF"/>
        </w:rPr>
        <w:t>在全省率先推行村级小微权力规范化运行改革，全面推进网格化治理，被确定为“全国乡村治理体系建设试点县”“全国数字乡村试点县”。</w:t>
      </w:r>
    </w:p>
    <w:p w14:paraId="32125530">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——民生福祉明显改善。</w:t>
      </w:r>
      <w:r>
        <w:rPr>
          <w:rFonts w:hint="default" w:ascii="Times New Roman" w:hAnsi="Times New Roman" w:eastAsia="仿宋_GB2312" w:cs="Times New Roman"/>
          <w:color w:val="000000"/>
          <w:sz w:val="32"/>
          <w:szCs w:val="32"/>
          <w:highlight w:val="none"/>
          <w:u w:val="none"/>
          <w:shd w:val="clear" w:color="auto" w:fill="FFFFFF"/>
        </w:rPr>
        <w:t>积极践行以人民为中心的发展思想，坚持用小财政办大民生，五年累计投入176.8亿元，民生支出占总支出88.5%，广大群众获得感、幸福感、安全感更加充实、更有保障、更可持续。</w:t>
      </w:r>
      <w:r>
        <w:rPr>
          <w:rFonts w:hint="default" w:ascii="Times New Roman" w:hAnsi="Times New Roman" w:eastAsia="仿宋_GB2312" w:cs="Times New Roman"/>
          <w:color w:val="000000"/>
          <w:sz w:val="32"/>
          <w:szCs w:val="32"/>
          <w:highlight w:val="none"/>
          <w:u w:val="none"/>
        </w:rPr>
        <w:t>完成棚户区改造71.82万平方米，改造升级老旧小区65个，新建改造城区主次干道74条，城区主次干道亮化率100%；新增绿化面积118.4万平方米，建设公园游园5个，人均公园绿地9.79平方米，城区种植乔木8.84万棵、灌木191丛，栽植花卉810万株，绿化覆盖率33.95%；</w:t>
      </w:r>
      <w:r>
        <w:rPr>
          <w:rFonts w:hint="default" w:ascii="Times New Roman" w:hAnsi="Times New Roman" w:eastAsia="仿宋_GB2312" w:cs="Times New Roman"/>
          <w:snapToGrid w:val="0"/>
          <w:color w:val="000000"/>
          <w:sz w:val="32"/>
          <w:szCs w:val="32"/>
          <w:highlight w:val="none"/>
          <w:u w:val="none"/>
        </w:rPr>
        <w:t>健全完善社会保障体系，城乡社保、医保等实现法定人群全覆盖，</w:t>
      </w:r>
      <w:r>
        <w:rPr>
          <w:rFonts w:hint="default" w:ascii="Times New Roman" w:hAnsi="Times New Roman" w:eastAsia="仿宋_GB2312" w:cs="Times New Roman"/>
          <w:color w:val="000000"/>
          <w:sz w:val="32"/>
          <w:szCs w:val="32"/>
          <w:highlight w:val="none"/>
          <w:u w:val="none"/>
        </w:rPr>
        <w:t>职工平均工资在全市县级层面最高。</w:t>
      </w:r>
      <w:r>
        <w:rPr>
          <w:rFonts w:hint="default" w:ascii="Times New Roman" w:hAnsi="Times New Roman" w:eastAsia="仿宋_GB2312" w:cs="Times New Roman"/>
          <w:snapToGrid w:val="0"/>
          <w:color w:val="000000"/>
          <w:sz w:val="32"/>
          <w:szCs w:val="32"/>
          <w:highlight w:val="none"/>
          <w:u w:val="none"/>
        </w:rPr>
        <w:t>创新实施“九八九”转移就业工程，城镇登记失业率控</w:t>
      </w:r>
      <w:r>
        <w:rPr>
          <w:rFonts w:hint="default" w:ascii="Times New Roman" w:hAnsi="Times New Roman" w:eastAsia="仿宋_GB2312" w:cs="Times New Roman"/>
          <w:color w:val="000000"/>
          <w:sz w:val="32"/>
          <w:szCs w:val="32"/>
          <w:highlight w:val="none"/>
          <w:u w:val="none"/>
        </w:rPr>
        <w:t>制在4.3%以内，荣获“全省农民工工作先进集体”，就业技能培训中心被评为“全省家庭服务业示范基地”“省级高技能人才培训基地”，“桦南家服”被评为国家级家政服务品牌。大力发展教育事业，义务教育均衡发展评估检查全省排名第一，被评为“省部共建现代农村职业教育改革试验区试点县”“国家级农村职业教育和成人教育示范县”“全国群众体育先进县”。全面建设“健康桦南”，新建县医院内科楼、儿科楼、中医院综合楼、康复楼、乡镇卫生院业务用房3.8万平方米，成功创建全省中医药先进县、省级慢性病综合防控示范区。新建全民建设中心、客运总站、公安局、看守所、拘留所、党校，改造政务服务中心、殡葬服务中心等基础设施，切实满足广大群众公共服务需求。</w:t>
      </w:r>
    </w:p>
    <w:p w14:paraId="0B687B28">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——生态文明全面进步。</w:t>
      </w:r>
      <w:r>
        <w:rPr>
          <w:rFonts w:hint="default" w:ascii="Times New Roman" w:hAnsi="Times New Roman" w:eastAsia="仿宋_GB2312" w:cs="Times New Roman"/>
          <w:color w:val="000000"/>
          <w:sz w:val="32"/>
          <w:szCs w:val="32"/>
          <w:highlight w:val="none"/>
          <w:u w:val="none"/>
        </w:rPr>
        <w:t>坚持以打造“两座金山银山”为抓手，统筹实施山水林田湖草生态保护和修复工程，深入推进大气污染、水污染和土壤污染防治三大行动计划，连续三年荣获全省植树造林先进单位。全面落实河湖长制，扎实推进秸秆全域禁烧和“五化”综合利用，在全省率先实现100%关闭小煤矿淘汰落后产能，荣获“省级生态县”“全国秸秆综合利用工作试点县”。大力实施城乡环境卫生综合整治，广泛开展美丽宜居示范乡村“四区四带”行动，创建省级绿化示范村2个，荣获“全省美丽乡村先进县”。</w:t>
      </w:r>
    </w:p>
    <w:p w14:paraId="040F477E">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——社会治理成效显著。</w:t>
      </w:r>
      <w:r>
        <w:rPr>
          <w:rFonts w:hint="default" w:ascii="Times New Roman" w:hAnsi="Times New Roman" w:eastAsia="仿宋_GB2312" w:cs="Times New Roman"/>
          <w:color w:val="000000"/>
          <w:sz w:val="32"/>
          <w:szCs w:val="32"/>
          <w:highlight w:val="none"/>
          <w:u w:val="none"/>
        </w:rPr>
        <w:t>坚持法治桦南、法治政府、法治社会一体推进，依法行政、严格执法、公正司法能力进一步增强，稳步推进“七五”普法，荣获“全国法治县创建活动先进单位”“全国法律援助工作先进单位”“全省防范处理邪教工作先进集体”“全省平安县”“全省经济发展法治环境先进县”</w:t>
      </w:r>
      <w:r>
        <w:rPr>
          <w:rFonts w:hint="default" w:ascii="Times New Roman" w:hAnsi="Times New Roman" w:eastAsia="仿宋_GB2312" w:cs="Times New Roman"/>
          <w:color w:val="000000"/>
          <w:sz w:val="32"/>
          <w:szCs w:val="32"/>
          <w:highlight w:val="none"/>
          <w:u w:val="none"/>
          <w:shd w:val="clear" w:color="auto" w:fill="FFFFFF"/>
        </w:rPr>
        <w:t>，被评为“全国七五普法中期先进县”</w:t>
      </w:r>
      <w:r>
        <w:rPr>
          <w:rFonts w:hint="default" w:ascii="Times New Roman" w:hAnsi="Times New Roman" w:eastAsia="仿宋_GB2312" w:cs="Times New Roman"/>
          <w:color w:val="000000"/>
          <w:sz w:val="32"/>
          <w:szCs w:val="32"/>
          <w:highlight w:val="none"/>
          <w:u w:val="none"/>
        </w:rPr>
        <w:t>，连续三年被评为“全省社会治安综合治理先进集体”“全市普法依法治理工作优胜单位”，成功创建“全省法治政府建设示范县”。扎实开展“扫黑除恶”专项斗争、“三打击一整治”专项行动，荣获“全省社区戒毒社区康复示范单位”“全市扫黑除恶先进单位”“全市禁毒工作先进县”。严格落实公共安全和安全生产责任，铁西社区被评为“全国综合减灾示范社区”，全市安全生产和消防工作考核排名领先。党管武装工作位列全省第一梯队，民兵调整改革顺利完成。</w:t>
      </w:r>
    </w:p>
    <w:p w14:paraId="7F31F095">
      <w:pPr>
        <w:spacing w:line="600" w:lineRule="exact"/>
        <w:ind w:firstLine="643" w:firstLineChars="200"/>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——政治生态风清气正。</w:t>
      </w:r>
      <w:r>
        <w:rPr>
          <w:rFonts w:hint="default" w:ascii="Times New Roman" w:hAnsi="Times New Roman" w:eastAsia="仿宋_GB2312" w:cs="Times New Roman"/>
          <w:color w:val="000000"/>
          <w:sz w:val="32"/>
          <w:szCs w:val="32"/>
          <w:highlight w:val="none"/>
          <w:u w:val="none"/>
        </w:rPr>
        <w:t>推动全面从严治党向纵深发展，高质量开展“党的群众路线教育实践活动”、“三严三实”专题教育、“两学一做”学习教育、“不忘初心、牢记使命”主题教育。打造城市党建联盟，建设全市第一家县级党建馆、警示教育基地暨廉政教育基地、国防教育基地、普法教育基地、禁毒教育基地。牢固树立正确选人用人导向，注重加强年轻干部队伍建设，年轻干部选任居全市前列。严格落实党风廉政建设主体责任，深化运用监督执纪“四种形态”，严肃查处群众身边腐败案件和不正之风。2016年、2019年分别荣获“全市基层党建工作先进县委”；连续三年全市目标考评第一；连续三年荣获全市党风廉政建设责任制检查考核优秀等次；连续三年荣获全市政治生态考核优秀单位。</w:t>
      </w:r>
      <w:r>
        <w:rPr>
          <w:rFonts w:hint="default" w:ascii="Times New Roman" w:hAnsi="Times New Roman" w:eastAsia="仿宋_GB2312" w:cs="Times New Roman"/>
          <w:bCs/>
          <w:color w:val="000000"/>
          <w:sz w:val="32"/>
          <w:szCs w:val="32"/>
          <w:highlight w:val="none"/>
          <w:u w:val="none"/>
        </w:rPr>
        <w:t>“十三五”时期全县政治、经济、文化、社会、生态等各项事业均取得了全面发展，为“十四五”开启加快建设现代化美好桦南新征程奠定坚实基础。</w:t>
      </w:r>
    </w:p>
    <w:p w14:paraId="48E8F9C0">
      <w:pPr>
        <w:pStyle w:val="4"/>
        <w:rPr>
          <w:rFonts w:hint="default" w:ascii="Times New Roman" w:hAnsi="Times New Roman" w:eastAsia="仿宋_GB2312" w:cs="Times New Roman"/>
          <w:color w:val="000000"/>
          <w:highlight w:val="none"/>
          <w:u w:val="none"/>
        </w:rPr>
      </w:pPr>
      <w:bookmarkStart w:id="6" w:name="_Toc61268172"/>
      <w:r>
        <w:rPr>
          <w:rFonts w:hint="default" w:ascii="Times New Roman" w:hAnsi="Times New Roman" w:cs="Times New Roman"/>
          <w:color w:val="000000"/>
          <w:highlight w:val="none"/>
          <w:u w:val="none"/>
        </w:rPr>
        <w:t>第二节  发展环境</w:t>
      </w:r>
      <w:bookmarkEnd w:id="6"/>
    </w:p>
    <w:p w14:paraId="221492C0">
      <w:pPr>
        <w:spacing w:line="600" w:lineRule="exact"/>
        <w:ind w:firstLine="640" w:firstLineChars="200"/>
        <w:rPr>
          <w:rFonts w:hint="default" w:ascii="Times New Roman" w:hAnsi="Times New Roman" w:eastAsia="仿宋_GB2312" w:cs="Times New Roman"/>
          <w:b/>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未来五年，世界百年未有之大变局深度演化和我国社会主义现代化建设新征程开局起步相互交融，发展环境发生复杂而深刻的变化。我们正处于转变发展方式、增强发展动能爬坡过坎的关键阶段，需要站在新的历史方位，对发展环境做出辩证客观精准的判断。</w:t>
      </w:r>
    </w:p>
    <w:p w14:paraId="1CDD554B">
      <w:pPr>
        <w:spacing w:line="600" w:lineRule="exact"/>
        <w:ind w:firstLine="643" w:firstLineChars="200"/>
        <w:rPr>
          <w:rFonts w:hint="default" w:ascii="Times New Roman" w:hAnsi="Times New Roman" w:eastAsia="仿宋_GB2312" w:cs="Times New Roman"/>
          <w:b/>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从战略全局看。</w:t>
      </w:r>
      <w:r>
        <w:rPr>
          <w:rFonts w:hint="default" w:ascii="Times New Roman" w:hAnsi="Times New Roman" w:eastAsia="仿宋_GB2312" w:cs="Times New Roman"/>
          <w:color w:val="000000"/>
          <w:sz w:val="32"/>
          <w:szCs w:val="32"/>
          <w:highlight w:val="none"/>
          <w:u w:val="none"/>
        </w:rPr>
        <w:t>我国经济潜力足、韧性强、回旋空间大、政策工具多的基本特点没有变。我国具有全球最完整、规模最大的工业体系、强大的生产能力、完善的配套能力，正处于新型工业化、信息化、城镇化、农业现代化快速发展阶段，投资需求潜力巨大。</w:t>
      </w:r>
    </w:p>
    <w:p w14:paraId="059B9DE2">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从省市层面看。</w:t>
      </w:r>
      <w:r>
        <w:rPr>
          <w:rFonts w:hint="default" w:ascii="Times New Roman" w:hAnsi="Times New Roman" w:eastAsia="仿宋_GB2312" w:cs="Times New Roman"/>
          <w:color w:val="000000"/>
          <w:sz w:val="32"/>
          <w:szCs w:val="32"/>
          <w:highlight w:val="none"/>
          <w:u w:val="none"/>
        </w:rPr>
        <w:t>省委、省政府和市委、市政府从“五大安全”战略高度出发，主动应对国内外经济下行带来的压力和挑战，生态文明、乡村振兴、兴边富民、城乡融合等领域政策力度持续加大，有助于推进县域经济社会高质量发展。</w:t>
      </w:r>
    </w:p>
    <w:p w14:paraId="4C6A7756">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从内部环境看。</w:t>
      </w:r>
      <w:r>
        <w:rPr>
          <w:rFonts w:hint="default" w:ascii="Times New Roman" w:hAnsi="Times New Roman" w:eastAsia="仿宋_GB2312" w:cs="Times New Roman"/>
          <w:color w:val="000000"/>
          <w:sz w:val="32"/>
          <w:szCs w:val="32"/>
          <w:highlight w:val="none"/>
          <w:u w:val="none"/>
        </w:rPr>
        <w:t>桦南县地缘区位优势突出，是“龙江陆海丝绸之路”上的重要节点；自然资源得天独厚，位于世界仅存的三大黑土区之一，土地辽阔、地形多样、土质肥沃；历史文化底蕴厚重，产业集聚优势明显。近年来，县委、县政府加快推动经济结构战略性调整，加大主导产业培育发展步伐，不断深化改革开放，优化营商环境，努力提升城乡建设和民生福祉，全县经济社会持续健康发展，奠定了全面振兴全方位振兴的经济基础。但仍然存在县域经济总量不大，实体经济困难较多，缺乏立县支柱产业；财源建设滞后，保工资、保运转、保基本民生压力较大；乡村振兴步伐较慢，农村一二三产深度融合发展不够，人居环境有待改善；民生领域存在短板，一些群众关注关心的热点难点问题还没有彻底解决等一系列问题。</w:t>
      </w:r>
    </w:p>
    <w:p w14:paraId="497351C9">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总的看，全县发展处于并将长期处于重要战略机遇期的总体判断没有变，经济长期向好的基本面和大趋势没有变，必须统筹中华民族伟大复兴战略全局和世界百年未有之大变局，深刻认识新发展阶段、全面贯彻新发展理念、着力融入新发展格局，增强机遇意识和风险意识，准确识变、科学应变、主动求变，善于在危机中育先机、于变局中开新局，推动新旧动能转换，抓住机遇，应对挑战，趋利避害，奋勇前进，走出一条质量更高、效益更好、结构更优、优势充分释放的振兴发展新路。</w:t>
      </w:r>
    </w:p>
    <w:p w14:paraId="68C781EE">
      <w:pPr>
        <w:pStyle w:val="4"/>
        <w:rPr>
          <w:rFonts w:hint="default" w:ascii="Times New Roman" w:hAnsi="Times New Roman" w:cs="Times New Roman"/>
          <w:color w:val="000000"/>
          <w:highlight w:val="none"/>
          <w:u w:val="none"/>
        </w:rPr>
      </w:pPr>
      <w:bookmarkStart w:id="7" w:name="_Toc61268173"/>
      <w:r>
        <w:rPr>
          <w:rFonts w:hint="default" w:ascii="Times New Roman" w:hAnsi="Times New Roman" w:cs="Times New Roman"/>
          <w:color w:val="000000"/>
          <w:highlight w:val="none"/>
          <w:u w:val="none"/>
        </w:rPr>
        <w:t>第三节  二〇三五年基本实现现代化的远景目标</w:t>
      </w:r>
      <w:bookmarkEnd w:id="7"/>
    </w:p>
    <w:p w14:paraId="76B62F34">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紧紧围绕国家“十四五”规划战略部署，贯彻落实中央和省市委关于社会主义现代化建设的部署要求，立足县域经济社会发展的阶段性特点，围绕“五位一体”总体布局和“四个全面”战略布局，全面建设“创新、协调、绿色、开放、共享”的现代化美好桦南，努力实现“经济振兴、政治清明、文化繁荣、社会和谐、生态宜居、人民幸福”的奋斗目标</w:t>
      </w:r>
      <w:r>
        <w:rPr>
          <w:rFonts w:hint="default" w:ascii="Times New Roman" w:hAnsi="Times New Roman" w:eastAsia="仿宋_GB2312" w:cs="Times New Roman"/>
          <w:color w:val="000000"/>
          <w:sz w:val="32"/>
          <w:szCs w:val="32"/>
          <w:highlight w:val="none"/>
          <w:u w:val="none"/>
          <w:shd w:val="clear" w:color="auto" w:fill="FFFFFF"/>
        </w:rPr>
        <w:t>；</w:t>
      </w:r>
      <w:r>
        <w:rPr>
          <w:rFonts w:hint="default" w:ascii="Times New Roman" w:hAnsi="Times New Roman" w:eastAsia="仿宋_GB2312" w:cs="Times New Roman"/>
          <w:color w:val="000000"/>
          <w:sz w:val="32"/>
          <w:szCs w:val="32"/>
          <w:highlight w:val="none"/>
          <w:u w:val="none"/>
        </w:rPr>
        <w:t>到2035年，基本实现社会主义现代化</w:t>
      </w:r>
      <w:r>
        <w:rPr>
          <w:rFonts w:hint="eastAsia"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到本世纪中叶，全面建成社会主义现代化美好桦南。展望二</w:t>
      </w:r>
      <w:r>
        <w:rPr>
          <w:rFonts w:hint="default" w:ascii="Times New Roman" w:hAnsi="Times New Roman" w:eastAsia="微软雅黑" w:cs="Times New Roman"/>
          <w:color w:val="000000"/>
          <w:sz w:val="32"/>
          <w:szCs w:val="32"/>
          <w:highlight w:val="none"/>
          <w:u w:val="none"/>
        </w:rPr>
        <w:t>〇</w:t>
      </w:r>
      <w:r>
        <w:rPr>
          <w:rFonts w:hint="default" w:ascii="Times New Roman" w:hAnsi="Times New Roman" w:eastAsia="仿宋_GB2312" w:cs="Times New Roman"/>
          <w:color w:val="000000"/>
          <w:sz w:val="32"/>
          <w:szCs w:val="32"/>
          <w:highlight w:val="none"/>
          <w:u w:val="none"/>
        </w:rPr>
        <w:t>三五年，全县经济实力、综合实力大幅提升，经济总量和城乡居民人均收入再迈新台阶；率先实现农业现代化，基本实现新型工业化、信息化、城镇化，建成现代化经济体系；基本实现治理体系和治理能力现代化，人民平等参与、平等发展权利得到充分保障，营商环境持续优化，基本建成法治桦南、法治政府、法治社会；市民素质和社会文明程度达到新高度，文化软实力显著增强；基本公共服务实现均等化，城乡发展差距和居民生活水平差距显著缩小；平安桦南建设达到更高水平；人民生活更加美好，人的全面发展、共同富裕取得更为明显的实质性进展。</w:t>
      </w:r>
      <w:bookmarkStart w:id="8" w:name="_Toc5141"/>
      <w:bookmarkStart w:id="9" w:name="_Toc25742"/>
    </w:p>
    <w:p w14:paraId="44007BC7">
      <w:pPr>
        <w:pStyle w:val="15"/>
        <w:spacing w:before="0" w:beforeLines="0" w:after="0" w:afterLines="0" w:line="600" w:lineRule="exact"/>
        <w:rPr>
          <w:rFonts w:hint="default" w:ascii="Times New Roman" w:hAnsi="Times New Roman" w:eastAsia="仿宋_GB2312" w:cs="Times New Roman"/>
          <w:b w:val="0"/>
          <w:bCs w:val="0"/>
          <w:color w:val="000000"/>
          <w:highlight w:val="none"/>
          <w:u w:val="none"/>
        </w:rPr>
      </w:pPr>
    </w:p>
    <w:p w14:paraId="35D7D814">
      <w:pPr>
        <w:pStyle w:val="3"/>
        <w:keepNext w:val="0"/>
        <w:keepLines w:val="0"/>
        <w:rPr>
          <w:rFonts w:hint="default" w:ascii="Times New Roman" w:hAnsi="Times New Roman" w:cs="Times New Roman"/>
          <w:b/>
          <w:color w:val="000000"/>
          <w:highlight w:val="none"/>
          <w:u w:val="none"/>
        </w:rPr>
      </w:pPr>
      <w:bookmarkStart w:id="10" w:name="_Toc61268174"/>
    </w:p>
    <w:p w14:paraId="15C5851B">
      <w:pPr>
        <w:pStyle w:val="3"/>
        <w:keepNext w:val="0"/>
        <w:keepLines w:val="0"/>
        <w:rPr>
          <w:rFonts w:hint="default" w:ascii="Times New Roman" w:hAnsi="Times New Roman" w:cs="Times New Roman"/>
          <w:b/>
          <w:color w:val="000000"/>
          <w:highlight w:val="none"/>
          <w:u w:val="none"/>
        </w:rPr>
      </w:pPr>
      <w:r>
        <w:rPr>
          <w:rFonts w:hint="default" w:ascii="Times New Roman" w:hAnsi="Times New Roman" w:cs="Times New Roman"/>
          <w:b/>
          <w:color w:val="000000"/>
          <w:highlight w:val="none"/>
          <w:u w:val="none"/>
        </w:rPr>
        <w:t>第二章  “十四五”时期经济社会发展总体要求</w:t>
      </w:r>
      <w:bookmarkEnd w:id="10"/>
    </w:p>
    <w:p w14:paraId="2897F4CE">
      <w:pPr>
        <w:pStyle w:val="4"/>
        <w:keepNext w:val="0"/>
        <w:keepLines w:val="0"/>
        <w:rPr>
          <w:rFonts w:hint="default" w:ascii="Times New Roman" w:hAnsi="Times New Roman" w:cs="Times New Roman"/>
          <w:color w:val="000000"/>
          <w:highlight w:val="none"/>
          <w:u w:val="none"/>
        </w:rPr>
      </w:pPr>
    </w:p>
    <w:p w14:paraId="2EBAEB83">
      <w:pPr>
        <w:pStyle w:val="4"/>
        <w:keepNext w:val="0"/>
        <w:keepLines w:val="0"/>
        <w:rPr>
          <w:rFonts w:hint="default" w:ascii="Times New Roman" w:hAnsi="Times New Roman" w:cs="Times New Roman"/>
          <w:color w:val="000000"/>
          <w:highlight w:val="none"/>
          <w:u w:val="none"/>
        </w:rPr>
      </w:pPr>
      <w:bookmarkStart w:id="11" w:name="_Toc61268175"/>
      <w:r>
        <w:rPr>
          <w:rFonts w:hint="default" w:ascii="Times New Roman" w:hAnsi="Times New Roman" w:cs="Times New Roman"/>
          <w:color w:val="000000"/>
          <w:highlight w:val="none"/>
          <w:u w:val="none"/>
        </w:rPr>
        <w:t>第一节  指导思想</w:t>
      </w:r>
      <w:bookmarkEnd w:id="11"/>
    </w:p>
    <w:p w14:paraId="70838735">
      <w:pPr>
        <w:spacing w:line="600" w:lineRule="exact"/>
        <w:ind w:firstLine="63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始终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落实习近平总书记在深入推进东北振兴座谈会上的重要讲话和对我省重要讲话重要指示批示精神，增强“四个意识”，坚定“四个自信”，做到“两个维护”，统筹推进经济建设、政治建设、文化建设、社会建设、生态文明建设的总体布局，协调推进全面建设社会主义现代化国家、全面深化改革、全面依法治国、全面从严治党的战略布局，持续贯彻落实习近平总书记在深入推进东北振兴座谈会上的重要讲话和对我省重要讲话重要指示批示精神，坚定不移贯彻创新、协调、绿色、开放、共享的新发展理念，坚持稳中求进工作总基调，以推动高质量发展为主题，以深化供给侧结构性改革为主线，以改革创新为根本动力，以满足人民日益增长的美好生活需要为根本目的，围绕建设“美好桦南”奋斗目标，全面推进产业升级、乡村振兴、融合发展、区域协同、改革创新、生态保护、文旅融合、互联互通、民生优先、社会治理，加强党的全面领导，统筹发展和安全，加快建设现代化经济体系，主动融入以国内大循环为主体、国内国际双循环相互促进的新发展格局，推进治理体系和治理能力现代化，实现经济行稳致远、社会安定和谐，为全面建设现代化美好桦南开好局、起好步。</w:t>
      </w:r>
    </w:p>
    <w:p w14:paraId="4E480B80">
      <w:pPr>
        <w:pStyle w:val="4"/>
        <w:keepNext w:val="0"/>
        <w:keepLines w:val="0"/>
        <w:rPr>
          <w:rFonts w:hint="default" w:ascii="Times New Roman" w:hAnsi="Times New Roman" w:cs="Times New Roman"/>
          <w:color w:val="000000"/>
          <w:highlight w:val="none"/>
          <w:u w:val="none"/>
        </w:rPr>
      </w:pPr>
      <w:bookmarkStart w:id="12" w:name="_Toc61268176"/>
      <w:r>
        <w:rPr>
          <w:rFonts w:hint="default" w:ascii="Times New Roman" w:hAnsi="Times New Roman" w:cs="Times New Roman"/>
          <w:color w:val="000000"/>
          <w:highlight w:val="none"/>
          <w:u w:val="none"/>
        </w:rPr>
        <w:t>第二节  基本原则</w:t>
      </w:r>
      <w:bookmarkEnd w:id="12"/>
    </w:p>
    <w:p w14:paraId="6596AF84">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坚持党的全面领导。</w:t>
      </w:r>
      <w:r>
        <w:rPr>
          <w:rFonts w:hint="default" w:ascii="Times New Roman" w:hAnsi="Times New Roman" w:eastAsia="仿宋_GB2312" w:cs="Times New Roman"/>
          <w:color w:val="000000"/>
          <w:sz w:val="32"/>
          <w:szCs w:val="32"/>
          <w:highlight w:val="none"/>
          <w:u w:val="none"/>
        </w:rPr>
        <w:t>坚持和完善党领导经济社会发展的体制机制，切实增强党的创造力、凝聚力、战斗力，不断提高贯彻新发展理念、构建新发展格局的能力水平，为实现经济社会持续健康发展的提供根本政治保证，确保高质量发展沿着正确方向前进。</w:t>
      </w:r>
    </w:p>
    <w:p w14:paraId="0E512E93">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坚持人民至上。</w:t>
      </w:r>
      <w:r>
        <w:rPr>
          <w:rFonts w:hint="default" w:ascii="Times New Roman" w:hAnsi="Times New Roman" w:eastAsia="仿宋_GB2312" w:cs="Times New Roman"/>
          <w:color w:val="000000"/>
          <w:sz w:val="32"/>
          <w:szCs w:val="32"/>
          <w:highlight w:val="none"/>
          <w:u w:val="none"/>
        </w:rPr>
        <w:t>坚持人民主体地位，坚持共同富裕方向，全面践行以人民为中心的发展理念，促进社会公平，增进民生福祉，始终做到发展为了人民、发展依靠人民、发展成果由人民共享，不断满足人民群众对美好生活的向往。</w:t>
      </w:r>
    </w:p>
    <w:p w14:paraId="2E594B18">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坚持新发展理念。</w:t>
      </w:r>
      <w:r>
        <w:rPr>
          <w:rFonts w:hint="default" w:ascii="Times New Roman" w:hAnsi="Times New Roman" w:eastAsia="仿宋_GB2312" w:cs="Times New Roman"/>
          <w:color w:val="000000"/>
          <w:sz w:val="32"/>
          <w:szCs w:val="32"/>
          <w:highlight w:val="none"/>
          <w:u w:val="none"/>
        </w:rPr>
        <w:t>坚持把新发展理念贯穿发展全过程和各领域，按照经济社会高质量发展的内在要求，保持经济增长的稳定性、协调性、公平性、可持续性，推动质量变革、效率变革、动力变革，实现更加充分、更加均衡的发展。</w:t>
      </w:r>
    </w:p>
    <w:p w14:paraId="4FD168BA">
      <w:pPr>
        <w:pStyle w:val="14"/>
        <w:widowControl w:val="0"/>
        <w:spacing w:before="0" w:beforeLines="0" w:beforeAutospacing="0" w:after="0" w:afterLines="0" w:afterAutospacing="0" w:line="600" w:lineRule="exact"/>
        <w:ind w:firstLine="630" w:firstLineChars="196"/>
        <w:jc w:val="both"/>
        <w:rPr>
          <w:rFonts w:hint="default" w:ascii="Times New Roman" w:hAnsi="Times New Roman" w:eastAsia="仿宋_GB2312" w:cs="Times New Roman"/>
          <w:color w:val="000000"/>
          <w:sz w:val="28"/>
          <w:szCs w:val="28"/>
          <w:highlight w:val="none"/>
          <w:u w:val="none"/>
        </w:rPr>
      </w:pPr>
      <w:r>
        <w:rPr>
          <w:rFonts w:hint="default" w:ascii="Times New Roman" w:hAnsi="Times New Roman" w:eastAsia="仿宋_GB2312" w:cs="Times New Roman"/>
          <w:b/>
          <w:color w:val="000000"/>
          <w:sz w:val="32"/>
          <w:szCs w:val="32"/>
          <w:highlight w:val="none"/>
          <w:u w:val="none"/>
        </w:rPr>
        <w:t>坚持改革开放。</w:t>
      </w:r>
      <w:r>
        <w:rPr>
          <w:rFonts w:hint="default" w:ascii="Times New Roman" w:hAnsi="Times New Roman" w:eastAsia="仿宋_GB2312" w:cs="Times New Roman"/>
          <w:color w:val="000000"/>
          <w:sz w:val="32"/>
          <w:szCs w:val="32"/>
          <w:highlight w:val="none"/>
          <w:u w:val="none"/>
        </w:rPr>
        <w:t>坚定不移推进改革，坚定不移扩大开放，围绕</w:t>
      </w:r>
      <w:r>
        <w:rPr>
          <w:rFonts w:hint="default" w:ascii="Times New Roman" w:hAnsi="Times New Roman" w:eastAsia="仿宋_GB2312" w:cs="Times New Roman"/>
          <w:color w:val="000000"/>
          <w:kern w:val="2"/>
          <w:sz w:val="32"/>
          <w:szCs w:val="32"/>
          <w:highlight w:val="none"/>
          <w:u w:val="none"/>
        </w:rPr>
        <w:t>推进治理体系和治理能力现代化，</w:t>
      </w:r>
      <w:r>
        <w:rPr>
          <w:rFonts w:hint="default" w:ascii="Times New Roman" w:hAnsi="Times New Roman" w:eastAsia="仿宋_GB2312" w:cs="Times New Roman"/>
          <w:color w:val="000000"/>
          <w:sz w:val="32"/>
          <w:szCs w:val="32"/>
          <w:highlight w:val="none"/>
          <w:u w:val="none"/>
        </w:rPr>
        <w:t>破除制约高质量发展、高品质生活的体制机制障碍，强化有利于提高资源配置效率、有利于调动全社会积极性的重大改革开放举措，</w:t>
      </w:r>
      <w:r>
        <w:rPr>
          <w:rFonts w:hint="default" w:ascii="Times New Roman" w:hAnsi="Times New Roman" w:eastAsia="仿宋_GB2312" w:cs="Times New Roman"/>
          <w:color w:val="000000"/>
          <w:kern w:val="2"/>
          <w:sz w:val="32"/>
          <w:szCs w:val="32"/>
          <w:highlight w:val="none"/>
          <w:u w:val="none"/>
        </w:rPr>
        <w:t>为高质量发展提供持续动力。</w:t>
      </w:r>
    </w:p>
    <w:p w14:paraId="7A2FF305">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坚持系统观念。</w:t>
      </w:r>
      <w:r>
        <w:rPr>
          <w:rFonts w:hint="default" w:ascii="Times New Roman" w:hAnsi="Times New Roman" w:eastAsia="仿宋_GB2312" w:cs="Times New Roman"/>
          <w:color w:val="000000"/>
          <w:sz w:val="32"/>
          <w:szCs w:val="32"/>
          <w:highlight w:val="none"/>
          <w:u w:val="none"/>
        </w:rPr>
        <w:t>加强前瞻性思考、全局性谋划、战略性布局、整体性推进，办好发展安全两件大事，注重防范化解重大风险挑战，实现发展质量、结构、规模、速度、效益、安全相统一。</w:t>
      </w:r>
    </w:p>
    <w:p w14:paraId="04319AA6">
      <w:pPr>
        <w:pStyle w:val="4"/>
        <w:rPr>
          <w:rFonts w:hint="default" w:ascii="Times New Roman" w:hAnsi="Times New Roman" w:cs="Times New Roman"/>
          <w:color w:val="000000"/>
          <w:highlight w:val="none"/>
          <w:u w:val="none"/>
        </w:rPr>
      </w:pPr>
      <w:bookmarkStart w:id="13" w:name="_Toc61268177"/>
      <w:r>
        <w:rPr>
          <w:rFonts w:hint="default" w:ascii="Times New Roman" w:hAnsi="Times New Roman" w:cs="Times New Roman"/>
          <w:color w:val="000000"/>
          <w:highlight w:val="none"/>
          <w:u w:val="none"/>
        </w:rPr>
        <w:t xml:space="preserve">第三节  </w:t>
      </w:r>
      <w:bookmarkStart w:id="14" w:name="_Toc6729"/>
      <w:bookmarkStart w:id="15" w:name="_Toc15169"/>
      <w:bookmarkStart w:id="16" w:name="_Toc16588"/>
      <w:r>
        <w:rPr>
          <w:rFonts w:hint="default" w:ascii="Times New Roman" w:hAnsi="Times New Roman" w:cs="Times New Roman"/>
          <w:color w:val="000000"/>
          <w:highlight w:val="none"/>
          <w:u w:val="none"/>
        </w:rPr>
        <w:t>主要目标</w:t>
      </w:r>
      <w:bookmarkEnd w:id="13"/>
      <w:bookmarkEnd w:id="14"/>
      <w:bookmarkEnd w:id="15"/>
      <w:bookmarkEnd w:id="16"/>
    </w:p>
    <w:p w14:paraId="612AA0D6">
      <w:pPr>
        <w:spacing w:line="600" w:lineRule="exact"/>
        <w:ind w:firstLine="657" w:firstLineChars="197"/>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pacing w:val="7"/>
          <w:sz w:val="32"/>
          <w:szCs w:val="32"/>
          <w:highlight w:val="none"/>
          <w:u w:val="none"/>
        </w:rPr>
        <w:t>锚定二</w:t>
      </w:r>
      <w:r>
        <w:rPr>
          <w:rFonts w:hint="default" w:ascii="Times New Roman" w:hAnsi="Times New Roman" w:cs="Times New Roman"/>
          <w:color w:val="000000"/>
          <w:spacing w:val="7"/>
          <w:sz w:val="32"/>
          <w:szCs w:val="32"/>
          <w:highlight w:val="none"/>
          <w:u w:val="none"/>
        </w:rPr>
        <w:t>〇</w:t>
      </w:r>
      <w:r>
        <w:rPr>
          <w:rFonts w:hint="default" w:ascii="Times New Roman" w:hAnsi="Times New Roman" w:eastAsia="仿宋_GB2312" w:cs="Times New Roman"/>
          <w:color w:val="000000"/>
          <w:spacing w:val="7"/>
          <w:sz w:val="32"/>
          <w:szCs w:val="32"/>
          <w:highlight w:val="none"/>
          <w:u w:val="none"/>
        </w:rPr>
        <w:t>三五年远景目标，综合考虑发展趋势和发展条件，</w:t>
      </w:r>
      <w:r>
        <w:rPr>
          <w:rFonts w:hint="default" w:ascii="Times New Roman" w:hAnsi="Times New Roman" w:eastAsia="仿宋_GB2312" w:cs="Times New Roman"/>
          <w:color w:val="000000"/>
          <w:sz w:val="32"/>
          <w:szCs w:val="32"/>
          <w:highlight w:val="none"/>
          <w:u w:val="none"/>
        </w:rPr>
        <w:t>扬长避短、扬长克短、扬长补短，发展动能充分激发，质量效益显著提高，到2025年，发展优势得到新塑造，各项事业取得新进步，冲刺全省县域经济十强县，基本实现全面振兴全方位振兴。</w:t>
      </w:r>
    </w:p>
    <w:p w14:paraId="32D0AC5E">
      <w:pPr>
        <w:spacing w:line="600" w:lineRule="exact"/>
        <w:ind w:firstLine="633" w:firstLineChars="197"/>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w:t>
      </w:r>
      <w:r>
        <w:rPr>
          <w:rFonts w:hint="default" w:ascii="Times New Roman" w:hAnsi="Times New Roman" w:eastAsia="仿宋_GB2312" w:cs="Times New Roman"/>
          <w:b/>
          <w:color w:val="000000"/>
          <w:sz w:val="32"/>
          <w:szCs w:val="32"/>
          <w:highlight w:val="none"/>
          <w:u w:val="none"/>
        </w:rPr>
        <w:t>经济发展得到新提升</w:t>
      </w:r>
      <w:r>
        <w:rPr>
          <w:rFonts w:hint="default" w:ascii="Times New Roman" w:hAnsi="Times New Roman" w:eastAsia="仿宋_GB2312" w:cs="Times New Roman"/>
          <w:b/>
          <w:bCs/>
          <w:color w:val="000000"/>
          <w:sz w:val="32"/>
          <w:szCs w:val="32"/>
          <w:highlight w:val="none"/>
          <w:u w:val="none"/>
        </w:rPr>
        <w:t>。</w:t>
      </w:r>
      <w:r>
        <w:rPr>
          <w:rFonts w:hint="default" w:ascii="Times New Roman" w:hAnsi="Times New Roman" w:eastAsia="仿宋_GB2312" w:cs="Times New Roman"/>
          <w:color w:val="000000"/>
          <w:sz w:val="32"/>
          <w:szCs w:val="32"/>
          <w:highlight w:val="none"/>
          <w:u w:val="none"/>
        </w:rPr>
        <w:t>经济高质量发展呈现新面貌，</w:t>
      </w:r>
      <w:r>
        <w:rPr>
          <w:rFonts w:hint="default" w:ascii="Times New Roman" w:hAnsi="Times New Roman" w:eastAsia="仿宋_GB2312" w:cs="Times New Roman"/>
          <w:color w:val="000000"/>
          <w:spacing w:val="7"/>
          <w:sz w:val="32"/>
          <w:szCs w:val="32"/>
          <w:highlight w:val="none"/>
          <w:u w:val="none"/>
        </w:rPr>
        <w:t>增长潜力充分发挥，</w:t>
      </w:r>
      <w:r>
        <w:rPr>
          <w:rFonts w:hint="default" w:ascii="Times New Roman" w:hAnsi="Times New Roman" w:eastAsia="仿宋_GB2312" w:cs="Times New Roman"/>
          <w:color w:val="000000"/>
          <w:sz w:val="32"/>
          <w:szCs w:val="32"/>
          <w:highlight w:val="none"/>
          <w:u w:val="none"/>
        </w:rPr>
        <w:t>经济发展的科技含量、生态质量和就业质量更高，新旧动能实现有序转换</w:t>
      </w:r>
      <w:r>
        <w:rPr>
          <w:rFonts w:hint="default" w:ascii="Times New Roman" w:hAnsi="Times New Roman" w:eastAsia="仿宋_GB2312" w:cs="Times New Roman"/>
          <w:color w:val="000000"/>
          <w:spacing w:val="7"/>
          <w:sz w:val="32"/>
          <w:szCs w:val="32"/>
          <w:highlight w:val="none"/>
          <w:u w:val="none"/>
        </w:rPr>
        <w:t>，现代化经济体系建设取得重大进展</w:t>
      </w:r>
      <w:r>
        <w:rPr>
          <w:rFonts w:hint="default" w:ascii="Times New Roman" w:hAnsi="Times New Roman" w:eastAsia="仿宋_GB2312" w:cs="Times New Roman"/>
          <w:color w:val="000000"/>
          <w:sz w:val="32"/>
          <w:szCs w:val="32"/>
          <w:highlight w:val="none"/>
          <w:u w:val="none"/>
        </w:rPr>
        <w:t>，综合实力和对外影响力全面增强。粮食综合生产能力稳定提升。基本建成支撑高质量发展的市场体系、产业体系、城乡区域协调发展体系、绿色发展体系、全面开放体系、民生保障体系，奋力开创社会主义现代化建设新局面。</w:t>
      </w:r>
    </w:p>
    <w:p w14:paraId="0CCD2D58">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——产业水平得到新提升。</w:t>
      </w:r>
      <w:r>
        <w:rPr>
          <w:rFonts w:hint="default" w:ascii="Times New Roman" w:hAnsi="Times New Roman" w:eastAsia="仿宋_GB2312" w:cs="Times New Roman"/>
          <w:color w:val="000000"/>
          <w:sz w:val="32"/>
          <w:szCs w:val="32"/>
          <w:highlight w:val="none"/>
          <w:u w:val="none"/>
        </w:rPr>
        <w:t>产业基础高级化和产业链现代化建设成效明显，传统产业加快转型升级，新兴产业蓬勃发展，</w:t>
      </w:r>
      <w:r>
        <w:rPr>
          <w:rFonts w:hint="default" w:ascii="Times New Roman" w:hAnsi="Times New Roman" w:eastAsia="仿宋_GB2312" w:cs="Times New Roman"/>
          <w:color w:val="000000"/>
          <w:spacing w:val="7"/>
          <w:sz w:val="32"/>
          <w:szCs w:val="32"/>
          <w:highlight w:val="none"/>
          <w:u w:val="none"/>
        </w:rPr>
        <w:t>创新能力显著提升，</w:t>
      </w:r>
      <w:r>
        <w:rPr>
          <w:rFonts w:hint="default" w:ascii="Times New Roman" w:hAnsi="Times New Roman" w:eastAsia="仿宋_GB2312" w:cs="Times New Roman"/>
          <w:color w:val="000000"/>
          <w:sz w:val="32"/>
          <w:szCs w:val="32"/>
          <w:highlight w:val="none"/>
          <w:u w:val="none"/>
        </w:rPr>
        <w:t>投入产出比率和经济效益大幅提高；第二产业占GDP比重达到20%以上，服务业增加值占GDP比重达到30%以上，高质量发展能力进一步增强。</w:t>
      </w:r>
    </w:p>
    <w:p w14:paraId="2EFA3946">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——改革开放得到新提升。</w:t>
      </w:r>
      <w:r>
        <w:rPr>
          <w:rFonts w:hint="default" w:ascii="Times New Roman" w:hAnsi="Times New Roman" w:eastAsia="仿宋_GB2312" w:cs="Times New Roman"/>
          <w:color w:val="000000"/>
          <w:sz w:val="32"/>
          <w:szCs w:val="32"/>
          <w:highlight w:val="none"/>
          <w:u w:val="none"/>
        </w:rPr>
        <w:t>坚持供给侧结构性改革战略方向，抓住内需扩大的基本点，以更大规模能量、更高质量水平融入“一带一路”建设，</w:t>
      </w:r>
      <w:r>
        <w:rPr>
          <w:rFonts w:hint="default" w:ascii="Times New Roman" w:hAnsi="Times New Roman" w:eastAsia="仿宋_GB2312" w:cs="Times New Roman"/>
          <w:color w:val="000000"/>
          <w:spacing w:val="7"/>
          <w:sz w:val="32"/>
          <w:szCs w:val="32"/>
          <w:highlight w:val="none"/>
          <w:u w:val="none"/>
        </w:rPr>
        <w:t>改革开放迈出新步伐，</w:t>
      </w:r>
      <w:r>
        <w:rPr>
          <w:rFonts w:hint="default" w:ascii="Times New Roman" w:hAnsi="Times New Roman" w:eastAsia="仿宋_GB2312" w:cs="Times New Roman"/>
          <w:color w:val="000000"/>
          <w:sz w:val="32"/>
          <w:szCs w:val="32"/>
          <w:highlight w:val="none"/>
          <w:u w:val="none"/>
        </w:rPr>
        <w:t>全面开放新格局初步形成，建成营商环境高地，</w:t>
      </w:r>
      <w:r>
        <w:rPr>
          <w:rFonts w:hint="default" w:ascii="Times New Roman" w:hAnsi="Times New Roman" w:eastAsia="仿宋_GB2312" w:cs="Times New Roman"/>
          <w:color w:val="000000"/>
          <w:spacing w:val="7"/>
          <w:sz w:val="32"/>
          <w:szCs w:val="32"/>
          <w:highlight w:val="none"/>
          <w:u w:val="none"/>
        </w:rPr>
        <w:t>市场主体更加充满活力，公平竞争制度更加健全，</w:t>
      </w:r>
      <w:r>
        <w:rPr>
          <w:rFonts w:hint="default" w:ascii="Times New Roman" w:hAnsi="Times New Roman" w:eastAsia="仿宋_GB2312" w:cs="Times New Roman"/>
          <w:color w:val="000000"/>
          <w:sz w:val="32"/>
          <w:szCs w:val="32"/>
          <w:highlight w:val="none"/>
          <w:u w:val="none"/>
        </w:rPr>
        <w:t>民营经济快速发展。</w:t>
      </w:r>
    </w:p>
    <w:p w14:paraId="0CB6DAFE">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——区域发展得到新提升。</w:t>
      </w:r>
      <w:r>
        <w:rPr>
          <w:rFonts w:hint="default" w:ascii="Times New Roman" w:hAnsi="Times New Roman" w:eastAsia="仿宋_GB2312" w:cs="Times New Roman"/>
          <w:bCs/>
          <w:color w:val="000000"/>
          <w:sz w:val="32"/>
          <w:szCs w:val="32"/>
          <w:highlight w:val="none"/>
          <w:u w:val="none"/>
        </w:rPr>
        <w:t>积极融入佳木斯西部城市功能区建设，</w:t>
      </w:r>
      <w:r>
        <w:rPr>
          <w:rFonts w:hint="default" w:ascii="Times New Roman" w:hAnsi="Times New Roman" w:eastAsia="仿宋_GB2312" w:cs="Times New Roman"/>
          <w:color w:val="000000"/>
          <w:sz w:val="32"/>
          <w:szCs w:val="32"/>
          <w:highlight w:val="none"/>
          <w:u w:val="none"/>
        </w:rPr>
        <w:t>与龙江东部区域的衔接层次和水平进一步提升，同森工林业局和曙光农场的协调发展水平进一步提升。</w:t>
      </w:r>
      <w:r>
        <w:rPr>
          <w:rFonts w:hint="default" w:ascii="Times New Roman" w:hAnsi="Times New Roman" w:eastAsia="仿宋_GB2312" w:cs="Times New Roman"/>
          <w:color w:val="000000"/>
          <w:spacing w:val="7"/>
          <w:sz w:val="32"/>
          <w:szCs w:val="32"/>
          <w:highlight w:val="none"/>
          <w:u w:val="none"/>
        </w:rPr>
        <w:t>城乡区域发展协调性明显增强。</w:t>
      </w:r>
    </w:p>
    <w:p w14:paraId="4EAD1743">
      <w:pPr>
        <w:spacing w:line="600" w:lineRule="exact"/>
        <w:ind w:firstLine="645"/>
        <w:rPr>
          <w:rFonts w:hint="default" w:ascii="Times New Roman" w:hAnsi="Times New Roman" w:eastAsia="仿宋_GB2312" w:cs="Times New Roman"/>
          <w:b/>
          <w:bCs/>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——社会文明得到新提升。</w:t>
      </w:r>
      <w:r>
        <w:rPr>
          <w:rFonts w:hint="default" w:ascii="Times New Roman" w:hAnsi="Times New Roman" w:eastAsia="仿宋_GB2312" w:cs="Times New Roman"/>
          <w:color w:val="000000"/>
          <w:spacing w:val="7"/>
          <w:sz w:val="32"/>
          <w:szCs w:val="32"/>
          <w:highlight w:val="none"/>
          <w:u w:val="none"/>
        </w:rPr>
        <w:t>社会主义核心价值观深入人心，市民思想道德素质、科学文化素质和身心健康素质明显提高，公共文化服务体系和文化产业体系更加健全，群众精神文化生活日益丰富，广大群众凝聚力进一步增强。</w:t>
      </w:r>
    </w:p>
    <w:p w14:paraId="7E915FAE">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——生态文明得到新提升。</w:t>
      </w:r>
      <w:r>
        <w:rPr>
          <w:rFonts w:hint="default" w:ascii="Times New Roman" w:hAnsi="Times New Roman" w:eastAsia="仿宋_GB2312" w:cs="Times New Roman"/>
          <w:color w:val="000000"/>
          <w:spacing w:val="7"/>
          <w:sz w:val="32"/>
          <w:szCs w:val="32"/>
          <w:highlight w:val="none"/>
          <w:u w:val="none"/>
        </w:rPr>
        <w:t>山水林田湖草保护和修复成效显著，国土空间开发保护格局得到优化。</w:t>
      </w:r>
      <w:r>
        <w:rPr>
          <w:rFonts w:hint="default" w:ascii="Times New Roman" w:hAnsi="Times New Roman" w:eastAsia="仿宋_GB2312" w:cs="Times New Roman"/>
          <w:color w:val="000000"/>
          <w:sz w:val="32"/>
          <w:szCs w:val="32"/>
          <w:highlight w:val="none"/>
          <w:u w:val="none"/>
        </w:rPr>
        <w:t>绿色生产方式、生活方式深入人心，</w:t>
      </w:r>
      <w:r>
        <w:rPr>
          <w:rFonts w:hint="default" w:ascii="Times New Roman" w:hAnsi="Times New Roman" w:eastAsia="仿宋_GB2312" w:cs="Times New Roman"/>
          <w:color w:val="000000"/>
          <w:spacing w:val="7"/>
          <w:sz w:val="32"/>
          <w:szCs w:val="32"/>
          <w:highlight w:val="none"/>
          <w:u w:val="none"/>
        </w:rPr>
        <w:t>能源资源配置更加合理、利用效率大幅提高</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pacing w:val="7"/>
          <w:sz w:val="32"/>
          <w:szCs w:val="32"/>
          <w:highlight w:val="none"/>
          <w:u w:val="none"/>
        </w:rPr>
        <w:t>主要污染物排放总量持续减少，生态环境持续改善，生态安全屏障更加牢固，</w:t>
      </w:r>
      <w:r>
        <w:rPr>
          <w:rFonts w:hint="default" w:ascii="Times New Roman" w:hAnsi="Times New Roman" w:eastAsia="仿宋_GB2312" w:cs="Times New Roman"/>
          <w:color w:val="000000"/>
          <w:sz w:val="32"/>
          <w:szCs w:val="32"/>
          <w:highlight w:val="none"/>
          <w:u w:val="none"/>
        </w:rPr>
        <w:t>生态产品供给能力和水平显著增强。</w:t>
      </w:r>
    </w:p>
    <w:p w14:paraId="5FA37497">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——民生福祉得到新提升。</w:t>
      </w:r>
      <w:r>
        <w:rPr>
          <w:rFonts w:hint="default" w:ascii="Times New Roman" w:hAnsi="Times New Roman" w:eastAsia="仿宋_GB2312" w:cs="Times New Roman"/>
          <w:color w:val="000000"/>
          <w:sz w:val="32"/>
          <w:szCs w:val="32"/>
          <w:highlight w:val="none"/>
          <w:u w:val="none"/>
        </w:rPr>
        <w:t>城乡居民生活质量全面提高，</w:t>
      </w:r>
      <w:r>
        <w:rPr>
          <w:rFonts w:hint="default" w:ascii="Times New Roman" w:hAnsi="Times New Roman" w:eastAsia="仿宋_GB2312" w:cs="Times New Roman"/>
          <w:bCs/>
          <w:color w:val="000000"/>
          <w:sz w:val="32"/>
          <w:szCs w:val="32"/>
          <w:highlight w:val="none"/>
          <w:u w:val="none"/>
        </w:rPr>
        <w:t>人均可支配收入稳步增长；</w:t>
      </w:r>
      <w:r>
        <w:rPr>
          <w:rFonts w:hint="default" w:ascii="Times New Roman" w:hAnsi="Times New Roman" w:eastAsia="仿宋_GB2312" w:cs="Times New Roman"/>
          <w:color w:val="000000"/>
          <w:sz w:val="32"/>
          <w:szCs w:val="32"/>
          <w:highlight w:val="none"/>
          <w:u w:val="none"/>
        </w:rPr>
        <w:t>推动实现更加充分、更高质量的就业，城乡居民收入水平和经济发展保持同步增长，中等收入群体持续扩大；</w:t>
      </w:r>
      <w:r>
        <w:rPr>
          <w:rFonts w:hint="default" w:ascii="Times New Roman" w:hAnsi="Times New Roman" w:eastAsia="仿宋_GB2312" w:cs="Times New Roman"/>
          <w:color w:val="000000"/>
          <w:spacing w:val="7"/>
          <w:sz w:val="32"/>
          <w:szCs w:val="32"/>
          <w:highlight w:val="none"/>
          <w:u w:val="none"/>
        </w:rPr>
        <w:t>基本公共服务均等化水平明显提高，全民受教育程度不断提升，实现义务教育基本优质均衡，多层次社会保障体系更加健全，</w:t>
      </w:r>
      <w:r>
        <w:rPr>
          <w:rFonts w:hint="default" w:ascii="Times New Roman" w:hAnsi="Times New Roman" w:eastAsia="仿宋_GB2312" w:cs="Times New Roman"/>
          <w:color w:val="000000"/>
          <w:sz w:val="32"/>
          <w:szCs w:val="32"/>
          <w:highlight w:val="none"/>
          <w:u w:val="none"/>
        </w:rPr>
        <w:t>城乡社会基本养老保险和基本医疗保险实现全覆盖，</w:t>
      </w:r>
      <w:r>
        <w:rPr>
          <w:rFonts w:hint="default" w:ascii="Times New Roman" w:hAnsi="Times New Roman" w:eastAsia="仿宋_GB2312" w:cs="Times New Roman"/>
          <w:color w:val="000000"/>
          <w:spacing w:val="7"/>
          <w:sz w:val="32"/>
          <w:szCs w:val="32"/>
          <w:highlight w:val="none"/>
          <w:u w:val="none"/>
        </w:rPr>
        <w:t>卫生健康体系更加完善，脱贫攻坚成果巩固拓展，乡村振兴战略全面推进</w:t>
      </w:r>
      <w:r>
        <w:rPr>
          <w:rFonts w:hint="default" w:ascii="Times New Roman" w:hAnsi="Times New Roman" w:eastAsia="仿宋_GB2312" w:cs="Times New Roman"/>
          <w:color w:val="000000"/>
          <w:sz w:val="32"/>
          <w:szCs w:val="32"/>
          <w:highlight w:val="none"/>
          <w:u w:val="none"/>
        </w:rPr>
        <w:t>；以人为核心的城镇化全面推进，接续推进巩固拓展脱贫攻坚成果同乡村振兴有效衔接。</w:t>
      </w:r>
    </w:p>
    <w:p w14:paraId="1885F428">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——社会治理得到新提升。</w:t>
      </w:r>
      <w:r>
        <w:rPr>
          <w:rFonts w:hint="default" w:ascii="Times New Roman" w:hAnsi="Times New Roman" w:eastAsia="仿宋_GB2312" w:cs="Times New Roman"/>
          <w:color w:val="000000"/>
          <w:sz w:val="32"/>
          <w:szCs w:val="32"/>
          <w:highlight w:val="none"/>
          <w:u w:val="none"/>
        </w:rPr>
        <w:t>治理体系和治理能力现代化建设取得重要进展，</w:t>
      </w:r>
      <w:r>
        <w:rPr>
          <w:rFonts w:hint="default" w:ascii="Times New Roman" w:hAnsi="Times New Roman" w:eastAsia="仿宋_GB2312" w:cs="Times New Roman"/>
          <w:color w:val="000000"/>
          <w:spacing w:val="7"/>
          <w:sz w:val="32"/>
          <w:szCs w:val="32"/>
          <w:highlight w:val="none"/>
          <w:u w:val="none"/>
        </w:rPr>
        <w:t>社会公平正义进一步彰显，</w:t>
      </w:r>
      <w:r>
        <w:rPr>
          <w:rFonts w:hint="default" w:ascii="Times New Roman" w:hAnsi="Times New Roman" w:eastAsia="仿宋_GB2312" w:cs="Times New Roman"/>
          <w:color w:val="000000"/>
          <w:sz w:val="32"/>
          <w:szCs w:val="32"/>
          <w:highlight w:val="none"/>
          <w:u w:val="none"/>
        </w:rPr>
        <w:t>以基层治理为重点的社会治理水平明显提高，防范化解重大风险的体制机制不断健全，重大突发公共事件应急能力显著增强，自然灾害防御水平明显提升，安全发展理念深入人心，发展安全保障更加有力。</w:t>
      </w:r>
      <w:bookmarkStart w:id="17" w:name="_Toc28321"/>
      <w:bookmarkStart w:id="18" w:name="_Toc18517"/>
      <w:bookmarkStart w:id="19" w:name="_Toc2145"/>
      <w:r>
        <w:rPr>
          <w:rFonts w:hint="default" w:ascii="Times New Roman" w:hAnsi="Times New Roman" w:eastAsia="仿宋_GB2312" w:cs="Times New Roman"/>
          <w:color w:val="000000"/>
          <w:sz w:val="32"/>
          <w:szCs w:val="32"/>
          <w:highlight w:val="none"/>
          <w:u w:val="none"/>
        </w:rPr>
        <w:t>武装力量现代化迈出重大步伐。</w:t>
      </w:r>
    </w:p>
    <w:p w14:paraId="564068AE">
      <w:pPr>
        <w:spacing w:line="600" w:lineRule="exact"/>
        <w:jc w:val="center"/>
        <w:rPr>
          <w:rFonts w:hint="default" w:ascii="Times New Roman" w:hAnsi="Times New Roman" w:eastAsia="黑体" w:cs="Times New Roman"/>
          <w:color w:val="000000"/>
          <w:sz w:val="28"/>
          <w:highlight w:val="none"/>
          <w:u w:val="none"/>
        </w:rPr>
      </w:pPr>
      <w:r>
        <w:rPr>
          <w:rFonts w:hint="default" w:ascii="Times New Roman" w:hAnsi="Times New Roman" w:eastAsia="黑体" w:cs="Times New Roman"/>
          <w:color w:val="000000"/>
          <w:sz w:val="28"/>
          <w:highlight w:val="none"/>
          <w:u w:val="none"/>
        </w:rPr>
        <w:t>专栏1:“十四五”时期经济社会发展主要指标</w:t>
      </w:r>
      <w:bookmarkEnd w:id="17"/>
      <w:bookmarkEnd w:id="18"/>
      <w:bookmarkEnd w:id="19"/>
    </w:p>
    <w:tbl>
      <w:tblPr>
        <w:tblStyle w:val="17"/>
        <w:tblW w:w="0" w:type="auto"/>
        <w:tblInd w:w="-175" w:type="dxa"/>
        <w:tblLayout w:type="fixed"/>
        <w:tblCellMar>
          <w:top w:w="0" w:type="dxa"/>
          <w:left w:w="108" w:type="dxa"/>
          <w:bottom w:w="0" w:type="dxa"/>
          <w:right w:w="108" w:type="dxa"/>
        </w:tblCellMar>
      </w:tblPr>
      <w:tblGrid>
        <w:gridCol w:w="720"/>
        <w:gridCol w:w="675"/>
        <w:gridCol w:w="3540"/>
        <w:gridCol w:w="1095"/>
        <w:gridCol w:w="1372"/>
        <w:gridCol w:w="1500"/>
        <w:gridCol w:w="930"/>
      </w:tblGrid>
      <w:tr w14:paraId="006DFF7F">
        <w:tblPrEx>
          <w:tblCellMar>
            <w:top w:w="0" w:type="dxa"/>
            <w:left w:w="108" w:type="dxa"/>
            <w:bottom w:w="0" w:type="dxa"/>
            <w:right w:w="108" w:type="dxa"/>
          </w:tblCellMar>
        </w:tblPrEx>
        <w:trPr>
          <w:trHeight w:val="402" w:hRule="exact"/>
          <w:tblHeader/>
        </w:trPr>
        <w:tc>
          <w:tcPr>
            <w:tcW w:w="720" w:type="dxa"/>
            <w:vMerge w:val="restart"/>
            <w:tcBorders>
              <w:top w:val="single" w:color="auto" w:sz="4" w:space="0"/>
              <w:left w:val="single" w:color="auto" w:sz="4" w:space="0"/>
              <w:right w:val="single" w:color="auto" w:sz="4" w:space="0"/>
            </w:tcBorders>
            <w:noWrap w:val="0"/>
            <w:vAlign w:val="center"/>
          </w:tcPr>
          <w:p w14:paraId="6F5501F6">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类别</w:t>
            </w:r>
          </w:p>
        </w:tc>
        <w:tc>
          <w:tcPr>
            <w:tcW w:w="675" w:type="dxa"/>
            <w:vMerge w:val="restart"/>
            <w:tcBorders>
              <w:top w:val="single" w:color="auto" w:sz="4" w:space="0"/>
              <w:left w:val="single" w:color="auto" w:sz="4" w:space="0"/>
              <w:right w:val="single" w:color="auto" w:sz="4" w:space="0"/>
            </w:tcBorders>
            <w:noWrap w:val="0"/>
            <w:vAlign w:val="center"/>
          </w:tcPr>
          <w:p w14:paraId="10538FF0">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序号</w:t>
            </w:r>
          </w:p>
        </w:tc>
        <w:tc>
          <w:tcPr>
            <w:tcW w:w="3540" w:type="dxa"/>
            <w:vMerge w:val="restart"/>
            <w:tcBorders>
              <w:top w:val="single" w:color="auto" w:sz="4" w:space="0"/>
              <w:left w:val="single" w:color="auto" w:sz="4" w:space="0"/>
              <w:right w:val="single" w:color="auto" w:sz="4" w:space="0"/>
            </w:tcBorders>
            <w:noWrap w:val="0"/>
            <w:vAlign w:val="center"/>
          </w:tcPr>
          <w:p w14:paraId="68E2903D">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指标名称</w:t>
            </w:r>
          </w:p>
        </w:tc>
        <w:tc>
          <w:tcPr>
            <w:tcW w:w="4897" w:type="dxa"/>
            <w:gridSpan w:val="4"/>
            <w:tcBorders>
              <w:top w:val="single" w:color="auto" w:sz="4" w:space="0"/>
              <w:left w:val="single" w:color="auto" w:sz="4" w:space="0"/>
              <w:bottom w:val="single" w:color="auto" w:sz="4" w:space="0"/>
              <w:right w:val="single" w:color="auto" w:sz="4" w:space="0"/>
            </w:tcBorders>
            <w:noWrap w:val="0"/>
            <w:vAlign w:val="center"/>
          </w:tcPr>
          <w:p w14:paraId="13C3D572">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lang w:eastAsia="zh-CN"/>
              </w:rPr>
              <w:t>规划</w:t>
            </w:r>
            <w:r>
              <w:rPr>
                <w:rFonts w:hint="default" w:ascii="Times New Roman" w:hAnsi="Times New Roman" w:cs="Times New Roman"/>
                <w:b/>
                <w:bCs/>
                <w:color w:val="000000"/>
                <w:kern w:val="0"/>
                <w:sz w:val="20"/>
                <w:szCs w:val="20"/>
                <w:highlight w:val="none"/>
                <w:u w:val="none"/>
              </w:rPr>
              <w:t>目标</w:t>
            </w:r>
          </w:p>
        </w:tc>
      </w:tr>
      <w:tr w14:paraId="3FD739A9">
        <w:tblPrEx>
          <w:tblCellMar>
            <w:top w:w="0" w:type="dxa"/>
            <w:left w:w="108" w:type="dxa"/>
            <w:bottom w:w="0" w:type="dxa"/>
            <w:right w:w="108" w:type="dxa"/>
          </w:tblCellMar>
        </w:tblPrEx>
        <w:trPr>
          <w:trHeight w:val="342" w:hRule="exact"/>
          <w:tblHeader/>
        </w:trPr>
        <w:tc>
          <w:tcPr>
            <w:tcW w:w="720" w:type="dxa"/>
            <w:vMerge w:val="continue"/>
            <w:tcBorders>
              <w:left w:val="single" w:color="auto" w:sz="4" w:space="0"/>
              <w:bottom w:val="single" w:color="auto" w:sz="4" w:space="0"/>
              <w:right w:val="single" w:color="auto" w:sz="4" w:space="0"/>
            </w:tcBorders>
            <w:noWrap w:val="0"/>
            <w:vAlign w:val="center"/>
          </w:tcPr>
          <w:p w14:paraId="4D300EC3">
            <w:pPr>
              <w:widowControl/>
              <w:jc w:val="center"/>
              <w:rPr>
                <w:rFonts w:hint="default" w:ascii="Times New Roman" w:hAnsi="Times New Roman" w:cs="Times New Roman"/>
                <w:b/>
                <w:bCs/>
                <w:color w:val="000000"/>
                <w:kern w:val="0"/>
                <w:sz w:val="20"/>
                <w:szCs w:val="20"/>
                <w:highlight w:val="none"/>
                <w:u w:val="none"/>
              </w:rPr>
            </w:pPr>
          </w:p>
        </w:tc>
        <w:tc>
          <w:tcPr>
            <w:tcW w:w="675" w:type="dxa"/>
            <w:vMerge w:val="continue"/>
            <w:tcBorders>
              <w:left w:val="single" w:color="auto" w:sz="4" w:space="0"/>
              <w:bottom w:val="single" w:color="auto" w:sz="4" w:space="0"/>
              <w:right w:val="single" w:color="auto" w:sz="4" w:space="0"/>
            </w:tcBorders>
            <w:noWrap w:val="0"/>
            <w:vAlign w:val="center"/>
          </w:tcPr>
          <w:p w14:paraId="6BB47FAF">
            <w:pPr>
              <w:widowControl/>
              <w:jc w:val="center"/>
              <w:rPr>
                <w:rFonts w:hint="default" w:ascii="Times New Roman" w:hAnsi="Times New Roman" w:cs="Times New Roman"/>
                <w:b/>
                <w:bCs/>
                <w:color w:val="000000"/>
                <w:kern w:val="0"/>
                <w:sz w:val="20"/>
                <w:szCs w:val="20"/>
                <w:highlight w:val="none"/>
                <w:u w:val="none"/>
              </w:rPr>
            </w:pPr>
          </w:p>
        </w:tc>
        <w:tc>
          <w:tcPr>
            <w:tcW w:w="3540" w:type="dxa"/>
            <w:vMerge w:val="continue"/>
            <w:tcBorders>
              <w:left w:val="single" w:color="auto" w:sz="4" w:space="0"/>
              <w:bottom w:val="single" w:color="auto" w:sz="4" w:space="0"/>
              <w:right w:val="single" w:color="auto" w:sz="4" w:space="0"/>
            </w:tcBorders>
            <w:noWrap w:val="0"/>
            <w:vAlign w:val="center"/>
          </w:tcPr>
          <w:p w14:paraId="63960C86">
            <w:pPr>
              <w:widowControl/>
              <w:jc w:val="center"/>
              <w:rPr>
                <w:rFonts w:hint="default" w:ascii="Times New Roman" w:hAnsi="Times New Roman" w:cs="Times New Roman"/>
                <w:b/>
                <w:bCs/>
                <w:color w:val="000000"/>
                <w:kern w:val="0"/>
                <w:sz w:val="20"/>
                <w:szCs w:val="20"/>
                <w:highlight w:val="none"/>
                <w:u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4B3B9D8">
            <w:pPr>
              <w:widowControl/>
              <w:jc w:val="center"/>
              <w:rPr>
                <w:rFonts w:hint="default" w:ascii="Times New Roman" w:hAnsi="Times New Roman" w:eastAsia="宋体" w:cs="Times New Roman"/>
                <w:b/>
                <w:bCs/>
                <w:color w:val="000000"/>
                <w:kern w:val="0"/>
                <w:sz w:val="20"/>
                <w:szCs w:val="20"/>
                <w:highlight w:val="none"/>
                <w:u w:val="none"/>
                <w:lang w:val="en-US" w:eastAsia="zh-CN"/>
              </w:rPr>
            </w:pPr>
            <w:r>
              <w:rPr>
                <w:rFonts w:hint="default" w:ascii="Times New Roman" w:hAnsi="Times New Roman" w:cs="Times New Roman"/>
                <w:b/>
                <w:bCs/>
                <w:color w:val="000000"/>
                <w:kern w:val="0"/>
                <w:sz w:val="20"/>
                <w:szCs w:val="20"/>
                <w:highlight w:val="none"/>
                <w:u w:val="none"/>
                <w:lang w:val="en-US" w:eastAsia="zh-CN"/>
              </w:rPr>
              <w:t>2020年</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79721CA">
            <w:pPr>
              <w:widowControl/>
              <w:jc w:val="center"/>
              <w:rPr>
                <w:rFonts w:hint="default" w:ascii="Times New Roman" w:hAnsi="Times New Roman" w:eastAsia="宋体" w:cs="Times New Roman"/>
                <w:b/>
                <w:bCs/>
                <w:color w:val="000000"/>
                <w:kern w:val="0"/>
                <w:sz w:val="20"/>
                <w:szCs w:val="20"/>
                <w:highlight w:val="none"/>
                <w:u w:val="none"/>
                <w:lang w:val="en-US" w:eastAsia="zh-CN"/>
              </w:rPr>
            </w:pPr>
            <w:r>
              <w:rPr>
                <w:rFonts w:hint="default" w:ascii="Times New Roman" w:hAnsi="Times New Roman" w:cs="Times New Roman"/>
                <w:b/>
                <w:bCs/>
                <w:color w:val="000000"/>
                <w:kern w:val="0"/>
                <w:sz w:val="20"/>
                <w:szCs w:val="20"/>
                <w:highlight w:val="none"/>
                <w:u w:val="none"/>
                <w:lang w:val="en-US" w:eastAsia="zh-CN"/>
              </w:rPr>
              <w:t>2025年</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F9DA130">
            <w:pPr>
              <w:widowControl/>
              <w:jc w:val="center"/>
              <w:rPr>
                <w:rFonts w:hint="default" w:ascii="Times New Roman" w:hAnsi="Times New Roman" w:eastAsia="宋体" w:cs="Times New Roman"/>
                <w:b/>
                <w:bCs/>
                <w:color w:val="000000"/>
                <w:kern w:val="0"/>
                <w:sz w:val="20"/>
                <w:szCs w:val="20"/>
                <w:highlight w:val="none"/>
                <w:u w:val="none"/>
                <w:lang w:eastAsia="zh-CN"/>
              </w:rPr>
            </w:pPr>
            <w:r>
              <w:rPr>
                <w:rFonts w:hint="default" w:ascii="Times New Roman" w:hAnsi="Times New Roman" w:cs="Times New Roman"/>
                <w:b/>
                <w:bCs/>
                <w:color w:val="000000"/>
                <w:kern w:val="0"/>
                <w:sz w:val="20"/>
                <w:szCs w:val="20"/>
                <w:highlight w:val="none"/>
                <w:u w:val="none"/>
                <w:lang w:eastAsia="zh-CN"/>
              </w:rPr>
              <w:t>年均增长</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C6BDAE5">
            <w:pPr>
              <w:widowControl/>
              <w:jc w:val="center"/>
              <w:rPr>
                <w:rFonts w:hint="default" w:ascii="Times New Roman" w:hAnsi="Times New Roman" w:cs="Times New Roman"/>
                <w:b/>
                <w:bCs/>
                <w:color w:val="000000"/>
                <w:kern w:val="0"/>
                <w:sz w:val="20"/>
                <w:szCs w:val="20"/>
                <w:highlight w:val="none"/>
                <w:u w:val="none"/>
                <w:lang w:val="en-US" w:eastAsia="zh-CN" w:bidi="ar-SA"/>
              </w:rPr>
            </w:pPr>
            <w:r>
              <w:rPr>
                <w:rFonts w:hint="default" w:ascii="Times New Roman" w:hAnsi="Times New Roman" w:cs="Times New Roman"/>
                <w:b/>
                <w:bCs/>
                <w:color w:val="000000"/>
                <w:kern w:val="0"/>
                <w:sz w:val="20"/>
                <w:szCs w:val="20"/>
                <w:highlight w:val="none"/>
                <w:u w:val="none"/>
              </w:rPr>
              <w:t>属性</w:t>
            </w:r>
          </w:p>
        </w:tc>
      </w:tr>
      <w:tr w14:paraId="53801C29">
        <w:tblPrEx>
          <w:tblCellMar>
            <w:top w:w="0" w:type="dxa"/>
            <w:left w:w="108" w:type="dxa"/>
            <w:bottom w:w="0" w:type="dxa"/>
            <w:right w:w="108" w:type="dxa"/>
          </w:tblCellMar>
        </w:tblPrEx>
        <w:trPr>
          <w:trHeight w:val="397" w:hRule="exact"/>
          <w:tblHeader/>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74362775">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经济</w:t>
            </w:r>
          </w:p>
          <w:p w14:paraId="26BA12E2">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发展</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D0269CF">
            <w:pPr>
              <w:widowControl/>
              <w:jc w:val="center"/>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1</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0C3E427C">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lang w:eastAsia="zh-CN"/>
              </w:rPr>
              <w:t>地区</w:t>
            </w:r>
            <w:r>
              <w:rPr>
                <w:rFonts w:hint="default" w:ascii="Times New Roman" w:hAnsi="Times New Roman" w:cs="Times New Roman"/>
                <w:color w:val="000000"/>
                <w:kern w:val="0"/>
                <w:sz w:val="20"/>
                <w:szCs w:val="20"/>
                <w:highlight w:val="none"/>
                <w:u w:val="none"/>
              </w:rPr>
              <w:t>生产总值（GDP）增长率（%）</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1BC7851">
            <w:pPr>
              <w:widowControl/>
              <w:jc w:val="center"/>
              <w:rPr>
                <w:rFonts w:hint="default" w:ascii="Times New Roman" w:hAnsi="Times New Roman" w:cs="Times New Roman"/>
                <w:color w:val="000000"/>
                <w:kern w:val="0"/>
                <w:sz w:val="20"/>
                <w:szCs w:val="20"/>
                <w:highlight w:val="none"/>
                <w:u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056C415">
            <w:pPr>
              <w:widowControl/>
              <w:jc w:val="center"/>
              <w:rPr>
                <w:rFonts w:hint="default" w:ascii="Times New Roman" w:hAnsi="Times New Roman" w:cs="Times New Roman"/>
                <w:color w:val="000000"/>
                <w:kern w:val="0"/>
                <w:sz w:val="20"/>
                <w:szCs w:val="20"/>
                <w:highlight w:val="none"/>
                <w:u w:val="none"/>
                <w:lang w:val="en-US" w:eastAsia="zh-CN" w:bidi="ar-SA"/>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D1746E1">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5-7</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7EC8EF1">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预期值</w:t>
            </w:r>
          </w:p>
        </w:tc>
      </w:tr>
      <w:tr w14:paraId="2BC26749">
        <w:tblPrEx>
          <w:tblCellMar>
            <w:top w:w="0" w:type="dxa"/>
            <w:left w:w="108" w:type="dxa"/>
            <w:bottom w:w="0" w:type="dxa"/>
            <w:right w:w="108" w:type="dxa"/>
          </w:tblCellMar>
        </w:tblPrEx>
        <w:trPr>
          <w:trHeight w:val="397"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7B5A30BA">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54125323">
            <w:pPr>
              <w:widowControl/>
              <w:jc w:val="center"/>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2</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65860E7F">
            <w:pPr>
              <w:widowControl/>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eastAsia="zh-CN"/>
              </w:rPr>
              <w:t>工业增加值占</w:t>
            </w:r>
            <w:r>
              <w:rPr>
                <w:rFonts w:hint="default" w:ascii="Times New Roman" w:hAnsi="Times New Roman" w:cs="Times New Roman"/>
                <w:color w:val="000000"/>
                <w:kern w:val="0"/>
                <w:sz w:val="20"/>
                <w:szCs w:val="20"/>
                <w:highlight w:val="none"/>
                <w:u w:val="none"/>
                <w:lang w:val="en-US" w:eastAsia="zh-CN"/>
              </w:rPr>
              <w:t>GDP比例（%）</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8BE7455">
            <w:pPr>
              <w:widowControl/>
              <w:jc w:val="center"/>
              <w:rPr>
                <w:rFonts w:hint="default" w:ascii="Times New Roman" w:hAnsi="Times New Roman" w:cs="Times New Roman"/>
                <w:color w:val="000000"/>
                <w:kern w:val="0"/>
                <w:sz w:val="20"/>
                <w:szCs w:val="20"/>
                <w:highlight w:val="none"/>
                <w:u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2F979C9A">
            <w:pPr>
              <w:widowControl/>
              <w:jc w:val="center"/>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lang w:val="en-US" w:eastAsia="zh-CN"/>
              </w:rPr>
              <w:t>18</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E06B4B2">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91DD4A9">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预期值</w:t>
            </w:r>
          </w:p>
        </w:tc>
      </w:tr>
      <w:tr w14:paraId="44293406">
        <w:tblPrEx>
          <w:tblCellMar>
            <w:top w:w="0" w:type="dxa"/>
            <w:left w:w="108" w:type="dxa"/>
            <w:bottom w:w="0" w:type="dxa"/>
            <w:right w:w="108" w:type="dxa"/>
          </w:tblCellMar>
        </w:tblPrEx>
        <w:trPr>
          <w:trHeight w:val="397"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27BA61E2">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37363A72">
            <w:pPr>
              <w:widowControl/>
              <w:jc w:val="center"/>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3</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575760F0">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非公有制经济</w:t>
            </w:r>
            <w:r>
              <w:rPr>
                <w:rFonts w:hint="default" w:ascii="Times New Roman" w:hAnsi="Times New Roman" w:cs="Times New Roman"/>
                <w:color w:val="000000"/>
                <w:kern w:val="0"/>
                <w:sz w:val="20"/>
                <w:szCs w:val="20"/>
                <w:highlight w:val="none"/>
                <w:u w:val="none"/>
                <w:lang w:eastAsia="zh-CN"/>
              </w:rPr>
              <w:t>增加值</w:t>
            </w:r>
            <w:r>
              <w:rPr>
                <w:rFonts w:hint="default" w:ascii="Times New Roman" w:hAnsi="Times New Roman" w:cs="Times New Roman"/>
                <w:color w:val="000000"/>
                <w:kern w:val="0"/>
                <w:sz w:val="20"/>
                <w:szCs w:val="20"/>
                <w:highlight w:val="none"/>
                <w:u w:val="none"/>
              </w:rPr>
              <w:t>占GDP比例（%）</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48E7E90">
            <w:pPr>
              <w:widowControl/>
              <w:jc w:val="center"/>
              <w:rPr>
                <w:rFonts w:hint="default" w:ascii="Times New Roman" w:hAnsi="Times New Roman" w:cs="Times New Roman"/>
                <w:color w:val="000000"/>
                <w:kern w:val="0"/>
                <w:sz w:val="20"/>
                <w:szCs w:val="20"/>
                <w:highlight w:val="none"/>
                <w:u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8864A9F">
            <w:pPr>
              <w:widowControl/>
              <w:jc w:val="center"/>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60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B2B2277">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2CAC1E7">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预期值</w:t>
            </w:r>
          </w:p>
        </w:tc>
      </w:tr>
      <w:tr w14:paraId="7D0DCA4D">
        <w:tblPrEx>
          <w:tblCellMar>
            <w:top w:w="0" w:type="dxa"/>
            <w:left w:w="108" w:type="dxa"/>
            <w:bottom w:w="0" w:type="dxa"/>
            <w:right w:w="108" w:type="dxa"/>
          </w:tblCellMar>
        </w:tblPrEx>
        <w:trPr>
          <w:trHeight w:val="362"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3A66ABCC">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460F9E78">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val="en-US" w:eastAsia="zh-CN"/>
              </w:rPr>
              <w:t>4</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76C1B4CB">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常住人口城镇化率（%）</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77BBF8B">
            <w:pPr>
              <w:widowControl/>
              <w:jc w:val="center"/>
              <w:rPr>
                <w:rFonts w:hint="default" w:ascii="Times New Roman" w:hAnsi="Times New Roman" w:cs="Times New Roman"/>
                <w:color w:val="000000"/>
                <w:kern w:val="0"/>
                <w:sz w:val="20"/>
                <w:szCs w:val="20"/>
                <w:highlight w:val="none"/>
                <w:u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E4D3DDB">
            <w:pPr>
              <w:widowControl/>
              <w:jc w:val="center"/>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45</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975D3E7">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0B969FC9">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预期值</w:t>
            </w:r>
          </w:p>
        </w:tc>
      </w:tr>
      <w:tr w14:paraId="61799168">
        <w:tblPrEx>
          <w:tblCellMar>
            <w:top w:w="0" w:type="dxa"/>
            <w:left w:w="108" w:type="dxa"/>
            <w:bottom w:w="0" w:type="dxa"/>
            <w:right w:w="108" w:type="dxa"/>
          </w:tblCellMar>
        </w:tblPrEx>
        <w:trPr>
          <w:trHeight w:val="455" w:hRule="exact"/>
          <w:tblHeader/>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46EFFC4D">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创新</w:t>
            </w:r>
          </w:p>
          <w:p w14:paraId="3AEF2FC7">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驱动</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75F5781">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val="en-US" w:eastAsia="zh-CN"/>
              </w:rPr>
              <w:t>5</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55ACC090">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研发经费投入</w:t>
            </w:r>
            <w:r>
              <w:rPr>
                <w:rFonts w:hint="default" w:ascii="Times New Roman" w:hAnsi="Times New Roman" w:cs="Times New Roman"/>
                <w:color w:val="000000"/>
                <w:kern w:val="0"/>
                <w:sz w:val="20"/>
                <w:szCs w:val="20"/>
                <w:highlight w:val="none"/>
                <w:u w:val="none"/>
                <w:lang w:eastAsia="zh-CN"/>
              </w:rPr>
              <w:t>强度</w:t>
            </w:r>
            <w:r>
              <w:rPr>
                <w:rFonts w:hint="default" w:ascii="Times New Roman" w:hAnsi="Times New Roman" w:cs="Times New Roman"/>
                <w:color w:val="000000"/>
                <w:kern w:val="0"/>
                <w:sz w:val="20"/>
                <w:szCs w:val="20"/>
                <w:highlight w:val="none"/>
                <w:u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C704C65">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0.12</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9132652">
            <w:pPr>
              <w:widowControl/>
              <w:jc w:val="center"/>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FF4B96E">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73346FD">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预期值</w:t>
            </w:r>
          </w:p>
        </w:tc>
      </w:tr>
      <w:tr w14:paraId="0BD0D7EB">
        <w:tblPrEx>
          <w:tblCellMar>
            <w:top w:w="0" w:type="dxa"/>
            <w:left w:w="108" w:type="dxa"/>
            <w:bottom w:w="0" w:type="dxa"/>
            <w:right w:w="108" w:type="dxa"/>
          </w:tblCellMar>
        </w:tblPrEx>
        <w:trPr>
          <w:trHeight w:val="397"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6FB45CB4">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5E84F004">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val="en-US" w:eastAsia="zh-CN"/>
              </w:rPr>
              <w:t>6</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75D25299">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每万人拥有高价值发明专利数（个）</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6AB3F47">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0.9</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274C97C">
            <w:pPr>
              <w:widowControl/>
              <w:jc w:val="center"/>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1.</w:t>
            </w:r>
            <w:r>
              <w:rPr>
                <w:rFonts w:hint="default" w:ascii="Times New Roman" w:hAnsi="Times New Roman" w:cs="Times New Roman"/>
                <w:color w:val="000000"/>
                <w:kern w:val="0"/>
                <w:sz w:val="20"/>
                <w:szCs w:val="20"/>
                <w:highlight w:val="none"/>
                <w:u w:val="none"/>
                <w:lang w:val="en-US" w:eastAsia="zh-CN"/>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0464499">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0631C0D">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预期值</w:t>
            </w:r>
          </w:p>
        </w:tc>
      </w:tr>
      <w:tr w14:paraId="48BC3BF6">
        <w:tblPrEx>
          <w:tblCellMar>
            <w:top w:w="0" w:type="dxa"/>
            <w:left w:w="108" w:type="dxa"/>
            <w:bottom w:w="0" w:type="dxa"/>
            <w:right w:w="108" w:type="dxa"/>
          </w:tblCellMar>
        </w:tblPrEx>
        <w:trPr>
          <w:trHeight w:val="397"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47D8C7FF">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06D9F0CB">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val="en-US" w:eastAsia="zh-CN"/>
              </w:rPr>
              <w:t>7</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2BFDEAE7">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数字经济增加值占GDP比例（%）</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DD1F506">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2C966E25">
            <w:pPr>
              <w:widowControl/>
              <w:jc w:val="center"/>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完成市标</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E53276E">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77BE5313">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预期值</w:t>
            </w:r>
          </w:p>
        </w:tc>
      </w:tr>
      <w:tr w14:paraId="3BBA8A58">
        <w:tblPrEx>
          <w:tblCellMar>
            <w:top w:w="0" w:type="dxa"/>
            <w:left w:w="108" w:type="dxa"/>
            <w:bottom w:w="0" w:type="dxa"/>
            <w:right w:w="108" w:type="dxa"/>
          </w:tblCellMar>
        </w:tblPrEx>
        <w:trPr>
          <w:trHeight w:val="387" w:hRule="exact"/>
          <w:tblHeader/>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4E9095CD">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民生</w:t>
            </w:r>
          </w:p>
          <w:p w14:paraId="1EA3E423">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福祉</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F4336FA">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val="en-US" w:eastAsia="zh-CN"/>
              </w:rPr>
              <w:t>8</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2259889F">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居民人均可支配收入增长率（%）</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D9E355D">
            <w:pPr>
              <w:widowControl/>
              <w:jc w:val="center"/>
              <w:rPr>
                <w:rFonts w:hint="default" w:ascii="Times New Roman" w:hAnsi="Times New Roman" w:cs="Times New Roman"/>
                <w:color w:val="000000"/>
                <w:kern w:val="0"/>
                <w:sz w:val="20"/>
                <w:szCs w:val="20"/>
                <w:highlight w:val="none"/>
                <w:u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B044D28">
            <w:pPr>
              <w:widowControl/>
              <w:jc w:val="center"/>
              <w:rPr>
                <w:rFonts w:hint="default" w:ascii="Times New Roman" w:hAnsi="Times New Roman" w:cs="Times New Roman"/>
                <w:color w:val="000000"/>
                <w:kern w:val="0"/>
                <w:sz w:val="20"/>
                <w:szCs w:val="20"/>
                <w:highlight w:val="none"/>
                <w:u w:val="none"/>
                <w:lang w:val="en-US" w:eastAsia="zh-CN" w:bidi="ar-SA"/>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10B985F">
            <w:pPr>
              <w:widowControl/>
              <w:jc w:val="center"/>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高于经济增速</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8AE0CA8">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预期值</w:t>
            </w:r>
          </w:p>
        </w:tc>
      </w:tr>
      <w:tr w14:paraId="0495BF59">
        <w:tblPrEx>
          <w:tblCellMar>
            <w:top w:w="0" w:type="dxa"/>
            <w:left w:w="108" w:type="dxa"/>
            <w:bottom w:w="0" w:type="dxa"/>
            <w:right w:w="108" w:type="dxa"/>
          </w:tblCellMar>
        </w:tblPrEx>
        <w:trPr>
          <w:trHeight w:val="397"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07943278">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04076783">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val="en-US" w:eastAsia="zh-CN"/>
              </w:rPr>
              <w:t>9</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486EBBEF">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城镇调查失业率（%）</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45D0A28">
            <w:pPr>
              <w:widowControl/>
              <w:jc w:val="center"/>
              <w:rPr>
                <w:rFonts w:hint="default" w:ascii="Times New Roman" w:hAnsi="Times New Roman" w:cs="Times New Roman"/>
                <w:color w:val="000000"/>
                <w:kern w:val="0"/>
                <w:sz w:val="20"/>
                <w:szCs w:val="20"/>
                <w:highlight w:val="none"/>
                <w:u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4708288">
            <w:pPr>
              <w:widowControl/>
              <w:jc w:val="center"/>
              <w:rPr>
                <w:rFonts w:hint="default" w:ascii="Times New Roman" w:hAnsi="Times New Roman" w:eastAsia="宋体" w:cs="Times New Roman"/>
                <w:color w:val="000000"/>
                <w:kern w:val="0"/>
                <w:sz w:val="20"/>
                <w:szCs w:val="20"/>
                <w:highlight w:val="none"/>
                <w:u w:val="none"/>
                <w:lang w:val="en-US" w:eastAsia="zh-CN" w:bidi="ar-SA"/>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932179E">
            <w:pPr>
              <w:widowControl/>
              <w:jc w:val="center"/>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w:t>
            </w:r>
            <w:r>
              <w:rPr>
                <w:rFonts w:hint="default" w:ascii="Times New Roman" w:hAnsi="Times New Roman" w:cs="Times New Roman"/>
                <w:color w:val="000000"/>
                <w:kern w:val="0"/>
                <w:sz w:val="20"/>
                <w:szCs w:val="20"/>
                <w:highlight w:val="none"/>
                <w:u w:val="none"/>
                <w:lang w:val="en-US" w:eastAsia="zh-CN"/>
              </w:rPr>
              <w:t>6</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DBFD479">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预期值</w:t>
            </w:r>
          </w:p>
        </w:tc>
      </w:tr>
      <w:tr w14:paraId="057E0836">
        <w:tblPrEx>
          <w:tblCellMar>
            <w:top w:w="0" w:type="dxa"/>
            <w:left w:w="108" w:type="dxa"/>
            <w:bottom w:w="0" w:type="dxa"/>
            <w:right w:w="108" w:type="dxa"/>
          </w:tblCellMar>
        </w:tblPrEx>
        <w:trPr>
          <w:trHeight w:val="397"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7176096C">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3A7BFAB7">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10</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20B00B2C">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人均预期寿命（年）</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97C16F5">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77.6</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28AFE0B8">
            <w:pPr>
              <w:widowControl/>
              <w:jc w:val="center"/>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80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C24FCC4">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6500C6F6">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预期值</w:t>
            </w:r>
          </w:p>
        </w:tc>
      </w:tr>
      <w:tr w14:paraId="23270D43">
        <w:tblPrEx>
          <w:tblCellMar>
            <w:top w:w="0" w:type="dxa"/>
            <w:left w:w="108" w:type="dxa"/>
            <w:bottom w:w="0" w:type="dxa"/>
            <w:right w:w="108" w:type="dxa"/>
          </w:tblCellMar>
        </w:tblPrEx>
        <w:trPr>
          <w:trHeight w:val="397"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33904E4">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26FBAE87">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rPr>
              <w:t>1</w:t>
            </w:r>
            <w:r>
              <w:rPr>
                <w:rFonts w:hint="default" w:ascii="Times New Roman" w:hAnsi="Times New Roman" w:cs="Times New Roman"/>
                <w:color w:val="000000"/>
                <w:kern w:val="0"/>
                <w:sz w:val="20"/>
                <w:szCs w:val="20"/>
                <w:highlight w:val="none"/>
                <w:u w:val="none"/>
                <w:lang w:val="en-US" w:eastAsia="zh-CN"/>
              </w:rPr>
              <w:t>1</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48C74BD5">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每千人拥有执业（助理）医师数（人）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C7453B3">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2.41</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11E17E9">
            <w:pPr>
              <w:widowControl/>
              <w:jc w:val="center"/>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lang w:val="en-US" w:eastAsia="zh-CN"/>
              </w:rPr>
              <w:t>3</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EAB9E1A">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9AB0B17">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约束值</w:t>
            </w:r>
          </w:p>
        </w:tc>
      </w:tr>
      <w:tr w14:paraId="2B62DA2B">
        <w:tblPrEx>
          <w:tblCellMar>
            <w:top w:w="0" w:type="dxa"/>
            <w:left w:w="108" w:type="dxa"/>
            <w:bottom w:w="0" w:type="dxa"/>
            <w:right w:w="108" w:type="dxa"/>
          </w:tblCellMar>
        </w:tblPrEx>
        <w:trPr>
          <w:trHeight w:val="397"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C92130E">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 xml:space="preserve"> </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3793536">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rPr>
              <w:t>1</w:t>
            </w:r>
            <w:r>
              <w:rPr>
                <w:rFonts w:hint="default" w:ascii="Times New Roman" w:hAnsi="Times New Roman" w:cs="Times New Roman"/>
                <w:color w:val="000000"/>
                <w:kern w:val="0"/>
                <w:sz w:val="20"/>
                <w:szCs w:val="20"/>
                <w:highlight w:val="none"/>
                <w:u w:val="none"/>
                <w:lang w:val="en-US" w:eastAsia="zh-CN"/>
              </w:rPr>
              <w:t>2</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0BF6494D">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劳动年龄人口平均受教育年限（年）</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C69DF00">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11.2</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09EEFA7">
            <w:pPr>
              <w:widowControl/>
              <w:jc w:val="center"/>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12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C65BE48">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7587E3DA">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约束值</w:t>
            </w:r>
          </w:p>
        </w:tc>
      </w:tr>
      <w:tr w14:paraId="5041179F">
        <w:tblPrEx>
          <w:tblCellMar>
            <w:top w:w="0" w:type="dxa"/>
            <w:left w:w="108" w:type="dxa"/>
            <w:bottom w:w="0" w:type="dxa"/>
            <w:right w:w="108" w:type="dxa"/>
          </w:tblCellMar>
        </w:tblPrEx>
        <w:trPr>
          <w:trHeight w:val="397"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AF9026A">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6152B140">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rPr>
              <w:t>1</w:t>
            </w:r>
            <w:r>
              <w:rPr>
                <w:rFonts w:hint="default" w:ascii="Times New Roman" w:hAnsi="Times New Roman" w:cs="Times New Roman"/>
                <w:color w:val="000000"/>
                <w:kern w:val="0"/>
                <w:sz w:val="20"/>
                <w:szCs w:val="20"/>
                <w:highlight w:val="none"/>
                <w:u w:val="none"/>
                <w:lang w:val="en-US" w:eastAsia="zh-CN"/>
              </w:rPr>
              <w:t>3</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6B3CB79F">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基本养老保险</w:t>
            </w:r>
            <w:r>
              <w:rPr>
                <w:rFonts w:hint="default" w:ascii="Times New Roman" w:hAnsi="Times New Roman" w:cs="Times New Roman"/>
                <w:color w:val="000000"/>
                <w:kern w:val="0"/>
                <w:sz w:val="20"/>
                <w:szCs w:val="20"/>
                <w:highlight w:val="none"/>
                <w:u w:val="none"/>
                <w:lang w:eastAsia="zh-CN"/>
              </w:rPr>
              <w:t>参保人数</w:t>
            </w:r>
            <w:r>
              <w:rPr>
                <w:rFonts w:hint="default" w:ascii="Times New Roman" w:hAnsi="Times New Roman" w:cs="Times New Roman"/>
                <w:color w:val="000000"/>
                <w:kern w:val="0"/>
                <w:sz w:val="20"/>
                <w:szCs w:val="20"/>
                <w:highlight w:val="none"/>
                <w:u w:val="none"/>
              </w:rPr>
              <w:t>（</w:t>
            </w:r>
            <w:r>
              <w:rPr>
                <w:rFonts w:hint="default" w:ascii="Times New Roman" w:hAnsi="Times New Roman" w:cs="Times New Roman"/>
                <w:color w:val="000000"/>
                <w:kern w:val="0"/>
                <w:sz w:val="20"/>
                <w:szCs w:val="20"/>
                <w:highlight w:val="none"/>
                <w:u w:val="none"/>
                <w:lang w:eastAsia="zh-CN"/>
              </w:rPr>
              <w:t>万人</w:t>
            </w:r>
            <w:r>
              <w:rPr>
                <w:rFonts w:hint="default" w:ascii="Times New Roman" w:hAnsi="Times New Roman" w:cs="Times New Roman"/>
                <w:color w:val="000000"/>
                <w:kern w:val="0"/>
                <w:sz w:val="20"/>
                <w:szCs w:val="20"/>
                <w:highlight w:val="none"/>
                <w:u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0D63E08">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3.36</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EC7F5CF">
            <w:pPr>
              <w:widowControl/>
              <w:jc w:val="center"/>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lang w:val="en-US" w:eastAsia="zh-CN"/>
              </w:rPr>
              <w:t>4</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2026F5C">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670C5754">
            <w:pPr>
              <w:widowControl/>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lang w:eastAsia="zh-CN"/>
              </w:rPr>
              <w:t>预期值</w:t>
            </w:r>
          </w:p>
        </w:tc>
      </w:tr>
      <w:tr w14:paraId="0FEBA17B">
        <w:tblPrEx>
          <w:tblCellMar>
            <w:top w:w="0" w:type="dxa"/>
            <w:left w:w="108" w:type="dxa"/>
            <w:bottom w:w="0" w:type="dxa"/>
            <w:right w:w="108" w:type="dxa"/>
          </w:tblCellMar>
        </w:tblPrEx>
        <w:trPr>
          <w:trHeight w:val="397"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08DD60CD">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33533FA1">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rPr>
              <w:t>1</w:t>
            </w:r>
            <w:r>
              <w:rPr>
                <w:rFonts w:hint="default" w:ascii="Times New Roman" w:hAnsi="Times New Roman" w:cs="Times New Roman"/>
                <w:color w:val="000000"/>
                <w:kern w:val="0"/>
                <w:sz w:val="20"/>
                <w:szCs w:val="20"/>
                <w:highlight w:val="none"/>
                <w:u w:val="none"/>
                <w:lang w:val="en-US" w:eastAsia="zh-CN"/>
              </w:rPr>
              <w:t>4</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5AF7C357">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每千人拥有3岁以下婴儿托位数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FE20DDC">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A67EEBF">
            <w:pPr>
              <w:widowControl/>
              <w:jc w:val="center"/>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lang w:val="en-US" w:eastAsia="zh-CN"/>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1AC4515">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97A6AD8">
            <w:pPr>
              <w:widowControl/>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lang w:eastAsia="zh-CN"/>
              </w:rPr>
              <w:t>预期值</w:t>
            </w:r>
          </w:p>
        </w:tc>
      </w:tr>
      <w:tr w14:paraId="441E0706">
        <w:tblPrEx>
          <w:tblCellMar>
            <w:top w:w="0" w:type="dxa"/>
            <w:left w:w="108" w:type="dxa"/>
            <w:bottom w:w="0" w:type="dxa"/>
            <w:right w:w="108" w:type="dxa"/>
          </w:tblCellMar>
        </w:tblPrEx>
        <w:trPr>
          <w:trHeight w:val="397" w:hRule="exact"/>
          <w:tblHeader/>
        </w:trPr>
        <w:tc>
          <w:tcPr>
            <w:tcW w:w="720" w:type="dxa"/>
            <w:vMerge w:val="restart"/>
            <w:tcBorders>
              <w:top w:val="single" w:color="auto" w:sz="4" w:space="0"/>
              <w:left w:val="single" w:color="auto" w:sz="4" w:space="0"/>
              <w:right w:val="single" w:color="auto" w:sz="4" w:space="0"/>
            </w:tcBorders>
            <w:noWrap w:val="0"/>
            <w:vAlign w:val="center"/>
          </w:tcPr>
          <w:p w14:paraId="016F9663">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绿色</w:t>
            </w:r>
          </w:p>
          <w:p w14:paraId="4C277CEA">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转型</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FDE8968">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15</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167D350F">
            <w:pPr>
              <w:widowControl/>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eastAsia="zh-CN"/>
              </w:rPr>
              <w:t>土壤有机质含量增加（个百分点）</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57ECE9">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eastAsia="zh-CN"/>
              </w:rPr>
              <w:t>——</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8798BF2">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eastAsia="zh-CN"/>
              </w:rPr>
              <w:t>【</w:t>
            </w:r>
            <w:r>
              <w:rPr>
                <w:rFonts w:hint="default" w:ascii="Times New Roman" w:hAnsi="Times New Roman" w:cs="Times New Roman"/>
                <w:color w:val="000000"/>
                <w:kern w:val="0"/>
                <w:sz w:val="20"/>
                <w:szCs w:val="20"/>
                <w:highlight w:val="none"/>
                <w:u w:val="none"/>
                <w:lang w:val="en-US" w:eastAsia="zh-CN"/>
              </w:rPr>
              <w:t>3</w:t>
            </w:r>
            <w:r>
              <w:rPr>
                <w:rFonts w:hint="default" w:ascii="Times New Roman" w:hAnsi="Times New Roman" w:cs="Times New Roman"/>
                <w:color w:val="000000"/>
                <w:kern w:val="0"/>
                <w:sz w:val="20"/>
                <w:szCs w:val="20"/>
                <w:highlight w:val="none"/>
                <w:u w:val="none"/>
                <w:lang w:eastAsia="zh-CN"/>
              </w:rPr>
              <w:t>】</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EC0C0B2">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00E59783">
            <w:pPr>
              <w:widowControl/>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eastAsia="zh-CN"/>
              </w:rPr>
              <w:t>预期值</w:t>
            </w:r>
          </w:p>
        </w:tc>
      </w:tr>
      <w:tr w14:paraId="6625335C">
        <w:tblPrEx>
          <w:tblCellMar>
            <w:top w:w="0" w:type="dxa"/>
            <w:left w:w="108" w:type="dxa"/>
            <w:bottom w:w="0" w:type="dxa"/>
            <w:right w:w="108" w:type="dxa"/>
          </w:tblCellMar>
        </w:tblPrEx>
        <w:trPr>
          <w:trHeight w:val="397" w:hRule="exact"/>
          <w:tblHeader/>
        </w:trPr>
        <w:tc>
          <w:tcPr>
            <w:tcW w:w="720" w:type="dxa"/>
            <w:vMerge w:val="continue"/>
            <w:tcBorders>
              <w:left w:val="single" w:color="auto" w:sz="4" w:space="0"/>
              <w:right w:val="single" w:color="auto" w:sz="4" w:space="0"/>
            </w:tcBorders>
            <w:noWrap w:val="0"/>
            <w:vAlign w:val="center"/>
          </w:tcPr>
          <w:p w14:paraId="1235615A">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6F1B60A5">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16</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26192741">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单位GDP能源消耗降幅（%）</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E4971AF">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eastAsia="zh-CN"/>
              </w:rPr>
              <w:t>——</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2C9E4A69">
            <w:pPr>
              <w:widowControl/>
              <w:jc w:val="center"/>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完成市标</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B511161">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7DB8E452">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约束值</w:t>
            </w:r>
          </w:p>
        </w:tc>
      </w:tr>
      <w:tr w14:paraId="3A3C6CE8">
        <w:tblPrEx>
          <w:tblCellMar>
            <w:top w:w="0" w:type="dxa"/>
            <w:left w:w="108" w:type="dxa"/>
            <w:bottom w:w="0" w:type="dxa"/>
            <w:right w:w="108" w:type="dxa"/>
          </w:tblCellMar>
        </w:tblPrEx>
        <w:trPr>
          <w:trHeight w:val="397" w:hRule="exact"/>
          <w:tblHeader/>
        </w:trPr>
        <w:tc>
          <w:tcPr>
            <w:tcW w:w="720" w:type="dxa"/>
            <w:vMerge w:val="continue"/>
            <w:tcBorders>
              <w:left w:val="single" w:color="auto" w:sz="4" w:space="0"/>
              <w:right w:val="single" w:color="auto" w:sz="4" w:space="0"/>
            </w:tcBorders>
            <w:noWrap w:val="0"/>
            <w:vAlign w:val="center"/>
          </w:tcPr>
          <w:p w14:paraId="43DFBCB7">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3459E35B">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rPr>
              <w:t>1</w:t>
            </w:r>
            <w:r>
              <w:rPr>
                <w:rFonts w:hint="default" w:ascii="Times New Roman" w:hAnsi="Times New Roman" w:cs="Times New Roman"/>
                <w:color w:val="000000"/>
                <w:kern w:val="0"/>
                <w:sz w:val="20"/>
                <w:szCs w:val="20"/>
                <w:highlight w:val="none"/>
                <w:u w:val="none"/>
                <w:lang w:val="en-US" w:eastAsia="zh-CN"/>
              </w:rPr>
              <w:t>7</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2D0CA6D5">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单位GDP二氧化碳排放降幅（%）</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0101697">
            <w:pPr>
              <w:widowControl/>
              <w:jc w:val="center"/>
              <w:rPr>
                <w:rFonts w:hint="default" w:ascii="Times New Roman" w:hAnsi="Times New Roman" w:eastAsia="宋体" w:cs="Times New Roman"/>
                <w:color w:val="000000"/>
                <w:kern w:val="0"/>
                <w:sz w:val="20"/>
                <w:szCs w:val="20"/>
                <w:highlight w:val="none"/>
                <w:u w:val="none"/>
                <w:lang w:eastAsia="zh-CN"/>
              </w:rPr>
            </w:pPr>
            <w:r>
              <w:rPr>
                <w:rFonts w:hint="default" w:ascii="Times New Roman" w:hAnsi="Times New Roman" w:cs="Times New Roman"/>
                <w:color w:val="000000"/>
                <w:kern w:val="0"/>
                <w:sz w:val="20"/>
                <w:szCs w:val="20"/>
                <w:highlight w:val="none"/>
                <w:u w:val="none"/>
                <w:lang w:eastAsia="zh-CN"/>
              </w:rPr>
              <w:t>——</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11F1903">
            <w:pPr>
              <w:widowControl/>
              <w:jc w:val="center"/>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完成市标</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F3FD7E9">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D1F9B30">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约束值</w:t>
            </w:r>
          </w:p>
        </w:tc>
      </w:tr>
      <w:tr w14:paraId="668EB563">
        <w:tblPrEx>
          <w:tblCellMar>
            <w:top w:w="0" w:type="dxa"/>
            <w:left w:w="108" w:type="dxa"/>
            <w:bottom w:w="0" w:type="dxa"/>
            <w:right w:w="108" w:type="dxa"/>
          </w:tblCellMar>
        </w:tblPrEx>
        <w:trPr>
          <w:trHeight w:val="397" w:hRule="exact"/>
          <w:tblHeader/>
        </w:trPr>
        <w:tc>
          <w:tcPr>
            <w:tcW w:w="720" w:type="dxa"/>
            <w:vMerge w:val="continue"/>
            <w:tcBorders>
              <w:left w:val="single" w:color="auto" w:sz="4" w:space="0"/>
              <w:right w:val="single" w:color="auto" w:sz="4" w:space="0"/>
            </w:tcBorders>
            <w:noWrap w:val="0"/>
            <w:vAlign w:val="center"/>
          </w:tcPr>
          <w:p w14:paraId="03C1C587">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7B920B23">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rPr>
              <w:t>1</w:t>
            </w:r>
            <w:r>
              <w:rPr>
                <w:rFonts w:hint="default" w:ascii="Times New Roman" w:hAnsi="Times New Roman" w:cs="Times New Roman"/>
                <w:color w:val="000000"/>
                <w:kern w:val="0"/>
                <w:sz w:val="20"/>
                <w:szCs w:val="20"/>
                <w:highlight w:val="none"/>
                <w:u w:val="none"/>
                <w:lang w:val="en-US" w:eastAsia="zh-CN"/>
              </w:rPr>
              <w:t>8</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5458C8D9">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空气质量优良天数（%）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A9976EC">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93.7</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02A7E10C">
            <w:pPr>
              <w:widowControl/>
              <w:jc w:val="center"/>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完成市标</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849B216">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71B0B7AA">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约束值</w:t>
            </w:r>
          </w:p>
        </w:tc>
      </w:tr>
      <w:tr w14:paraId="4B8FAF59">
        <w:tblPrEx>
          <w:tblCellMar>
            <w:top w:w="0" w:type="dxa"/>
            <w:left w:w="108" w:type="dxa"/>
            <w:bottom w:w="0" w:type="dxa"/>
            <w:right w:w="108" w:type="dxa"/>
          </w:tblCellMar>
        </w:tblPrEx>
        <w:trPr>
          <w:trHeight w:val="397" w:hRule="exact"/>
          <w:tblHeader/>
        </w:trPr>
        <w:tc>
          <w:tcPr>
            <w:tcW w:w="720" w:type="dxa"/>
            <w:vMerge w:val="continue"/>
            <w:tcBorders>
              <w:left w:val="single" w:color="auto" w:sz="4" w:space="0"/>
              <w:right w:val="single" w:color="auto" w:sz="4" w:space="0"/>
            </w:tcBorders>
            <w:noWrap w:val="0"/>
            <w:vAlign w:val="center"/>
          </w:tcPr>
          <w:p w14:paraId="26438F04">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42A5A218">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rPr>
              <w:t>1</w:t>
            </w:r>
            <w:r>
              <w:rPr>
                <w:rFonts w:hint="default" w:ascii="Times New Roman" w:hAnsi="Times New Roman" w:cs="Times New Roman"/>
                <w:color w:val="000000"/>
                <w:kern w:val="0"/>
                <w:sz w:val="20"/>
                <w:szCs w:val="20"/>
                <w:highlight w:val="none"/>
                <w:u w:val="none"/>
                <w:lang w:val="en-US" w:eastAsia="zh-CN"/>
              </w:rPr>
              <w:t>9</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2885ED2D">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达到或好于Ⅲ类水体占地表水比例（%）</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85EC728">
            <w:pPr>
              <w:widowControl/>
              <w:jc w:val="center"/>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lang w:eastAsia="zh-CN"/>
              </w:rPr>
              <w:t>——</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D7D8173">
            <w:pPr>
              <w:widowControl/>
              <w:jc w:val="center"/>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完成市标</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1E5D773">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346537F">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约束值</w:t>
            </w:r>
          </w:p>
        </w:tc>
      </w:tr>
      <w:tr w14:paraId="5EABE2FE">
        <w:tblPrEx>
          <w:tblCellMar>
            <w:top w:w="0" w:type="dxa"/>
            <w:left w:w="108" w:type="dxa"/>
            <w:bottom w:w="0" w:type="dxa"/>
            <w:right w:w="108" w:type="dxa"/>
          </w:tblCellMar>
        </w:tblPrEx>
        <w:trPr>
          <w:trHeight w:val="397" w:hRule="exact"/>
          <w:tblHeader/>
        </w:trPr>
        <w:tc>
          <w:tcPr>
            <w:tcW w:w="720" w:type="dxa"/>
            <w:vMerge w:val="continue"/>
            <w:tcBorders>
              <w:left w:val="single" w:color="auto" w:sz="4" w:space="0"/>
              <w:bottom w:val="single" w:color="auto" w:sz="4" w:space="0"/>
              <w:right w:val="single" w:color="auto" w:sz="4" w:space="0"/>
            </w:tcBorders>
            <w:noWrap w:val="0"/>
            <w:vAlign w:val="center"/>
          </w:tcPr>
          <w:p w14:paraId="50B3F5BB">
            <w:pPr>
              <w:widowControl/>
              <w:jc w:val="center"/>
              <w:rPr>
                <w:rFonts w:hint="default" w:ascii="Times New Roman" w:hAnsi="Times New Roman" w:cs="Times New Roman"/>
                <w:b/>
                <w:bCs/>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6A02A241">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20</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5AC4F0ED">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森林覆盖率（%）</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15E8C36">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35.76</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407E3CB">
            <w:pPr>
              <w:widowControl/>
              <w:jc w:val="center"/>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lang w:val="en-US" w:eastAsia="zh-CN"/>
              </w:rPr>
              <w:t>35.86</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0916B31">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8642E52">
            <w:pPr>
              <w:widowControl/>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约束值</w:t>
            </w:r>
          </w:p>
        </w:tc>
      </w:tr>
      <w:tr w14:paraId="46EB6F95">
        <w:tblPrEx>
          <w:tblCellMar>
            <w:top w:w="0" w:type="dxa"/>
            <w:left w:w="108" w:type="dxa"/>
            <w:bottom w:w="0" w:type="dxa"/>
            <w:right w:w="108" w:type="dxa"/>
          </w:tblCellMar>
        </w:tblPrEx>
        <w:trPr>
          <w:trHeight w:val="397" w:hRule="exact"/>
          <w:tblHeader/>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2B2B4342">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安全</w:t>
            </w:r>
          </w:p>
          <w:p w14:paraId="2476D062">
            <w:pPr>
              <w:widowControl/>
              <w:jc w:val="center"/>
              <w:rPr>
                <w:rFonts w:hint="default" w:ascii="Times New Roman" w:hAnsi="Times New Roman" w:cs="Times New Roman"/>
                <w:b/>
                <w:bCs/>
                <w:color w:val="000000"/>
                <w:kern w:val="0"/>
                <w:sz w:val="20"/>
                <w:szCs w:val="20"/>
                <w:highlight w:val="none"/>
                <w:u w:val="none"/>
              </w:rPr>
            </w:pPr>
            <w:r>
              <w:rPr>
                <w:rFonts w:hint="default" w:ascii="Times New Roman" w:hAnsi="Times New Roman" w:cs="Times New Roman"/>
                <w:b/>
                <w:bCs/>
                <w:color w:val="000000"/>
                <w:kern w:val="0"/>
                <w:sz w:val="20"/>
                <w:szCs w:val="20"/>
                <w:highlight w:val="none"/>
                <w:u w:val="none"/>
              </w:rPr>
              <w:t>保障</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EAECBFD">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21</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479D6A96">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耕地保有量（万亩）</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C1566BD">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365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823D02E">
            <w:pPr>
              <w:widowControl/>
              <w:jc w:val="center"/>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365</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D10BEE1">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38604EF">
            <w:pPr>
              <w:widowControl/>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lang w:eastAsia="zh-CN"/>
              </w:rPr>
              <w:t>预期值</w:t>
            </w:r>
          </w:p>
        </w:tc>
      </w:tr>
      <w:tr w14:paraId="40C84663">
        <w:tblPrEx>
          <w:tblCellMar>
            <w:top w:w="0" w:type="dxa"/>
            <w:left w:w="108" w:type="dxa"/>
            <w:bottom w:w="0" w:type="dxa"/>
            <w:right w:w="108" w:type="dxa"/>
          </w:tblCellMar>
        </w:tblPrEx>
        <w:trPr>
          <w:trHeight w:val="397" w:hRule="exact"/>
          <w:tblHeader/>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652CF49">
            <w:pPr>
              <w:widowControl/>
              <w:jc w:val="left"/>
              <w:rPr>
                <w:rFonts w:hint="default" w:ascii="Times New Roman" w:hAnsi="Times New Roman" w:cs="Times New Roman"/>
                <w:color w:val="000000"/>
                <w:kern w:val="0"/>
                <w:sz w:val="20"/>
                <w:szCs w:val="20"/>
                <w:highlight w:val="none"/>
                <w:u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6E8106EA">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22</w:t>
            </w:r>
          </w:p>
        </w:tc>
        <w:tc>
          <w:tcPr>
            <w:tcW w:w="3540" w:type="dxa"/>
            <w:tcBorders>
              <w:top w:val="single" w:color="auto" w:sz="4" w:space="0"/>
              <w:left w:val="single" w:color="auto" w:sz="4" w:space="0"/>
              <w:bottom w:val="single" w:color="auto" w:sz="4" w:space="0"/>
              <w:right w:val="single" w:color="auto" w:sz="4" w:space="0"/>
            </w:tcBorders>
            <w:noWrap w:val="0"/>
            <w:vAlign w:val="center"/>
          </w:tcPr>
          <w:p w14:paraId="107FBC38">
            <w:pPr>
              <w:widowControl/>
              <w:rPr>
                <w:rFonts w:hint="default" w:ascii="Times New Roman" w:hAnsi="Times New Roman" w:cs="Times New Roman"/>
                <w:color w:val="000000"/>
                <w:kern w:val="0"/>
                <w:sz w:val="20"/>
                <w:szCs w:val="20"/>
                <w:highlight w:val="none"/>
                <w:u w:val="none"/>
              </w:rPr>
            </w:pPr>
            <w:r>
              <w:rPr>
                <w:rFonts w:hint="default" w:ascii="Times New Roman" w:hAnsi="Times New Roman" w:cs="Times New Roman"/>
                <w:color w:val="000000"/>
                <w:kern w:val="0"/>
                <w:sz w:val="20"/>
                <w:szCs w:val="20"/>
                <w:highlight w:val="none"/>
                <w:u w:val="none"/>
              </w:rPr>
              <w:t>粮食总产量（亿斤）</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0EFA283">
            <w:pPr>
              <w:widowControl/>
              <w:jc w:val="center"/>
              <w:rPr>
                <w:rFonts w:hint="default" w:ascii="Times New Roman" w:hAnsi="Times New Roman" w:eastAsia="宋体" w:cs="Times New Roman"/>
                <w:color w:val="000000"/>
                <w:kern w:val="0"/>
                <w:sz w:val="20"/>
                <w:szCs w:val="20"/>
                <w:highlight w:val="none"/>
                <w:u w:val="none"/>
                <w:lang w:val="en-US" w:eastAsia="zh-CN"/>
              </w:rPr>
            </w:pPr>
            <w:r>
              <w:rPr>
                <w:rFonts w:hint="default" w:ascii="Times New Roman" w:hAnsi="Times New Roman" w:cs="Times New Roman"/>
                <w:color w:val="000000"/>
                <w:kern w:val="0"/>
                <w:sz w:val="20"/>
                <w:szCs w:val="20"/>
                <w:highlight w:val="none"/>
                <w:u w:val="none"/>
                <w:lang w:val="en-US" w:eastAsia="zh-CN"/>
              </w:rPr>
              <w:t>24</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9C16359">
            <w:pPr>
              <w:widowControl/>
              <w:jc w:val="center"/>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rPr>
              <w:t>25</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DFC88A3">
            <w:pPr>
              <w:widowControl/>
              <w:jc w:val="center"/>
              <w:rPr>
                <w:rFonts w:hint="default" w:ascii="Times New Roman" w:hAnsi="Times New Roman" w:cs="Times New Roman"/>
                <w:color w:val="000000"/>
                <w:kern w:val="0"/>
                <w:sz w:val="20"/>
                <w:szCs w:val="20"/>
                <w:highlight w:val="none"/>
                <w:u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6F6EBA3A">
            <w:pPr>
              <w:widowControl/>
              <w:rPr>
                <w:rFonts w:hint="default" w:ascii="Times New Roman" w:hAnsi="Times New Roman" w:eastAsia="宋体"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lang w:val="en-US" w:eastAsia="zh-CN" w:bidi="ar-SA"/>
              </w:rPr>
              <w:t>预期值</w:t>
            </w:r>
          </w:p>
        </w:tc>
      </w:tr>
      <w:tr w14:paraId="4644A576">
        <w:tblPrEx>
          <w:tblCellMar>
            <w:top w:w="0" w:type="dxa"/>
            <w:left w:w="108" w:type="dxa"/>
            <w:bottom w:w="0" w:type="dxa"/>
            <w:right w:w="108" w:type="dxa"/>
          </w:tblCellMar>
        </w:tblPrEx>
        <w:trPr>
          <w:trHeight w:val="397" w:hRule="exact"/>
          <w:tblHeader/>
        </w:trPr>
        <w:tc>
          <w:tcPr>
            <w:tcW w:w="9832" w:type="dxa"/>
            <w:gridSpan w:val="7"/>
            <w:tcBorders>
              <w:top w:val="single" w:color="auto" w:sz="4" w:space="0"/>
              <w:left w:val="nil"/>
              <w:bottom w:val="nil"/>
              <w:right w:val="nil"/>
            </w:tcBorders>
            <w:noWrap w:val="0"/>
            <w:vAlign w:val="center"/>
          </w:tcPr>
          <w:p w14:paraId="211FFE76">
            <w:pPr>
              <w:widowControl/>
              <w:jc w:val="left"/>
              <w:rPr>
                <w:rFonts w:hint="default" w:ascii="Times New Roman" w:hAnsi="Times New Roman" w:cs="Times New Roman"/>
                <w:color w:val="000000"/>
                <w:kern w:val="0"/>
                <w:sz w:val="20"/>
                <w:szCs w:val="20"/>
                <w:highlight w:val="none"/>
                <w:u w:val="none"/>
                <w:lang w:val="en-US" w:eastAsia="zh-CN" w:bidi="ar-SA"/>
              </w:rPr>
            </w:pPr>
            <w:r>
              <w:rPr>
                <w:rFonts w:hint="default" w:ascii="Times New Roman" w:hAnsi="Times New Roman" w:cs="Times New Roman"/>
                <w:color w:val="000000"/>
                <w:kern w:val="0"/>
                <w:sz w:val="20"/>
                <w:szCs w:val="20"/>
                <w:highlight w:val="none"/>
                <w:u w:val="none"/>
                <w:lang w:val="en-US" w:eastAsia="zh-CN" w:bidi="ar-SA"/>
              </w:rPr>
              <w:t>注：【】内为五年累计数</w:t>
            </w:r>
          </w:p>
        </w:tc>
      </w:tr>
    </w:tbl>
    <w:p w14:paraId="65A35525">
      <w:pPr>
        <w:pStyle w:val="3"/>
        <w:rPr>
          <w:rFonts w:hint="default" w:ascii="Times New Roman" w:hAnsi="Times New Roman" w:cs="Times New Roman"/>
          <w:color w:val="000000"/>
          <w:sz w:val="18"/>
          <w:szCs w:val="18"/>
          <w:highlight w:val="none"/>
          <w:u w:val="none"/>
        </w:rPr>
      </w:pPr>
    </w:p>
    <w:p w14:paraId="1250223D">
      <w:pPr>
        <w:pStyle w:val="3"/>
        <w:rPr>
          <w:rFonts w:hint="default" w:ascii="Times New Roman" w:hAnsi="Times New Roman" w:cs="Times New Roman"/>
          <w:b/>
          <w:color w:val="000000"/>
          <w:highlight w:val="none"/>
          <w:u w:val="none"/>
        </w:rPr>
      </w:pPr>
      <w:bookmarkStart w:id="20" w:name="_Toc61268178"/>
      <w:r>
        <w:rPr>
          <w:rFonts w:hint="default" w:ascii="Times New Roman" w:hAnsi="Times New Roman" w:cs="Times New Roman"/>
          <w:b/>
          <w:color w:val="000000"/>
          <w:highlight w:val="none"/>
          <w:u w:val="none"/>
        </w:rPr>
        <w:t>第三章  加快产业升级，全力培育壮大实体经济</w:t>
      </w:r>
      <w:bookmarkEnd w:id="8"/>
      <w:bookmarkEnd w:id="9"/>
      <w:bookmarkEnd w:id="20"/>
    </w:p>
    <w:p w14:paraId="05C8FDC1">
      <w:pPr>
        <w:spacing w:line="600" w:lineRule="exact"/>
        <w:rPr>
          <w:rFonts w:hint="default" w:ascii="Times New Roman" w:hAnsi="Times New Roman" w:cs="Times New Roman"/>
          <w:color w:val="000000"/>
          <w:highlight w:val="none"/>
          <w:u w:val="none"/>
        </w:rPr>
      </w:pPr>
    </w:p>
    <w:p w14:paraId="01485CF9">
      <w:pPr>
        <w:spacing w:line="600" w:lineRule="exact"/>
        <w:ind w:firstLine="640" w:firstLineChars="200"/>
        <w:rPr>
          <w:rFonts w:hint="default" w:ascii="Times New Roman" w:hAnsi="Times New Roman" w:eastAsia="仿宋_GB2312" w:cs="Times New Roman"/>
          <w:color w:val="000000"/>
          <w:highlight w:val="none"/>
          <w:u w:val="none"/>
        </w:rPr>
      </w:pPr>
      <w:r>
        <w:rPr>
          <w:rFonts w:hint="default" w:ascii="Times New Roman" w:hAnsi="Times New Roman" w:eastAsia="仿宋_GB2312" w:cs="Times New Roman"/>
          <w:color w:val="000000"/>
          <w:sz w:val="32"/>
          <w:szCs w:val="32"/>
          <w:highlight w:val="none"/>
          <w:u w:val="none"/>
        </w:rPr>
        <w:t>坚持把发展经济着力点放在实体经济上，围绕做好“三篇大文章”，全力构建高新高端现代产业形态，促进产业绿色化、数字化、智能化、融合化发展，全面提高产业基础高级化、产业链现代化水平，努力冲刺县域经济综合实力十强县。</w:t>
      </w:r>
    </w:p>
    <w:p w14:paraId="3F4B8331">
      <w:pPr>
        <w:pStyle w:val="4"/>
        <w:rPr>
          <w:rFonts w:hint="default" w:ascii="Times New Roman" w:hAnsi="Times New Roman" w:cs="Times New Roman"/>
          <w:color w:val="000000"/>
          <w:highlight w:val="none"/>
          <w:u w:val="none"/>
        </w:rPr>
      </w:pPr>
      <w:bookmarkStart w:id="21" w:name="_Toc61268179"/>
      <w:r>
        <w:rPr>
          <w:rFonts w:hint="default" w:ascii="Times New Roman" w:hAnsi="Times New Roman" w:cs="Times New Roman"/>
          <w:color w:val="000000"/>
          <w:highlight w:val="none"/>
          <w:u w:val="none"/>
        </w:rPr>
        <w:t>第一节  大力发展现代产业体系</w:t>
      </w:r>
      <w:bookmarkEnd w:id="21"/>
    </w:p>
    <w:p w14:paraId="3902CB95">
      <w:pPr>
        <w:spacing w:line="600" w:lineRule="exact"/>
        <w:ind w:firstLine="643" w:firstLineChars="200"/>
        <w:rPr>
          <w:rFonts w:hint="default" w:ascii="Times New Roman" w:hAnsi="Times New Roman" w:eastAsia="仿宋_GB2312" w:cs="Times New Roman"/>
          <w:b/>
          <w:bCs/>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做强绿色食品精深加工产业。</w:t>
      </w:r>
      <w:r>
        <w:rPr>
          <w:rFonts w:hint="default" w:ascii="Times New Roman" w:hAnsi="Times New Roman" w:eastAsia="仿宋_GB2312" w:cs="Times New Roman"/>
          <w:color w:val="000000"/>
          <w:sz w:val="32"/>
          <w:szCs w:val="32"/>
          <w:highlight w:val="none"/>
          <w:u w:val="none"/>
        </w:rPr>
        <w:t>放大县域资源禀赋优势，深入实施“农头工尾”“粮头食尾”战略，在破解“原字号”“初加工”上下功夫，促进工商资本进入农业、林业、畜牧等绿色食品精深加工领域，积极招引经济实力强、科技含量高的食品加工龙头企业，大力发展代餐粉、粮食加工、果蔬产品加工、畜禽产品加工、山林产品加工等产业，着力补齐精深加工短板，努力培育一批省级“质量标杆”和品牌培育试点食品加工企业，实现农产品多层次、多环节转化增值，打造全省绿色食品精深加工引领区。到2025年，食品工业企业产值占规上企业产值达到33%。</w:t>
      </w:r>
    </w:p>
    <w:p w14:paraId="18191A64">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w:t>
      </w:r>
      <w:r>
        <w:rPr>
          <w:rFonts w:hint="default" w:ascii="Times New Roman" w:hAnsi="Times New Roman" w:eastAsia="楷体_GB2312" w:cs="Times New Roman"/>
          <w:color w:val="000000"/>
          <w:sz w:val="32"/>
          <w:szCs w:val="32"/>
          <w:highlight w:val="none"/>
          <w:u w:val="none"/>
        </w:rPr>
        <w:t>推动代餐粉产业现代化发展。</w:t>
      </w:r>
      <w:r>
        <w:rPr>
          <w:rFonts w:hint="default" w:ascii="Times New Roman" w:hAnsi="Times New Roman" w:eastAsia="仿宋_GB2312" w:cs="Times New Roman"/>
          <w:color w:val="000000"/>
          <w:sz w:val="32"/>
          <w:szCs w:val="32"/>
          <w:highlight w:val="none"/>
          <w:u w:val="none"/>
        </w:rPr>
        <w:t>完善建设国家级代餐粉产业知名品牌示范区、省级代餐粉产业园，整合蓝谷集团、恒源食品等10户优势企业，引导代餐粉加工企业抱团发展，推进江南大学企业开展研发合作</w:t>
      </w:r>
    </w:p>
    <w:p w14:paraId="2041573D">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w:t>
      </w:r>
      <w:r>
        <w:rPr>
          <w:rFonts w:hint="default" w:ascii="Times New Roman" w:hAnsi="Times New Roman" w:eastAsia="楷体_GB2312" w:cs="Times New Roman"/>
          <w:color w:val="000000"/>
          <w:sz w:val="32"/>
          <w:szCs w:val="32"/>
          <w:highlight w:val="none"/>
          <w:u w:val="none"/>
        </w:rPr>
        <w:t>推动粮食精深加工产业规模化发展。</w:t>
      </w:r>
      <w:r>
        <w:rPr>
          <w:rFonts w:hint="default" w:ascii="Times New Roman" w:hAnsi="Times New Roman" w:eastAsia="仿宋_GB2312" w:cs="Times New Roman"/>
          <w:color w:val="000000"/>
          <w:sz w:val="32"/>
          <w:szCs w:val="32"/>
          <w:highlight w:val="none"/>
          <w:u w:val="none"/>
        </w:rPr>
        <w:t>立足粮食生产和原材料基地优势潜力，抓住国内大循环机遇，积极推进“粮头食尾”，推动粮食产购储加销“五优联动”，优化供应链、延长产业链、提升价值链，加快玉米、水稻、大豆等优势主导产业集群发展，培育发展有原料基地、有企业带动、有科技引领、有服务配套的农产品精深加工园区。到2025年，粮食加工产值实现30亿元。</w:t>
      </w:r>
    </w:p>
    <w:p w14:paraId="61CFF5E3">
      <w:pPr>
        <w:spacing w:line="600" w:lineRule="exact"/>
        <w:ind w:firstLine="643" w:firstLineChars="200"/>
        <w:rPr>
          <w:rFonts w:hint="default" w:ascii="Times New Roman" w:hAnsi="Times New Roman" w:eastAsia="仿宋_GB2312" w:cs="Times New Roman"/>
          <w:b/>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w:t>
      </w:r>
      <w:r>
        <w:rPr>
          <w:rFonts w:hint="default" w:ascii="Times New Roman" w:hAnsi="Times New Roman" w:eastAsia="楷体_GB2312" w:cs="Times New Roman"/>
          <w:color w:val="000000"/>
          <w:sz w:val="32"/>
          <w:szCs w:val="32"/>
          <w:highlight w:val="none"/>
          <w:u w:val="none"/>
        </w:rPr>
        <w:t>推动特色果蔬加工产业多元化发展。</w:t>
      </w:r>
      <w:r>
        <w:rPr>
          <w:rFonts w:hint="default" w:ascii="Times New Roman" w:hAnsi="Times New Roman" w:eastAsia="仿宋_GB2312" w:cs="Times New Roman"/>
          <w:color w:val="000000"/>
          <w:sz w:val="32"/>
          <w:szCs w:val="32"/>
          <w:highlight w:val="none"/>
          <w:u w:val="none"/>
        </w:rPr>
        <w:t>巩固“全省绿色蔬菜生产基地县”位置，重点打造森工山葡萄、闫家蓝靛果、福山草莓、驼腰子沙棘果等优势果蔬基地，大力发展果蔬干、果蔬汁、速冻果蔬加工产品，推动有机蔬菜加工、旅游休闲礼品开发。发挥中国南瓜之乡品牌优势，延伸南瓜精深加工产业链条，加快引进南瓜精深加工龙头企业，鼓励支持恒源食品、金海白瓜、秋华硕源、隆发食品等企业培育知名品牌。到2025年，果蔬产业产值实现10亿元。</w:t>
      </w:r>
    </w:p>
    <w:p w14:paraId="15F97102">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w:t>
      </w:r>
      <w:r>
        <w:rPr>
          <w:rFonts w:hint="default" w:ascii="Times New Roman" w:hAnsi="Times New Roman" w:eastAsia="楷体_GB2312" w:cs="Times New Roman"/>
          <w:color w:val="000000"/>
          <w:sz w:val="32"/>
          <w:szCs w:val="32"/>
          <w:highlight w:val="none"/>
          <w:u w:val="none"/>
        </w:rPr>
        <w:t>推动畜禽水产产业标准化发展。</w:t>
      </w:r>
      <w:r>
        <w:rPr>
          <w:rFonts w:hint="default" w:ascii="Times New Roman" w:hAnsi="Times New Roman" w:eastAsia="仿宋_GB2312" w:cs="Times New Roman"/>
          <w:color w:val="000000"/>
          <w:sz w:val="32"/>
          <w:szCs w:val="32"/>
          <w:highlight w:val="none"/>
          <w:u w:val="none"/>
        </w:rPr>
        <w:t>按照“以畜定草”的原则，优化调整农业结构，突出以养带种，推进种养结合、草畜配套，合理引导种植业结构调整，大力发展青贮玉米、苜蓿等优质饲草料，着力构建粮经饲统筹的产业结构。坚持技术标准化、生产规模化、防疫现代化、环境优质化的农牧结合循环发展方向，加快“一牛一猪一驴一禽”全产业链发展，实现过腹增值、过腹增收。着力提升畜牧业标准化、规模化、组织化和信息化水平。发挥水产养殖业在山水林田湖草系统治理中的生态服务功能，大力发展优质、特色、绿色、生态的水产品，实行水田共养的生态水产养殖模式，实现一水两用，一田双收。</w:t>
      </w:r>
    </w:p>
    <w:p w14:paraId="092D2D05">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w:t>
      </w:r>
      <w:r>
        <w:rPr>
          <w:rFonts w:hint="default" w:ascii="Times New Roman" w:hAnsi="Times New Roman" w:eastAsia="楷体_GB2312" w:cs="Times New Roman"/>
          <w:color w:val="000000"/>
          <w:sz w:val="32"/>
          <w:szCs w:val="32"/>
          <w:highlight w:val="none"/>
          <w:u w:val="none"/>
        </w:rPr>
        <w:t>推动山林产品特色化发展。</w:t>
      </w:r>
      <w:r>
        <w:rPr>
          <w:rFonts w:hint="default" w:ascii="Times New Roman" w:hAnsi="Times New Roman" w:eastAsia="仿宋_GB2312" w:cs="Times New Roman"/>
          <w:color w:val="000000"/>
          <w:sz w:val="32"/>
          <w:szCs w:val="32"/>
          <w:highlight w:val="none"/>
          <w:u w:val="none"/>
        </w:rPr>
        <w:t>持续发展壮大林下经济，充分发挥本地林业资源优势，注重特色化、规模化发展，坚持走地理标志名品路线，着力发展林下经济绿色标志产品，突出山野、本土、道地、纯粹特色特点，从全产业链提供绿色消费产品，占领绿色消费新高地。大力发展“公司+合作社+基地+农户”产业化发展模式，以订单生产、定向销售、构建连锁平台推动产销定制化，不断增强产业聚集度。加快林菌、林果、林药、林菜、林苗产业发展，深入推进北药开发，加快中药材种植基地和市场流通体系建设，引进建设中药材市场，全力推进康源药业、久仙草中草药种植饮片加工等项目。拓展延伸紫苏产业链条，充分发挥“中国紫苏之乡”“中国紫苏小镇”“国家地理标志保护产品”等品牌优势，推动紫苏产业向高端化妆品、高端保健品领域进军。到2025年，中药材种植发展到20万亩，加工能力达到10000吨；紫苏面积15万亩，紫苏产业产值3亿元。</w:t>
      </w:r>
    </w:p>
    <w:p w14:paraId="77536444">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专栏2：绿色食品精深加工产业项目</w:t>
      </w:r>
    </w:p>
    <w:tbl>
      <w:tblPr>
        <w:tblStyle w:val="17"/>
        <w:tblW w:w="0" w:type="auto"/>
        <w:tblInd w:w="2" w:type="dxa"/>
        <w:tblLayout w:type="fixed"/>
        <w:tblCellMar>
          <w:top w:w="0" w:type="dxa"/>
          <w:left w:w="108" w:type="dxa"/>
          <w:bottom w:w="0" w:type="dxa"/>
          <w:right w:w="108" w:type="dxa"/>
        </w:tblCellMar>
      </w:tblPr>
      <w:tblGrid>
        <w:gridCol w:w="2425"/>
        <w:gridCol w:w="6650"/>
      </w:tblGrid>
      <w:tr w14:paraId="5A796D63">
        <w:tblPrEx>
          <w:tblCellMar>
            <w:top w:w="0" w:type="dxa"/>
            <w:left w:w="108" w:type="dxa"/>
            <w:bottom w:w="0" w:type="dxa"/>
            <w:right w:w="108" w:type="dxa"/>
          </w:tblCellMar>
        </w:tblPrEx>
        <w:trPr>
          <w:trHeight w:val="467" w:hRule="atLeast"/>
        </w:trPr>
        <w:tc>
          <w:tcPr>
            <w:tcW w:w="2425" w:type="dxa"/>
            <w:tcBorders>
              <w:top w:val="single" w:color="auto" w:sz="4" w:space="0"/>
              <w:left w:val="nil"/>
              <w:bottom w:val="single" w:color="auto" w:sz="4" w:space="0"/>
              <w:right w:val="single" w:color="auto" w:sz="4" w:space="0"/>
            </w:tcBorders>
            <w:noWrap w:val="0"/>
            <w:vAlign w:val="center"/>
          </w:tcPr>
          <w:p w14:paraId="52C648B5">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650" w:type="dxa"/>
            <w:tcBorders>
              <w:top w:val="single" w:color="auto" w:sz="4" w:space="0"/>
              <w:left w:val="nil"/>
              <w:bottom w:val="single" w:color="auto" w:sz="4" w:space="0"/>
              <w:right w:val="nil"/>
            </w:tcBorders>
            <w:noWrap w:val="0"/>
            <w:vAlign w:val="center"/>
          </w:tcPr>
          <w:p w14:paraId="29301BA8">
            <w:pPr>
              <w:widowControl/>
              <w:jc w:val="center"/>
              <w:rPr>
                <w:rFonts w:hint="default" w:ascii="Times New Roman" w:hAnsi="Times New Roman" w:cs="Times New Roman"/>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4E2D0CE4">
        <w:tblPrEx>
          <w:tblCellMar>
            <w:top w:w="0" w:type="dxa"/>
            <w:left w:w="108" w:type="dxa"/>
            <w:bottom w:w="0" w:type="dxa"/>
            <w:right w:w="108" w:type="dxa"/>
          </w:tblCellMar>
        </w:tblPrEx>
        <w:trPr>
          <w:trHeight w:val="422" w:hRule="atLeast"/>
        </w:trPr>
        <w:tc>
          <w:tcPr>
            <w:tcW w:w="2425" w:type="dxa"/>
            <w:tcBorders>
              <w:top w:val="single" w:color="auto" w:sz="4" w:space="0"/>
              <w:left w:val="nil"/>
              <w:bottom w:val="single" w:color="auto" w:sz="4" w:space="0"/>
              <w:right w:val="single" w:color="auto" w:sz="4" w:space="0"/>
            </w:tcBorders>
            <w:noWrap w:val="0"/>
            <w:vAlign w:val="center"/>
          </w:tcPr>
          <w:p w14:paraId="19D85C1F">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代餐粉</w:t>
            </w:r>
          </w:p>
        </w:tc>
        <w:tc>
          <w:tcPr>
            <w:tcW w:w="6650" w:type="dxa"/>
            <w:tcBorders>
              <w:top w:val="single" w:color="auto" w:sz="4" w:space="0"/>
              <w:left w:val="nil"/>
              <w:bottom w:val="single" w:color="auto" w:sz="4" w:space="0"/>
              <w:right w:val="nil"/>
            </w:tcBorders>
            <w:noWrap w:val="0"/>
            <w:vAlign w:val="center"/>
          </w:tcPr>
          <w:p w14:paraId="56BB7771">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桦南县国家级代餐粉现代农业产业园。</w:t>
            </w:r>
          </w:p>
        </w:tc>
      </w:tr>
      <w:tr w14:paraId="3BBA99F9">
        <w:tblPrEx>
          <w:tblCellMar>
            <w:top w:w="0" w:type="dxa"/>
            <w:left w:w="108" w:type="dxa"/>
            <w:bottom w:w="0" w:type="dxa"/>
            <w:right w:w="108" w:type="dxa"/>
          </w:tblCellMar>
        </w:tblPrEx>
        <w:trPr>
          <w:trHeight w:val="1353" w:hRule="atLeast"/>
        </w:trPr>
        <w:tc>
          <w:tcPr>
            <w:tcW w:w="2425" w:type="dxa"/>
            <w:tcBorders>
              <w:top w:val="nil"/>
              <w:left w:val="nil"/>
              <w:bottom w:val="single" w:color="auto" w:sz="4" w:space="0"/>
              <w:right w:val="single" w:color="auto" w:sz="4" w:space="0"/>
            </w:tcBorders>
            <w:noWrap w:val="0"/>
            <w:vAlign w:val="center"/>
          </w:tcPr>
          <w:p w14:paraId="1E92C532">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粮食精深加工</w:t>
            </w:r>
          </w:p>
        </w:tc>
        <w:tc>
          <w:tcPr>
            <w:tcW w:w="6650" w:type="dxa"/>
            <w:tcBorders>
              <w:top w:val="nil"/>
              <w:left w:val="nil"/>
              <w:bottom w:val="single" w:color="auto" w:sz="4" w:space="0"/>
              <w:right w:val="nil"/>
            </w:tcBorders>
            <w:noWrap w:val="0"/>
            <w:vAlign w:val="center"/>
          </w:tcPr>
          <w:p w14:paraId="24F739DD">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100万吨粮食储运加工项目，年产30万吨饲料加工项目，100万吨玉米淀粉精深加工项目，年产5万吨玉米汁饮料项目，年产3万吨大米休闲食品项目，大豆蛋白冲调饮料生产加工项目。</w:t>
            </w:r>
          </w:p>
        </w:tc>
      </w:tr>
      <w:tr w14:paraId="1A88551C">
        <w:tblPrEx>
          <w:tblCellMar>
            <w:top w:w="0" w:type="dxa"/>
            <w:left w:w="108" w:type="dxa"/>
            <w:bottom w:w="0" w:type="dxa"/>
            <w:right w:w="108" w:type="dxa"/>
          </w:tblCellMar>
        </w:tblPrEx>
        <w:trPr>
          <w:trHeight w:val="447" w:hRule="atLeast"/>
        </w:trPr>
        <w:tc>
          <w:tcPr>
            <w:tcW w:w="2425" w:type="dxa"/>
            <w:tcBorders>
              <w:top w:val="nil"/>
              <w:left w:val="nil"/>
              <w:bottom w:val="single" w:color="auto" w:sz="4" w:space="0"/>
              <w:right w:val="single" w:color="auto" w:sz="4" w:space="0"/>
            </w:tcBorders>
            <w:noWrap w:val="0"/>
            <w:vAlign w:val="center"/>
          </w:tcPr>
          <w:p w14:paraId="5AD6EEFB">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果蔬产品加工</w:t>
            </w:r>
          </w:p>
        </w:tc>
        <w:tc>
          <w:tcPr>
            <w:tcW w:w="6650" w:type="dxa"/>
            <w:tcBorders>
              <w:top w:val="nil"/>
              <w:left w:val="nil"/>
              <w:bottom w:val="single" w:color="auto" w:sz="4" w:space="0"/>
              <w:right w:val="nil"/>
            </w:tcBorders>
            <w:noWrap w:val="0"/>
            <w:vAlign w:val="center"/>
          </w:tcPr>
          <w:p w14:paraId="38E72509">
            <w:pPr>
              <w:widowControl/>
              <w:tabs>
                <w:tab w:val="left" w:pos="826"/>
              </w:tabs>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南瓜精深加工项目，20万吨南瓜饲料加工项目。</w:t>
            </w:r>
          </w:p>
        </w:tc>
      </w:tr>
      <w:tr w14:paraId="0A2F36EF">
        <w:tblPrEx>
          <w:tblCellMar>
            <w:top w:w="0" w:type="dxa"/>
            <w:left w:w="108" w:type="dxa"/>
            <w:bottom w:w="0" w:type="dxa"/>
            <w:right w:w="108" w:type="dxa"/>
          </w:tblCellMar>
        </w:tblPrEx>
        <w:trPr>
          <w:trHeight w:val="1056" w:hRule="atLeast"/>
        </w:trPr>
        <w:tc>
          <w:tcPr>
            <w:tcW w:w="2425" w:type="dxa"/>
            <w:tcBorders>
              <w:top w:val="nil"/>
              <w:left w:val="nil"/>
              <w:bottom w:val="single" w:color="auto" w:sz="4" w:space="0"/>
              <w:right w:val="single" w:color="auto" w:sz="4" w:space="0"/>
            </w:tcBorders>
            <w:noWrap w:val="0"/>
            <w:vAlign w:val="center"/>
          </w:tcPr>
          <w:p w14:paraId="161BF353">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畜禽加工</w:t>
            </w:r>
          </w:p>
        </w:tc>
        <w:tc>
          <w:tcPr>
            <w:tcW w:w="6650" w:type="dxa"/>
            <w:tcBorders>
              <w:top w:val="nil"/>
              <w:left w:val="nil"/>
              <w:bottom w:val="single" w:color="auto" w:sz="4" w:space="0"/>
              <w:right w:val="nil"/>
            </w:tcBorders>
            <w:noWrap w:val="0"/>
            <w:vAlign w:val="center"/>
          </w:tcPr>
          <w:p w14:paraId="73C51D0B">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桦南县新建综合屠宰厂项目（年屠宰15万头生猪综合屠宰场），驴生物制品加工项目，信得桦南蛋鸡养殖及饲料加工项目，牧原100万头生猪养殖及饲料加工项目。</w:t>
            </w:r>
          </w:p>
        </w:tc>
      </w:tr>
      <w:tr w14:paraId="761F5739">
        <w:tblPrEx>
          <w:tblCellMar>
            <w:top w:w="0" w:type="dxa"/>
            <w:left w:w="108" w:type="dxa"/>
            <w:bottom w:w="0" w:type="dxa"/>
            <w:right w:w="108" w:type="dxa"/>
          </w:tblCellMar>
        </w:tblPrEx>
        <w:trPr>
          <w:trHeight w:val="1363" w:hRule="atLeast"/>
        </w:trPr>
        <w:tc>
          <w:tcPr>
            <w:tcW w:w="2425" w:type="dxa"/>
            <w:tcBorders>
              <w:top w:val="nil"/>
              <w:left w:val="nil"/>
              <w:bottom w:val="single" w:color="auto" w:sz="4" w:space="0"/>
              <w:right w:val="single" w:color="auto" w:sz="4" w:space="0"/>
            </w:tcBorders>
            <w:noWrap w:val="0"/>
            <w:vAlign w:val="center"/>
          </w:tcPr>
          <w:p w14:paraId="0CE2B5AC">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山林产品加工</w:t>
            </w:r>
          </w:p>
        </w:tc>
        <w:tc>
          <w:tcPr>
            <w:tcW w:w="6650" w:type="dxa"/>
            <w:tcBorders>
              <w:top w:val="nil"/>
              <w:left w:val="nil"/>
              <w:bottom w:val="single" w:color="auto" w:sz="4" w:space="0"/>
              <w:right w:val="nil"/>
            </w:tcBorders>
            <w:noWrap w:val="0"/>
            <w:vAlign w:val="center"/>
          </w:tcPr>
          <w:p w14:paraId="4D9534E3">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中草药冷提取深加工项目，中草药化妆品、保健品生产研发基地建设项目，紫苏精深加工产业化项目，紫苏调和油生产项目，</w:t>
            </w:r>
            <w:r>
              <w:rPr>
                <w:rFonts w:hint="eastAsia" w:ascii="Times New Roman" w:hAnsi="Times New Roman" w:cs="Times New Roman"/>
                <w:color w:val="000000"/>
                <w:kern w:val="0"/>
                <w:sz w:val="24"/>
                <w:highlight w:val="none"/>
                <w:u w:val="none"/>
                <w:lang w:val="en-US" w:eastAsia="zh-CN"/>
              </w:rPr>
              <w:t>黑龙江省紫苏产品检验检测中心项目，</w:t>
            </w:r>
            <w:r>
              <w:rPr>
                <w:rFonts w:hint="default" w:ascii="Times New Roman" w:hAnsi="Times New Roman" w:cs="Times New Roman"/>
                <w:color w:val="000000"/>
                <w:kern w:val="0"/>
                <w:sz w:val="24"/>
                <w:highlight w:val="none"/>
                <w:u w:val="none"/>
              </w:rPr>
              <w:t>黑木耳保健食品深加工项目，黑木耳菌糠肥料生产项目。</w:t>
            </w:r>
          </w:p>
        </w:tc>
      </w:tr>
    </w:tbl>
    <w:p w14:paraId="41D65C0F">
      <w:pPr>
        <w:spacing w:line="600" w:lineRule="exact"/>
        <w:ind w:firstLine="643" w:firstLineChars="200"/>
        <w:rPr>
          <w:rFonts w:hint="default" w:ascii="Times New Roman" w:hAnsi="Times New Roman" w:cs="Times New Roman"/>
          <w:color w:val="000000"/>
          <w:highlight w:val="none"/>
          <w:u w:val="none"/>
        </w:rPr>
      </w:pPr>
      <w:r>
        <w:rPr>
          <w:rFonts w:hint="default" w:ascii="Times New Roman" w:hAnsi="Times New Roman" w:eastAsia="仿宋_GB2312" w:cs="Times New Roman"/>
          <w:b/>
          <w:color w:val="000000"/>
          <w:sz w:val="32"/>
          <w:szCs w:val="32"/>
          <w:highlight w:val="none"/>
          <w:u w:val="none"/>
        </w:rPr>
        <w:t>做大精细化工产业。</w:t>
      </w:r>
      <w:r>
        <w:rPr>
          <w:rFonts w:hint="default" w:ascii="Times New Roman" w:hAnsi="Times New Roman" w:eastAsia="仿宋_GB2312" w:cs="Times New Roman"/>
          <w:color w:val="000000"/>
          <w:sz w:val="32"/>
          <w:szCs w:val="32"/>
          <w:highlight w:val="none"/>
          <w:u w:val="none"/>
        </w:rPr>
        <w:t>聚焦用户覆盖率广、附加值高、发展潜力大的精细化工产业，依托鸿展集团30万吨燃料乙醇项目，瞄准产业发展方向，狠抓龙头企业带动，着力强链、补链、延链、建链，重点引进各类催化剂、助（溶）剂、食品添加剂、电子化学品、造纸化学品、生物化工等尚未形成规模而市场空间广阔的生产企业，加快推进鸿汇实业糠醛生产、安康生物科技公司医药中间体和化工产品项目集群化发展，形成产业关联度高、产业链现代化水平高、深加工能力强、产品附加值高、集聚优势明显的产业集群。</w:t>
      </w:r>
    </w:p>
    <w:p w14:paraId="2C30A919">
      <w:pPr>
        <w:jc w:val="center"/>
        <w:rPr>
          <w:rFonts w:hint="default" w:ascii="Times New Roman" w:hAnsi="Times New Roman" w:eastAsia="黑体" w:cs="Times New Roman"/>
          <w:color w:val="000000"/>
          <w:sz w:val="28"/>
          <w:szCs w:val="28"/>
          <w:highlight w:val="none"/>
          <w:u w:val="none"/>
        </w:rPr>
      </w:pPr>
    </w:p>
    <w:p w14:paraId="2D23A11B">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专栏3：精细化工产业项目</w:t>
      </w:r>
    </w:p>
    <w:tbl>
      <w:tblPr>
        <w:tblStyle w:val="17"/>
        <w:tblW w:w="0" w:type="auto"/>
        <w:jc w:val="center"/>
        <w:tblLayout w:type="fixed"/>
        <w:tblCellMar>
          <w:top w:w="0" w:type="dxa"/>
          <w:left w:w="108" w:type="dxa"/>
          <w:bottom w:w="0" w:type="dxa"/>
          <w:right w:w="108" w:type="dxa"/>
        </w:tblCellMar>
      </w:tblPr>
      <w:tblGrid>
        <w:gridCol w:w="2020"/>
        <w:gridCol w:w="6540"/>
      </w:tblGrid>
      <w:tr w14:paraId="52F98B83">
        <w:tblPrEx>
          <w:tblCellMar>
            <w:top w:w="0" w:type="dxa"/>
            <w:left w:w="108" w:type="dxa"/>
            <w:bottom w:w="0" w:type="dxa"/>
            <w:right w:w="108" w:type="dxa"/>
          </w:tblCellMar>
        </w:tblPrEx>
        <w:trPr>
          <w:trHeight w:val="285" w:hRule="atLeast"/>
          <w:jc w:val="center"/>
        </w:trPr>
        <w:tc>
          <w:tcPr>
            <w:tcW w:w="2020" w:type="dxa"/>
            <w:tcBorders>
              <w:top w:val="single" w:color="auto" w:sz="4" w:space="0"/>
              <w:left w:val="nil"/>
              <w:bottom w:val="single" w:color="auto" w:sz="4" w:space="0"/>
              <w:right w:val="single" w:color="auto" w:sz="4" w:space="0"/>
            </w:tcBorders>
            <w:noWrap w:val="0"/>
            <w:vAlign w:val="top"/>
          </w:tcPr>
          <w:p w14:paraId="6F199CA2">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540" w:type="dxa"/>
            <w:tcBorders>
              <w:top w:val="single" w:color="auto" w:sz="4" w:space="0"/>
              <w:left w:val="nil"/>
              <w:bottom w:val="single" w:color="auto" w:sz="4" w:space="0"/>
              <w:right w:val="nil"/>
            </w:tcBorders>
            <w:noWrap w:val="0"/>
            <w:vAlign w:val="top"/>
          </w:tcPr>
          <w:p w14:paraId="15E324A6">
            <w:pPr>
              <w:widowControl/>
              <w:jc w:val="center"/>
              <w:rPr>
                <w:rFonts w:hint="default" w:ascii="Times New Roman" w:hAnsi="Times New Roman" w:cs="Times New Roman"/>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6AAB813D">
        <w:tblPrEx>
          <w:tblCellMar>
            <w:top w:w="0" w:type="dxa"/>
            <w:left w:w="108" w:type="dxa"/>
            <w:bottom w:w="0" w:type="dxa"/>
            <w:right w:w="108" w:type="dxa"/>
          </w:tblCellMar>
        </w:tblPrEx>
        <w:trPr>
          <w:trHeight w:val="285" w:hRule="atLeast"/>
          <w:jc w:val="center"/>
        </w:trPr>
        <w:tc>
          <w:tcPr>
            <w:tcW w:w="2020" w:type="dxa"/>
            <w:tcBorders>
              <w:top w:val="single" w:color="auto" w:sz="4" w:space="0"/>
              <w:left w:val="nil"/>
              <w:bottom w:val="single" w:color="auto" w:sz="4" w:space="0"/>
              <w:right w:val="single" w:color="auto" w:sz="4" w:space="0"/>
            </w:tcBorders>
            <w:noWrap w:val="0"/>
            <w:vAlign w:val="center"/>
          </w:tcPr>
          <w:p w14:paraId="0CB32840">
            <w:pPr>
              <w:widowControl/>
              <w:jc w:val="left"/>
              <w:rPr>
                <w:rFonts w:hint="default" w:ascii="Times New Roman" w:hAnsi="Times New Roman" w:eastAsia="楷体_GB2312"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精细化工</w:t>
            </w:r>
          </w:p>
        </w:tc>
        <w:tc>
          <w:tcPr>
            <w:tcW w:w="6540" w:type="dxa"/>
            <w:tcBorders>
              <w:top w:val="single" w:color="auto" w:sz="4" w:space="0"/>
              <w:left w:val="nil"/>
              <w:bottom w:val="single" w:color="auto" w:sz="4" w:space="0"/>
              <w:right w:val="nil"/>
            </w:tcBorders>
            <w:noWrap w:val="0"/>
            <w:vAlign w:val="top"/>
          </w:tcPr>
          <w:p w14:paraId="44695A7B">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龙源生物科技二期项目，年产10万吨乙烯项目，年产50万吨丙酮项目，年产50万吨醋酸乙酯项目，年产30万吨乙酸项目，年产10万吨乙醚项目，年产5万吨丙酸项目，年产2万吨正丁醇项目，年产2万吨糠醛项目，有机涂料加工项目，有机染料加工项目，有机颜料加工项目，年产1万吨油墨项目，年产3万吨二甲基呋喃项目，年产30万吨燃料乙醇及50万吨DDGS项目，年产20万吨聚乳酸项目</w:t>
            </w:r>
            <w:r>
              <w:rPr>
                <w:rFonts w:hint="eastAsia" w:ascii="Times New Roman" w:hAnsi="Times New Roman" w:cs="Times New Roman"/>
                <w:color w:val="000000"/>
                <w:kern w:val="0"/>
                <w:sz w:val="24"/>
                <w:highlight w:val="none"/>
                <w:u w:val="none"/>
                <w:lang w:eastAsia="zh-CN"/>
              </w:rPr>
              <w:t>，</w:t>
            </w:r>
            <w:r>
              <w:rPr>
                <w:rFonts w:hint="eastAsia" w:ascii="Times New Roman" w:hAnsi="Times New Roman" w:cs="Times New Roman"/>
                <w:color w:val="000000"/>
                <w:kern w:val="0"/>
                <w:sz w:val="24"/>
                <w:highlight w:val="none"/>
                <w:u w:val="none"/>
                <w:lang w:val="en-US" w:eastAsia="zh-CN"/>
              </w:rPr>
              <w:t>农药中间体项目，抗病毒系列等医药中间体项目，康池医药抗病毒系列医药中间体项目，颐园年产1万吨精细化学品项目</w:t>
            </w:r>
            <w:r>
              <w:rPr>
                <w:rFonts w:hint="default" w:ascii="Times New Roman" w:hAnsi="Times New Roman" w:cs="Times New Roman"/>
                <w:color w:val="000000"/>
                <w:kern w:val="0"/>
                <w:sz w:val="24"/>
                <w:highlight w:val="none"/>
                <w:u w:val="none"/>
              </w:rPr>
              <w:t>。</w:t>
            </w:r>
          </w:p>
        </w:tc>
      </w:tr>
    </w:tbl>
    <w:p w14:paraId="0EFAD342">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做优新能源产业。</w:t>
      </w:r>
      <w:r>
        <w:rPr>
          <w:rFonts w:hint="default" w:ascii="Times New Roman" w:hAnsi="Times New Roman" w:eastAsia="仿宋_GB2312" w:cs="Times New Roman"/>
          <w:color w:val="000000"/>
          <w:sz w:val="32"/>
          <w:szCs w:val="32"/>
          <w:highlight w:val="none"/>
          <w:u w:val="none"/>
        </w:rPr>
        <w:t>围绕风电产业，大力发展增强纤维、轮毂、发电机、轴承、齿轮箱等产业，力争到2025年总装机容量达到300万千瓦，全力打造黑龙江“风电之都”；围绕光伏产业，重点发展光伏玻璃、电池片、逆变器、蓄电池、PET基膜等上下游产业，依托孟家岗至石头河金铁成矿带中段的沉积变质型石墨矿床1446万吨储量资源，积极谋划推进石墨烯粉体、纤维、浆料、薄膜和电池生产项目；围绕开发生物质能，加大生物质成型燃煤、可燃气、裂解油、生物乙醇、生物汽油等项目引进力度，重点推进丰源生物质热电联产、枫林生物质、金源生物质项目投产达效，全力推动风能、太阳能、生物质能开发全产业链发展。</w:t>
      </w:r>
    </w:p>
    <w:p w14:paraId="1CFAE930">
      <w:pPr>
        <w:jc w:val="center"/>
        <w:rPr>
          <w:rFonts w:hint="default" w:ascii="Times New Roman" w:hAnsi="Times New Roman" w:eastAsia="黑体" w:cs="Times New Roman"/>
          <w:bCs/>
          <w:color w:val="000000"/>
          <w:sz w:val="28"/>
          <w:szCs w:val="28"/>
          <w:highlight w:val="none"/>
          <w:u w:val="none"/>
        </w:rPr>
      </w:pPr>
      <w:r>
        <w:rPr>
          <w:rFonts w:hint="default" w:ascii="Times New Roman" w:hAnsi="Times New Roman" w:eastAsia="黑体" w:cs="Times New Roman"/>
          <w:bCs/>
          <w:color w:val="000000"/>
          <w:sz w:val="28"/>
          <w:szCs w:val="28"/>
          <w:highlight w:val="none"/>
          <w:u w:val="none"/>
        </w:rPr>
        <w:t>专栏4：新能源产业项目</w:t>
      </w:r>
    </w:p>
    <w:tbl>
      <w:tblPr>
        <w:tblStyle w:val="17"/>
        <w:tblW w:w="0" w:type="auto"/>
        <w:jc w:val="center"/>
        <w:tblLayout w:type="fixed"/>
        <w:tblCellMar>
          <w:top w:w="0" w:type="dxa"/>
          <w:left w:w="108" w:type="dxa"/>
          <w:bottom w:w="0" w:type="dxa"/>
          <w:right w:w="108" w:type="dxa"/>
        </w:tblCellMar>
      </w:tblPr>
      <w:tblGrid>
        <w:gridCol w:w="2020"/>
        <w:gridCol w:w="6712"/>
      </w:tblGrid>
      <w:tr w14:paraId="4A776370">
        <w:tblPrEx>
          <w:tblCellMar>
            <w:top w:w="0" w:type="dxa"/>
            <w:left w:w="108" w:type="dxa"/>
            <w:bottom w:w="0" w:type="dxa"/>
            <w:right w:w="108" w:type="dxa"/>
          </w:tblCellMar>
        </w:tblPrEx>
        <w:trPr>
          <w:trHeight w:val="512" w:hRule="atLeast"/>
          <w:jc w:val="center"/>
        </w:trPr>
        <w:tc>
          <w:tcPr>
            <w:tcW w:w="2020" w:type="dxa"/>
            <w:tcBorders>
              <w:top w:val="single" w:color="auto" w:sz="4" w:space="0"/>
              <w:left w:val="nil"/>
              <w:bottom w:val="single" w:color="auto" w:sz="4" w:space="0"/>
              <w:right w:val="single" w:color="auto" w:sz="4" w:space="0"/>
            </w:tcBorders>
            <w:noWrap w:val="0"/>
            <w:vAlign w:val="center"/>
          </w:tcPr>
          <w:p w14:paraId="7F90DB9C">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712" w:type="dxa"/>
            <w:tcBorders>
              <w:top w:val="single" w:color="auto" w:sz="4" w:space="0"/>
              <w:left w:val="nil"/>
              <w:bottom w:val="single" w:color="auto" w:sz="4" w:space="0"/>
              <w:right w:val="nil"/>
            </w:tcBorders>
            <w:noWrap w:val="0"/>
            <w:vAlign w:val="center"/>
          </w:tcPr>
          <w:p w14:paraId="543B3BB7">
            <w:pPr>
              <w:widowControl/>
              <w:jc w:val="center"/>
              <w:rPr>
                <w:rFonts w:hint="default" w:ascii="Times New Roman" w:hAnsi="Times New Roman" w:cs="Times New Roman"/>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5843104C">
        <w:tblPrEx>
          <w:tblCellMar>
            <w:top w:w="0" w:type="dxa"/>
            <w:left w:w="108" w:type="dxa"/>
            <w:bottom w:w="0" w:type="dxa"/>
            <w:right w:w="108" w:type="dxa"/>
          </w:tblCellMar>
        </w:tblPrEx>
        <w:trPr>
          <w:trHeight w:val="1241" w:hRule="atLeast"/>
          <w:jc w:val="center"/>
        </w:trPr>
        <w:tc>
          <w:tcPr>
            <w:tcW w:w="2020" w:type="dxa"/>
            <w:tcBorders>
              <w:top w:val="single" w:color="auto" w:sz="4" w:space="0"/>
              <w:left w:val="nil"/>
              <w:bottom w:val="single" w:color="auto" w:sz="4" w:space="0"/>
              <w:right w:val="single" w:color="auto" w:sz="4" w:space="0"/>
            </w:tcBorders>
            <w:noWrap w:val="0"/>
            <w:vAlign w:val="center"/>
          </w:tcPr>
          <w:p w14:paraId="1154FD38">
            <w:pPr>
              <w:widowControl/>
              <w:jc w:val="left"/>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生物质能项目</w:t>
            </w:r>
          </w:p>
        </w:tc>
        <w:tc>
          <w:tcPr>
            <w:tcW w:w="6712" w:type="dxa"/>
            <w:tcBorders>
              <w:top w:val="single" w:color="auto" w:sz="4" w:space="0"/>
              <w:left w:val="nil"/>
              <w:bottom w:val="single" w:color="auto" w:sz="4" w:space="0"/>
              <w:right w:val="nil"/>
            </w:tcBorders>
            <w:noWrap w:val="0"/>
            <w:vAlign w:val="center"/>
          </w:tcPr>
          <w:p w14:paraId="4C8E7DF2">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俄罗斯进口LNG仓储基地建设项目，桦南县乡电生物质热电联产项目，桦南县土龙山镇生物质气化发电项目，桦南县驼腰子镇生物质气化发电项目。</w:t>
            </w:r>
          </w:p>
        </w:tc>
      </w:tr>
      <w:tr w14:paraId="3A45ADF8">
        <w:tblPrEx>
          <w:tblCellMar>
            <w:top w:w="0" w:type="dxa"/>
            <w:left w:w="108" w:type="dxa"/>
            <w:bottom w:w="0" w:type="dxa"/>
            <w:right w:w="108" w:type="dxa"/>
          </w:tblCellMar>
        </w:tblPrEx>
        <w:trPr>
          <w:trHeight w:val="2973" w:hRule="atLeast"/>
          <w:jc w:val="center"/>
        </w:trPr>
        <w:tc>
          <w:tcPr>
            <w:tcW w:w="2020" w:type="dxa"/>
            <w:tcBorders>
              <w:top w:val="nil"/>
              <w:left w:val="nil"/>
              <w:bottom w:val="single" w:color="auto" w:sz="4" w:space="0"/>
              <w:right w:val="single" w:color="auto" w:sz="4" w:space="0"/>
            </w:tcBorders>
            <w:noWrap w:val="0"/>
            <w:vAlign w:val="center"/>
          </w:tcPr>
          <w:p w14:paraId="4A22B341">
            <w:pPr>
              <w:widowControl/>
              <w:jc w:val="left"/>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风电项目</w:t>
            </w:r>
          </w:p>
        </w:tc>
        <w:tc>
          <w:tcPr>
            <w:tcW w:w="6712" w:type="dxa"/>
            <w:tcBorders>
              <w:top w:val="nil"/>
              <w:left w:val="nil"/>
              <w:bottom w:val="single" w:color="auto" w:sz="4" w:space="0"/>
              <w:right w:val="nil"/>
            </w:tcBorders>
            <w:noWrap w:val="0"/>
            <w:vAlign w:val="center"/>
          </w:tcPr>
          <w:p w14:paraId="0456F7FD">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风电装备综合产业基地建设项目，100MW风电清洁供暖项目，桦南长宏500MW风电平价上网项目，桦南融核金沙风电场项目，龙源桦南公心集200MW风电项目，桦南梨树风电项目，桦南</w:t>
            </w:r>
            <w:r>
              <w:rPr>
                <w:rFonts w:hint="eastAsia" w:cs="Times New Roman"/>
                <w:color w:val="000000"/>
                <w:kern w:val="0"/>
                <w:sz w:val="24"/>
                <w:highlight w:val="none"/>
                <w:u w:val="none"/>
                <w:lang w:val="en-US" w:eastAsia="zh-CN"/>
              </w:rPr>
              <w:t>土龙山</w:t>
            </w:r>
            <w:r>
              <w:rPr>
                <w:rFonts w:hint="default" w:ascii="Times New Roman" w:hAnsi="Times New Roman" w:cs="Times New Roman"/>
                <w:color w:val="000000"/>
                <w:kern w:val="0"/>
                <w:sz w:val="24"/>
                <w:highlight w:val="none"/>
                <w:u w:val="none"/>
              </w:rPr>
              <w:t>风电项目，桦南</w:t>
            </w:r>
            <w:r>
              <w:rPr>
                <w:rFonts w:hint="eastAsia" w:cs="Times New Roman"/>
                <w:color w:val="000000"/>
                <w:kern w:val="0"/>
                <w:sz w:val="24"/>
                <w:highlight w:val="none"/>
                <w:u w:val="none"/>
                <w:lang w:val="en-US" w:eastAsia="zh-CN"/>
              </w:rPr>
              <w:t>五道岗</w:t>
            </w:r>
            <w:r>
              <w:rPr>
                <w:rFonts w:hint="default" w:ascii="Times New Roman" w:hAnsi="Times New Roman" w:cs="Times New Roman"/>
                <w:color w:val="000000"/>
                <w:kern w:val="0"/>
                <w:sz w:val="24"/>
                <w:highlight w:val="none"/>
                <w:u w:val="none"/>
              </w:rPr>
              <w:t>风电项目，龙源桦南曙光100MW风电项目，龙源桦南驼腰子100MW风电项目，华创新能源孟林750MW风电场项目，天下环能桦南县450MW风电项目，桦南县盛华源能源科技200mw平价上网风电项目，山东翔润</w:t>
            </w:r>
            <w:bookmarkStart w:id="123" w:name="_GoBack"/>
            <w:bookmarkEnd w:id="123"/>
            <w:r>
              <w:rPr>
                <w:rFonts w:hint="default" w:ascii="Times New Roman" w:hAnsi="Times New Roman" w:cs="Times New Roman"/>
                <w:color w:val="000000"/>
                <w:kern w:val="0"/>
                <w:sz w:val="24"/>
                <w:highlight w:val="none"/>
                <w:u w:val="none"/>
              </w:rPr>
              <w:t>桦南县300MW集中式风力发电项目，佳木斯旭宏(桦南县）300兆瓦风电场项目，佳木斯桦南县150MW风电项目，国瑞能源桦南风电场一期工程。</w:t>
            </w:r>
          </w:p>
        </w:tc>
      </w:tr>
      <w:tr w14:paraId="7B43A913">
        <w:tblPrEx>
          <w:tblCellMar>
            <w:top w:w="0" w:type="dxa"/>
            <w:left w:w="108" w:type="dxa"/>
            <w:bottom w:w="0" w:type="dxa"/>
            <w:right w:w="108" w:type="dxa"/>
          </w:tblCellMar>
        </w:tblPrEx>
        <w:trPr>
          <w:trHeight w:val="904" w:hRule="atLeast"/>
          <w:jc w:val="center"/>
        </w:trPr>
        <w:tc>
          <w:tcPr>
            <w:tcW w:w="2020" w:type="dxa"/>
            <w:tcBorders>
              <w:top w:val="nil"/>
              <w:left w:val="nil"/>
              <w:bottom w:val="single" w:color="auto" w:sz="4" w:space="0"/>
              <w:right w:val="single" w:color="auto" w:sz="4" w:space="0"/>
            </w:tcBorders>
            <w:noWrap w:val="0"/>
            <w:vAlign w:val="center"/>
          </w:tcPr>
          <w:p w14:paraId="6E95790B">
            <w:pPr>
              <w:widowControl/>
              <w:jc w:val="left"/>
              <w:rPr>
                <w:rFonts w:hint="default" w:ascii="Times New Roman" w:hAnsi="Times New Roman" w:eastAsia="黑体" w:cs="Times New Roman"/>
                <w:color w:val="000000"/>
                <w:kern w:val="0"/>
                <w:sz w:val="24"/>
                <w:highlight w:val="none"/>
                <w:u w:val="none"/>
              </w:rPr>
            </w:pPr>
            <w:r>
              <w:rPr>
                <w:rFonts w:hint="default" w:ascii="Times New Roman" w:hAnsi="Times New Roman" w:cs="Times New Roman"/>
                <w:b/>
                <w:bCs/>
                <w:color w:val="000000"/>
                <w:kern w:val="0"/>
                <w:sz w:val="24"/>
                <w:highlight w:val="none"/>
                <w:u w:val="none"/>
              </w:rPr>
              <w:t>*其他</w:t>
            </w:r>
          </w:p>
        </w:tc>
        <w:tc>
          <w:tcPr>
            <w:tcW w:w="6712" w:type="dxa"/>
            <w:tcBorders>
              <w:top w:val="nil"/>
              <w:left w:val="nil"/>
              <w:bottom w:val="single" w:color="auto" w:sz="4" w:space="0"/>
              <w:right w:val="nil"/>
            </w:tcBorders>
            <w:noWrap w:val="0"/>
            <w:vAlign w:val="center"/>
          </w:tcPr>
          <w:p w14:paraId="1C5DE4B2">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石墨烯电池生产项目，桦南县翔润平价光伏项目，采煤掘进机生产项目。</w:t>
            </w:r>
          </w:p>
        </w:tc>
      </w:tr>
    </w:tbl>
    <w:p w14:paraId="1AA9BA95">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做精现代服务业。</w:t>
      </w:r>
      <w:r>
        <w:rPr>
          <w:rFonts w:hint="default" w:ascii="Times New Roman" w:hAnsi="Times New Roman" w:eastAsia="仿宋_GB2312" w:cs="Times New Roman"/>
          <w:color w:val="000000"/>
          <w:sz w:val="32"/>
          <w:szCs w:val="32"/>
          <w:highlight w:val="none"/>
          <w:u w:val="none"/>
        </w:rPr>
        <w:t>充分发挥“哈佳双同”辐射带的次中心优势，依托牡佳铁路、鹤大公路和依饶公路等交通网络，利用佳市江海联运、陆港联运、铁港联运、空港联运等四大联运通道，积极融入佳木斯、双鸭山等五地市“一个半小时”经济圈和哈尔滨“两小时”经济圈，坚持以发展大商贸、大市场、大流通为方向，以增强服务业竞争力为核心，加快建立现代化服务体系，努力提高服务业市场化、产业化、社会化水平，推动生活性服务业向高品质和多样化升级，生产性服务业向专业化和价值链高端延伸，培育一批具有较强市场竞争力的桦南服务品牌。到2025年，现代服务业增加值增长10%以上，全力打造佳木</w:t>
      </w:r>
      <w:r>
        <w:rPr>
          <w:rFonts w:hint="default" w:ascii="Times New Roman" w:hAnsi="Times New Roman" w:eastAsia="仿宋_GB2312" w:cs="Times New Roman"/>
          <w:color w:val="000000"/>
          <w:sz w:val="32"/>
          <w:szCs w:val="32"/>
          <w:highlight w:val="none"/>
          <w:u w:val="none"/>
          <w:lang w:eastAsia="zh-CN"/>
        </w:rPr>
        <w:t>斯市域</w:t>
      </w:r>
      <w:r>
        <w:rPr>
          <w:rFonts w:hint="default" w:ascii="Times New Roman" w:hAnsi="Times New Roman" w:eastAsia="仿宋_GB2312" w:cs="Times New Roman"/>
          <w:color w:val="000000"/>
          <w:sz w:val="32"/>
          <w:szCs w:val="32"/>
          <w:highlight w:val="none"/>
          <w:u w:val="none"/>
        </w:rPr>
        <w:t>南部现代服务业集聚区。</w:t>
      </w:r>
    </w:p>
    <w:p w14:paraId="62BB0622">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w:t>
      </w:r>
      <w:r>
        <w:rPr>
          <w:rFonts w:hint="default" w:ascii="Times New Roman" w:hAnsi="Times New Roman" w:eastAsia="楷体_GB2312" w:cs="Times New Roman"/>
          <w:color w:val="000000"/>
          <w:sz w:val="32"/>
          <w:szCs w:val="32"/>
          <w:highlight w:val="none"/>
          <w:u w:val="none"/>
        </w:rPr>
        <w:t>推动现代商贸高端发展。</w:t>
      </w:r>
      <w:r>
        <w:rPr>
          <w:rFonts w:hint="default" w:ascii="Times New Roman" w:hAnsi="Times New Roman" w:eastAsia="仿宋_GB2312" w:cs="Times New Roman"/>
          <w:color w:val="000000"/>
          <w:sz w:val="32"/>
          <w:szCs w:val="32"/>
          <w:highlight w:val="none"/>
          <w:u w:val="none"/>
        </w:rPr>
        <w:t>大力推动商贸流通业向规模化、精品化、网络化发展，引导世纪生活广场、悦城广场、亿丰建材家居城、招远皮革城、京佳汽车城等市场向高端化发展，推进“商业进社区”“超市下乡”，实现“线上+线下”无缝对接。加快发展消费型服务业，引进建设服装批发市场、小商品交易市场、农副产品批发交易市场、花卉苗木交易市场、北药及山珍产品现货交易市场。到2025年，服务业规上企业达到40家。</w:t>
      </w:r>
    </w:p>
    <w:p w14:paraId="6DA7C536">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w:t>
      </w:r>
      <w:r>
        <w:rPr>
          <w:rFonts w:hint="default" w:ascii="Times New Roman" w:hAnsi="Times New Roman" w:eastAsia="楷体_GB2312" w:cs="Times New Roman"/>
          <w:color w:val="000000"/>
          <w:sz w:val="32"/>
          <w:szCs w:val="32"/>
          <w:highlight w:val="none"/>
          <w:u w:val="none"/>
        </w:rPr>
        <w:t>推动电子商务快速发展。</w:t>
      </w:r>
      <w:r>
        <w:rPr>
          <w:rFonts w:hint="default" w:ascii="Times New Roman" w:hAnsi="Times New Roman" w:eastAsia="仿宋_GB2312" w:cs="Times New Roman"/>
          <w:color w:val="000000"/>
          <w:sz w:val="32"/>
          <w:szCs w:val="32"/>
          <w:highlight w:val="none"/>
          <w:u w:val="none"/>
        </w:rPr>
        <w:t>依托数字桦南建设，积极发展数字产业，围绕大数据、云计算、人工智能、软件信息服务、工业互联网等领域，吸引华为、阿里、京东等企业在桦南建立云计算及大数据中心。探索“互联网+大数据+综合服务”平台新模式，积极发展平台经济、共享经济、线上教育等数字经济新业态，引进培育一批国内知名、业内领先的数字经济企业。加快发展数字农村，充分发挥全国首批数字乡村试点县作用，鼓励支持农村市场主体开展电商业务，完善农村电商配送及综合服务体系，创新“农超对接”“基地+社区直供”“批发市场+宅配”“移动互联网+众包”新模式。到2025年，力争建设1个省级电子商务示范基地，电子商务示范企业15个。</w:t>
      </w:r>
    </w:p>
    <w:p w14:paraId="497C364B">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w:t>
      </w:r>
      <w:r>
        <w:rPr>
          <w:rFonts w:hint="default" w:ascii="Times New Roman" w:hAnsi="Times New Roman" w:eastAsia="楷体_GB2312" w:cs="Times New Roman"/>
          <w:color w:val="000000"/>
          <w:sz w:val="32"/>
          <w:szCs w:val="32"/>
          <w:highlight w:val="none"/>
          <w:u w:val="none"/>
        </w:rPr>
        <w:t>推动物流业现代化发展。</w:t>
      </w:r>
      <w:r>
        <w:rPr>
          <w:rFonts w:hint="default" w:ascii="Times New Roman" w:hAnsi="Times New Roman" w:eastAsia="仿宋_GB2312" w:cs="Times New Roman"/>
          <w:color w:val="000000"/>
          <w:sz w:val="32"/>
          <w:szCs w:val="32"/>
          <w:highlight w:val="none"/>
          <w:u w:val="none"/>
        </w:rPr>
        <w:t>深度融入“一带一路中蒙俄经济走廊”“龙江丝路带”建设，围绕打造水、陆、空立体通道，主动对接绥芬河口岸、同江口岸、抚远口岸、密山口岸、佳木斯机场和水运口岸，打造多式联运服务体系，发展陆港口岸运营模式、国际快件与跨境电商融合通关模式。发展壮大特色物流，重点围绕乙醇燃料、冷链物流、快递物流、电商物流等产业发展和群众生活需要的四大领域，加快推进县域综合物流园建设，吸引以冷链仓储运输为主要内容的物流龙头企业进驻桦南，提升冷、鲜、活等农畜产品的长途运输能力和水平，加速融入远东地区营销网络，着力构建现代物流业创新发展空间布局。到2025年，建成大型综合物流园5个，专业物流配送中心10个。</w:t>
      </w:r>
    </w:p>
    <w:p w14:paraId="0B4ACEB3">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专栏5：现代服务业项目</w:t>
      </w:r>
    </w:p>
    <w:tbl>
      <w:tblPr>
        <w:tblStyle w:val="17"/>
        <w:tblW w:w="0" w:type="auto"/>
        <w:tblInd w:w="2" w:type="dxa"/>
        <w:tblLayout w:type="fixed"/>
        <w:tblCellMar>
          <w:top w:w="0" w:type="dxa"/>
          <w:left w:w="108" w:type="dxa"/>
          <w:bottom w:w="0" w:type="dxa"/>
          <w:right w:w="108" w:type="dxa"/>
        </w:tblCellMar>
      </w:tblPr>
      <w:tblGrid>
        <w:gridCol w:w="2020"/>
        <w:gridCol w:w="7034"/>
      </w:tblGrid>
      <w:tr w14:paraId="1B3AE256">
        <w:tblPrEx>
          <w:tblCellMar>
            <w:top w:w="0" w:type="dxa"/>
            <w:left w:w="108" w:type="dxa"/>
            <w:bottom w:w="0" w:type="dxa"/>
            <w:right w:w="108" w:type="dxa"/>
          </w:tblCellMar>
        </w:tblPrEx>
        <w:trPr>
          <w:trHeight w:val="512" w:hRule="atLeast"/>
        </w:trPr>
        <w:tc>
          <w:tcPr>
            <w:tcW w:w="2020" w:type="dxa"/>
            <w:tcBorders>
              <w:top w:val="single" w:color="auto" w:sz="4" w:space="0"/>
              <w:left w:val="nil"/>
              <w:bottom w:val="single" w:color="auto" w:sz="4" w:space="0"/>
              <w:right w:val="single" w:color="auto" w:sz="4" w:space="0"/>
            </w:tcBorders>
            <w:noWrap w:val="0"/>
            <w:vAlign w:val="center"/>
          </w:tcPr>
          <w:p w14:paraId="1FCB3D07">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7034" w:type="dxa"/>
            <w:tcBorders>
              <w:top w:val="single" w:color="auto" w:sz="4" w:space="0"/>
              <w:left w:val="nil"/>
              <w:bottom w:val="single" w:color="auto" w:sz="4" w:space="0"/>
              <w:right w:val="nil"/>
            </w:tcBorders>
            <w:noWrap w:val="0"/>
            <w:vAlign w:val="center"/>
          </w:tcPr>
          <w:p w14:paraId="547CCBF9">
            <w:pPr>
              <w:widowControl/>
              <w:jc w:val="center"/>
              <w:rPr>
                <w:rFonts w:hint="default" w:ascii="Times New Roman" w:hAnsi="Times New Roman" w:cs="Times New Roman"/>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559D3A21">
        <w:tblPrEx>
          <w:tblCellMar>
            <w:top w:w="0" w:type="dxa"/>
            <w:left w:w="108" w:type="dxa"/>
            <w:bottom w:w="0" w:type="dxa"/>
            <w:right w:w="108" w:type="dxa"/>
          </w:tblCellMar>
        </w:tblPrEx>
        <w:trPr>
          <w:trHeight w:val="1403" w:hRule="atLeast"/>
        </w:trPr>
        <w:tc>
          <w:tcPr>
            <w:tcW w:w="2020" w:type="dxa"/>
            <w:tcBorders>
              <w:top w:val="single" w:color="auto" w:sz="4" w:space="0"/>
              <w:left w:val="nil"/>
              <w:bottom w:val="single" w:color="auto" w:sz="4" w:space="0"/>
              <w:right w:val="single" w:color="auto" w:sz="4" w:space="0"/>
            </w:tcBorders>
            <w:noWrap w:val="0"/>
            <w:vAlign w:val="center"/>
          </w:tcPr>
          <w:p w14:paraId="1515EBD2">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现代商贸</w:t>
            </w:r>
          </w:p>
        </w:tc>
        <w:tc>
          <w:tcPr>
            <w:tcW w:w="7034" w:type="dxa"/>
            <w:tcBorders>
              <w:top w:val="single" w:color="auto" w:sz="4" w:space="0"/>
              <w:left w:val="nil"/>
              <w:bottom w:val="single" w:color="auto" w:sz="4" w:space="0"/>
              <w:right w:val="nil"/>
            </w:tcBorders>
            <w:noWrap w:val="0"/>
            <w:vAlign w:val="center"/>
          </w:tcPr>
          <w:p w14:paraId="3DE7FB6D">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中航农批大市场项目，中药材交易集散中心项目，桦南县新华菜市场改造项目，桦南县白瓜子交易市场改造项目，保卫路—文教路菜市场改造项目，金晖商业步行街项目，家具市场项目，灯具市场项目，服装批发市场项目。</w:t>
            </w:r>
          </w:p>
        </w:tc>
      </w:tr>
      <w:tr w14:paraId="03832E48">
        <w:tblPrEx>
          <w:tblCellMar>
            <w:top w:w="0" w:type="dxa"/>
            <w:left w:w="108" w:type="dxa"/>
            <w:bottom w:w="0" w:type="dxa"/>
            <w:right w:w="108" w:type="dxa"/>
          </w:tblCellMar>
        </w:tblPrEx>
        <w:trPr>
          <w:trHeight w:val="507" w:hRule="atLeast"/>
        </w:trPr>
        <w:tc>
          <w:tcPr>
            <w:tcW w:w="2020" w:type="dxa"/>
            <w:tcBorders>
              <w:top w:val="nil"/>
              <w:left w:val="nil"/>
              <w:bottom w:val="single" w:color="auto" w:sz="4" w:space="0"/>
              <w:right w:val="single" w:color="auto" w:sz="4" w:space="0"/>
            </w:tcBorders>
            <w:noWrap w:val="0"/>
            <w:vAlign w:val="center"/>
          </w:tcPr>
          <w:p w14:paraId="78926C3D">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电子商务</w:t>
            </w:r>
          </w:p>
        </w:tc>
        <w:tc>
          <w:tcPr>
            <w:tcW w:w="7034" w:type="dxa"/>
            <w:tcBorders>
              <w:top w:val="nil"/>
              <w:left w:val="nil"/>
              <w:bottom w:val="single" w:color="auto" w:sz="4" w:space="0"/>
              <w:right w:val="nil"/>
            </w:tcBorders>
            <w:noWrap w:val="0"/>
            <w:vAlign w:val="center"/>
          </w:tcPr>
          <w:p w14:paraId="2360010D">
            <w:pPr>
              <w:pStyle w:val="15"/>
              <w:spacing w:before="0" w:beforeLines="0" w:after="0" w:afterLines="0"/>
              <w:jc w:val="both"/>
              <w:outlineLvl w:val="9"/>
              <w:rPr>
                <w:rFonts w:hint="default" w:ascii="Times New Roman" w:hAnsi="Times New Roman" w:cs="Times New Roman"/>
                <w:color w:val="000000"/>
                <w:sz w:val="24"/>
                <w:szCs w:val="24"/>
                <w:highlight w:val="none"/>
                <w:u w:val="none"/>
              </w:rPr>
            </w:pPr>
            <w:bookmarkStart w:id="22" w:name="_Toc60645211"/>
            <w:bookmarkStart w:id="23" w:name="_Toc61268180"/>
            <w:r>
              <w:rPr>
                <w:rFonts w:hint="default" w:ascii="Times New Roman" w:hAnsi="Times New Roman" w:cs="Times New Roman"/>
                <w:b w:val="0"/>
                <w:bCs w:val="0"/>
                <w:color w:val="000000"/>
                <w:sz w:val="24"/>
                <w:szCs w:val="24"/>
                <w:highlight w:val="none"/>
                <w:u w:val="none"/>
              </w:rPr>
              <w:t>桦南县电子商务产业园项目</w:t>
            </w:r>
            <w:bookmarkEnd w:id="22"/>
            <w:r>
              <w:rPr>
                <w:rFonts w:hint="default" w:ascii="Times New Roman" w:hAnsi="Times New Roman" w:cs="Times New Roman"/>
                <w:b w:val="0"/>
                <w:bCs w:val="0"/>
                <w:color w:val="000000"/>
                <w:sz w:val="24"/>
                <w:szCs w:val="24"/>
                <w:highlight w:val="none"/>
                <w:u w:val="none"/>
              </w:rPr>
              <w:t>。</w:t>
            </w:r>
            <w:bookmarkEnd w:id="23"/>
          </w:p>
        </w:tc>
      </w:tr>
      <w:tr w14:paraId="3665173B">
        <w:tblPrEx>
          <w:tblCellMar>
            <w:top w:w="0" w:type="dxa"/>
            <w:left w:w="108" w:type="dxa"/>
            <w:bottom w:w="0" w:type="dxa"/>
            <w:right w:w="108" w:type="dxa"/>
          </w:tblCellMar>
        </w:tblPrEx>
        <w:trPr>
          <w:trHeight w:val="1071" w:hRule="atLeast"/>
        </w:trPr>
        <w:tc>
          <w:tcPr>
            <w:tcW w:w="2020" w:type="dxa"/>
            <w:tcBorders>
              <w:top w:val="nil"/>
              <w:left w:val="nil"/>
              <w:bottom w:val="single" w:color="auto" w:sz="4" w:space="0"/>
              <w:right w:val="single" w:color="auto" w:sz="4" w:space="0"/>
            </w:tcBorders>
            <w:noWrap w:val="0"/>
            <w:vAlign w:val="center"/>
          </w:tcPr>
          <w:p w14:paraId="70C6E88F">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现代物流</w:t>
            </w:r>
          </w:p>
        </w:tc>
        <w:tc>
          <w:tcPr>
            <w:tcW w:w="7034" w:type="dxa"/>
            <w:tcBorders>
              <w:top w:val="nil"/>
              <w:left w:val="nil"/>
              <w:bottom w:val="single" w:color="auto" w:sz="4" w:space="0"/>
              <w:right w:val="nil"/>
            </w:tcBorders>
            <w:noWrap w:val="0"/>
            <w:vAlign w:val="center"/>
          </w:tcPr>
          <w:p w14:paraId="48AD3CD2">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明珠正午物流园建设项目，500万吨现代物流产业园区建设项目，桦南县动物产品冷链运输项目，桦南县火炬中心建设项目，桦南县客运总站国运物流配送园项目，桦南农产品物流园区项目。</w:t>
            </w:r>
          </w:p>
        </w:tc>
      </w:tr>
      <w:tr w14:paraId="7FD47AEC">
        <w:tblPrEx>
          <w:tblCellMar>
            <w:top w:w="0" w:type="dxa"/>
            <w:left w:w="108" w:type="dxa"/>
            <w:bottom w:w="0" w:type="dxa"/>
            <w:right w:w="108" w:type="dxa"/>
          </w:tblCellMar>
        </w:tblPrEx>
        <w:trPr>
          <w:trHeight w:val="517" w:hRule="atLeast"/>
        </w:trPr>
        <w:tc>
          <w:tcPr>
            <w:tcW w:w="2020" w:type="dxa"/>
            <w:tcBorders>
              <w:top w:val="nil"/>
              <w:left w:val="nil"/>
              <w:bottom w:val="single" w:color="auto" w:sz="4" w:space="0"/>
              <w:right w:val="single" w:color="auto" w:sz="4" w:space="0"/>
            </w:tcBorders>
            <w:noWrap w:val="0"/>
            <w:vAlign w:val="center"/>
          </w:tcPr>
          <w:p w14:paraId="691DB10F">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*其他</w:t>
            </w:r>
          </w:p>
        </w:tc>
        <w:tc>
          <w:tcPr>
            <w:tcW w:w="7034" w:type="dxa"/>
            <w:tcBorders>
              <w:top w:val="nil"/>
              <w:left w:val="nil"/>
              <w:bottom w:val="single" w:color="auto" w:sz="4" w:space="0"/>
              <w:right w:val="nil"/>
            </w:tcBorders>
            <w:noWrap w:val="0"/>
            <w:vAlign w:val="center"/>
          </w:tcPr>
          <w:p w14:paraId="439CBB59">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桦南派斯菲科单采血浆项目</w:t>
            </w:r>
            <w:r>
              <w:rPr>
                <w:rFonts w:hint="eastAsia" w:ascii="Times New Roman" w:hAnsi="Times New Roman" w:cs="Times New Roman"/>
                <w:color w:val="000000"/>
                <w:kern w:val="0"/>
                <w:sz w:val="24"/>
                <w:highlight w:val="none"/>
                <w:u w:val="none"/>
                <w:lang w:eastAsia="zh-CN"/>
              </w:rPr>
              <w:t>，</w:t>
            </w:r>
            <w:r>
              <w:rPr>
                <w:rFonts w:hint="eastAsia" w:ascii="Times New Roman" w:hAnsi="Times New Roman" w:cs="Times New Roman"/>
                <w:color w:val="000000"/>
                <w:kern w:val="0"/>
                <w:sz w:val="24"/>
                <w:highlight w:val="none"/>
                <w:u w:val="none"/>
                <w:lang w:val="en-US" w:eastAsia="zh-CN"/>
              </w:rPr>
              <w:t>迎宾路中段加油站建设项目</w:t>
            </w:r>
            <w:r>
              <w:rPr>
                <w:rFonts w:hint="default" w:ascii="Times New Roman" w:hAnsi="Times New Roman" w:cs="Times New Roman"/>
                <w:color w:val="000000"/>
                <w:kern w:val="0"/>
                <w:sz w:val="24"/>
                <w:highlight w:val="none"/>
                <w:u w:val="none"/>
              </w:rPr>
              <w:t>。</w:t>
            </w:r>
          </w:p>
        </w:tc>
      </w:tr>
    </w:tbl>
    <w:p w14:paraId="2E48597D">
      <w:pPr>
        <w:pStyle w:val="4"/>
        <w:rPr>
          <w:rFonts w:hint="default" w:ascii="Times New Roman" w:hAnsi="Times New Roman" w:cs="Times New Roman"/>
          <w:color w:val="000000"/>
          <w:highlight w:val="none"/>
          <w:u w:val="none"/>
        </w:rPr>
      </w:pPr>
    </w:p>
    <w:p w14:paraId="6E1B863B">
      <w:pPr>
        <w:pStyle w:val="4"/>
        <w:rPr>
          <w:rFonts w:hint="default" w:ascii="Times New Roman" w:hAnsi="Times New Roman" w:cs="Times New Roman"/>
          <w:color w:val="000000"/>
          <w:highlight w:val="none"/>
          <w:u w:val="none"/>
        </w:rPr>
      </w:pPr>
      <w:bookmarkStart w:id="24" w:name="_Toc61268181"/>
      <w:r>
        <w:rPr>
          <w:rFonts w:hint="default" w:ascii="Times New Roman" w:hAnsi="Times New Roman" w:cs="Times New Roman"/>
          <w:color w:val="000000"/>
          <w:highlight w:val="none"/>
          <w:u w:val="none"/>
        </w:rPr>
        <w:t>第二节  全面建设省级高新区</w:t>
      </w:r>
      <w:bookmarkEnd w:id="24"/>
    </w:p>
    <w:p w14:paraId="07784015">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优化园区发展战略定位。</w:t>
      </w:r>
      <w:r>
        <w:rPr>
          <w:rFonts w:hint="default" w:ascii="Times New Roman" w:hAnsi="Times New Roman" w:eastAsia="仿宋_GB2312" w:cs="Times New Roman"/>
          <w:color w:val="000000"/>
          <w:sz w:val="32"/>
          <w:szCs w:val="32"/>
          <w:highlight w:val="none"/>
          <w:u w:val="none"/>
        </w:rPr>
        <w:t>坚持以产业发展为核心，持续优化“一核四园”产业布局和配套功能，高起点规划、高品位布局和高标准建设，合理配置产业、商业、商务、休闲等多元化功能，注重提升质量效益，提高项目支撑力度，优化产业布局层次，增强企业核心实力，构建生产高效、生态循环、以产促展、以展带产的多元化产业模式，全面推进园区特色化、专业化提档升级，全力打造黑龙江省县域创新驱动发展示范区和高质量发展先行区。</w:t>
      </w:r>
    </w:p>
    <w:p w14:paraId="169A039A">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提升园区综合承载能力。</w:t>
      </w:r>
      <w:r>
        <w:rPr>
          <w:rFonts w:hint="default" w:ascii="Times New Roman" w:hAnsi="Times New Roman" w:eastAsia="仿宋_GB2312" w:cs="Times New Roman"/>
          <w:color w:val="000000"/>
          <w:sz w:val="32"/>
          <w:szCs w:val="32"/>
          <w:highlight w:val="none"/>
          <w:u w:val="none"/>
        </w:rPr>
        <w:t>立足产业生态化发展实际，结合企业现有生产能力，在综合考虑未来发展空间的基础上，以省级高新区资源环境承载能力为标准，在现有“八通一平”的基础上，大力完善基础设施建设，有力有序提升道路、供电、供热、给排水、绿化、物流、仓储等基础设施，着力改善园区企业员工的生活条件，有序推动5G、充电桩设施建设，以硬件和软件水平改善为企业提供更好的生产生活条件。强化园区人才支撑，研究出台具有竞争优势的高层次人才和投资团队、经营管理团队引进政策措施，加大人才服务力度，每年引进一批产业领军人才，将开发区打造成为环境优美、功能齐全的现代化园区。</w:t>
      </w:r>
    </w:p>
    <w:p w14:paraId="0CF29204">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推动产业集聚发展。</w:t>
      </w:r>
      <w:r>
        <w:rPr>
          <w:rFonts w:hint="default" w:ascii="Times New Roman" w:hAnsi="Times New Roman" w:eastAsia="仿宋_GB2312" w:cs="Times New Roman"/>
          <w:color w:val="000000"/>
          <w:sz w:val="32"/>
          <w:szCs w:val="32"/>
          <w:highlight w:val="none"/>
          <w:u w:val="none"/>
        </w:rPr>
        <w:t>坚持以产业链为抓手，聚合创新链、供应链、价值链，因地制宜培育优势主导产业，聚焦“外引内培”，积极承接珠三角、长三角、京津冀等发达地区产业转移，主攻龙头企业，引进配套企业。加大园区土地收储力度，强化单位面积投资强度管理，特别是对闲置土地、闲散土地和停产企业要“腾笼换鸟”，把存量的“死”资产变成看得见、摸得着、用得上的“活”资产。以“生产模式升级”和“生产要素升级”为抓手，促进发展要素向重点产业、重点企业倾斜，通过科技创新、战略重组、工业自动化改造等途径，推动传统产业生产效率提升和品质品牌重塑，实现制造业高端化、智能化、服务化、绿色化发展，形成优势明显、潜力释放的现代化产业集群。</w:t>
      </w:r>
    </w:p>
    <w:p w14:paraId="2C23BD75">
      <w:pPr>
        <w:jc w:val="center"/>
        <w:rPr>
          <w:rFonts w:hint="default" w:ascii="Times New Roman" w:hAnsi="Times New Roman" w:eastAsia="黑体" w:cs="Times New Roman"/>
          <w:color w:val="000000"/>
          <w:sz w:val="28"/>
          <w:szCs w:val="28"/>
          <w:highlight w:val="none"/>
          <w:u w:val="none"/>
        </w:rPr>
      </w:pPr>
    </w:p>
    <w:p w14:paraId="317A83E4">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专栏6：园区基础设施、承载能力提升项目</w:t>
      </w:r>
    </w:p>
    <w:tbl>
      <w:tblPr>
        <w:tblStyle w:val="17"/>
        <w:tblW w:w="0" w:type="auto"/>
        <w:jc w:val="center"/>
        <w:tblLayout w:type="fixed"/>
        <w:tblCellMar>
          <w:top w:w="0" w:type="dxa"/>
          <w:left w:w="108" w:type="dxa"/>
          <w:bottom w:w="0" w:type="dxa"/>
          <w:right w:w="108" w:type="dxa"/>
        </w:tblCellMar>
      </w:tblPr>
      <w:tblGrid>
        <w:gridCol w:w="2020"/>
        <w:gridCol w:w="6475"/>
      </w:tblGrid>
      <w:tr w14:paraId="36D46C4F">
        <w:trPr>
          <w:trHeight w:val="565" w:hRule="atLeast"/>
          <w:jc w:val="center"/>
        </w:trPr>
        <w:tc>
          <w:tcPr>
            <w:tcW w:w="2020" w:type="dxa"/>
            <w:tcBorders>
              <w:top w:val="single" w:color="auto" w:sz="4" w:space="0"/>
              <w:left w:val="nil"/>
              <w:bottom w:val="single" w:color="auto" w:sz="4" w:space="0"/>
              <w:right w:val="single" w:color="auto" w:sz="4" w:space="0"/>
            </w:tcBorders>
            <w:noWrap w:val="0"/>
            <w:vAlign w:val="center"/>
          </w:tcPr>
          <w:p w14:paraId="6B0AD46F">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475" w:type="dxa"/>
            <w:tcBorders>
              <w:top w:val="single" w:color="auto" w:sz="4" w:space="0"/>
              <w:left w:val="nil"/>
              <w:bottom w:val="single" w:color="auto" w:sz="4" w:space="0"/>
              <w:right w:val="nil"/>
            </w:tcBorders>
            <w:noWrap w:val="0"/>
            <w:vAlign w:val="center"/>
          </w:tcPr>
          <w:p w14:paraId="6D7B9121">
            <w:pPr>
              <w:widowControl/>
              <w:jc w:val="center"/>
              <w:rPr>
                <w:rFonts w:hint="default" w:ascii="Times New Roman" w:hAnsi="Times New Roman" w:cs="Times New Roman"/>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59662A5A">
        <w:tblPrEx>
          <w:tblCellMar>
            <w:top w:w="0" w:type="dxa"/>
            <w:left w:w="108" w:type="dxa"/>
            <w:bottom w:w="0" w:type="dxa"/>
            <w:right w:w="108" w:type="dxa"/>
          </w:tblCellMar>
        </w:tblPrEx>
        <w:trPr>
          <w:trHeight w:val="1418" w:hRule="atLeast"/>
          <w:jc w:val="center"/>
        </w:trPr>
        <w:tc>
          <w:tcPr>
            <w:tcW w:w="2020" w:type="dxa"/>
            <w:tcBorders>
              <w:top w:val="single" w:color="auto" w:sz="4" w:space="0"/>
              <w:left w:val="nil"/>
              <w:bottom w:val="single" w:color="auto" w:sz="4" w:space="0"/>
              <w:right w:val="single" w:color="auto" w:sz="4" w:space="0"/>
            </w:tcBorders>
            <w:noWrap w:val="0"/>
            <w:vAlign w:val="center"/>
          </w:tcPr>
          <w:p w14:paraId="1CF37288">
            <w:pPr>
              <w:widowControl/>
              <w:rPr>
                <w:rFonts w:hint="default" w:ascii="Times New Roman" w:hAnsi="Times New Roman" w:eastAsia="楷体_GB2312" w:cs="Times New Roman"/>
                <w:b/>
                <w:bCs/>
                <w:color w:val="000000"/>
                <w:kern w:val="0"/>
                <w:sz w:val="24"/>
                <w:highlight w:val="none"/>
                <w:u w:val="none"/>
              </w:rPr>
            </w:pPr>
            <w:r>
              <w:rPr>
                <w:rFonts w:hint="default" w:ascii="Times New Roman" w:hAnsi="Times New Roman" w:cs="Times New Roman"/>
                <w:b/>
                <w:color w:val="000000"/>
                <w:kern w:val="0"/>
                <w:sz w:val="24"/>
                <w:highlight w:val="none"/>
                <w:u w:val="none"/>
              </w:rPr>
              <w:t>基础设施</w:t>
            </w:r>
          </w:p>
        </w:tc>
        <w:tc>
          <w:tcPr>
            <w:tcW w:w="6475" w:type="dxa"/>
            <w:tcBorders>
              <w:top w:val="single" w:color="auto" w:sz="4" w:space="0"/>
              <w:left w:val="nil"/>
              <w:bottom w:val="single" w:color="auto" w:sz="4" w:space="0"/>
              <w:right w:val="nil"/>
            </w:tcBorders>
            <w:noWrap w:val="0"/>
            <w:vAlign w:val="center"/>
          </w:tcPr>
          <w:p w14:paraId="4F8C0A11">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工业园区道路路面改造及配套设施建设，化工园区双回路供电项目，代餐粉产业园区基础设施建设项目（道路、绿化、亮化、给排水、人行路、物流园等基础设施建）、化工园区停车场项目、化工园区门禁系统项目</w:t>
            </w:r>
            <w:r>
              <w:rPr>
                <w:rFonts w:hint="eastAsia" w:ascii="Times New Roman" w:hAnsi="Times New Roman" w:cs="Times New Roman"/>
                <w:color w:val="000000"/>
                <w:kern w:val="0"/>
                <w:sz w:val="24"/>
                <w:highlight w:val="none"/>
                <w:u w:val="none"/>
                <w:lang w:eastAsia="zh-CN"/>
              </w:rPr>
              <w:t>，</w:t>
            </w:r>
            <w:r>
              <w:rPr>
                <w:rFonts w:hint="eastAsia" w:ascii="Times New Roman" w:hAnsi="Times New Roman" w:cs="Times New Roman"/>
                <w:color w:val="000000"/>
                <w:kern w:val="0"/>
                <w:sz w:val="24"/>
                <w:highlight w:val="none"/>
                <w:u w:val="none"/>
                <w:lang w:val="en-US" w:eastAsia="zh-CN"/>
              </w:rPr>
              <w:t>11万千伏安变电所</w:t>
            </w:r>
            <w:r>
              <w:rPr>
                <w:rFonts w:hint="default" w:ascii="Times New Roman" w:hAnsi="Times New Roman" w:cs="Times New Roman"/>
                <w:color w:val="000000"/>
                <w:kern w:val="0"/>
                <w:sz w:val="24"/>
                <w:highlight w:val="none"/>
                <w:u w:val="none"/>
              </w:rPr>
              <w:t>。</w:t>
            </w:r>
          </w:p>
        </w:tc>
      </w:tr>
      <w:tr w14:paraId="16AE739D">
        <w:tblPrEx>
          <w:tblCellMar>
            <w:top w:w="0" w:type="dxa"/>
            <w:left w:w="108" w:type="dxa"/>
            <w:bottom w:w="0" w:type="dxa"/>
            <w:right w:w="108" w:type="dxa"/>
          </w:tblCellMar>
        </w:tblPrEx>
        <w:trPr>
          <w:trHeight w:val="1119" w:hRule="atLeast"/>
          <w:jc w:val="center"/>
        </w:trPr>
        <w:tc>
          <w:tcPr>
            <w:tcW w:w="2020" w:type="dxa"/>
            <w:tcBorders>
              <w:top w:val="single" w:color="auto" w:sz="4" w:space="0"/>
              <w:left w:val="nil"/>
              <w:bottom w:val="single" w:color="auto" w:sz="4" w:space="0"/>
              <w:right w:val="single" w:color="auto" w:sz="4" w:space="0"/>
            </w:tcBorders>
            <w:noWrap w:val="0"/>
            <w:vAlign w:val="center"/>
          </w:tcPr>
          <w:p w14:paraId="5F66E4A8">
            <w:pPr>
              <w:widowControl/>
              <w:rPr>
                <w:rFonts w:hint="default" w:ascii="Times New Roman" w:hAnsi="Times New Roman" w:eastAsia="楷体_GB2312" w:cs="Times New Roman"/>
                <w:b/>
                <w:bCs/>
                <w:color w:val="000000"/>
                <w:kern w:val="0"/>
                <w:sz w:val="24"/>
                <w:highlight w:val="none"/>
                <w:u w:val="none"/>
              </w:rPr>
            </w:pPr>
            <w:r>
              <w:rPr>
                <w:rFonts w:hint="default" w:ascii="Times New Roman" w:hAnsi="Times New Roman" w:cs="Times New Roman"/>
                <w:b/>
                <w:color w:val="000000"/>
                <w:kern w:val="0"/>
                <w:sz w:val="24"/>
                <w:highlight w:val="none"/>
                <w:u w:val="none"/>
              </w:rPr>
              <w:t>承载能力提升</w:t>
            </w:r>
          </w:p>
        </w:tc>
        <w:tc>
          <w:tcPr>
            <w:tcW w:w="6475" w:type="dxa"/>
            <w:tcBorders>
              <w:top w:val="single" w:color="auto" w:sz="4" w:space="0"/>
              <w:left w:val="nil"/>
              <w:bottom w:val="single" w:color="auto" w:sz="4" w:space="0"/>
              <w:right w:val="nil"/>
            </w:tcBorders>
            <w:noWrap w:val="0"/>
            <w:vAlign w:val="center"/>
          </w:tcPr>
          <w:p w14:paraId="0E00D04C">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化工园区污水处理厂（日处理1.5万吨污水处理厂）</w:t>
            </w:r>
            <w:r>
              <w:rPr>
                <w:rFonts w:hint="eastAsia" w:ascii="Times New Roman" w:hAnsi="Times New Roman" w:cs="Times New Roman"/>
                <w:color w:val="000000"/>
                <w:kern w:val="0"/>
                <w:sz w:val="24"/>
                <w:highlight w:val="none"/>
                <w:u w:val="none"/>
                <w:lang w:eastAsia="zh-CN"/>
              </w:rPr>
              <w:t>，</w:t>
            </w:r>
            <w:r>
              <w:rPr>
                <w:rFonts w:hint="eastAsia" w:ascii="Times New Roman" w:hAnsi="Times New Roman" w:cs="Times New Roman"/>
                <w:color w:val="000000"/>
                <w:kern w:val="0"/>
                <w:sz w:val="24"/>
                <w:highlight w:val="none"/>
                <w:u w:val="none"/>
                <w:lang w:val="en-US" w:eastAsia="zh-CN"/>
              </w:rPr>
              <w:t>危险废物处理厂</w:t>
            </w:r>
            <w:r>
              <w:rPr>
                <w:rFonts w:hint="default" w:ascii="Times New Roman" w:hAnsi="Times New Roman" w:cs="Times New Roman"/>
                <w:color w:val="000000"/>
                <w:kern w:val="0"/>
                <w:sz w:val="24"/>
                <w:highlight w:val="none"/>
                <w:u w:val="none"/>
              </w:rPr>
              <w:t>，桦南县污水厂中水回用工程项目（工业园区）、小微企业孵化园项目。</w:t>
            </w:r>
          </w:p>
        </w:tc>
      </w:tr>
      <w:tr w14:paraId="4C922FF8">
        <w:tblPrEx>
          <w:tblCellMar>
            <w:top w:w="0" w:type="dxa"/>
            <w:left w:w="108" w:type="dxa"/>
            <w:bottom w:w="0" w:type="dxa"/>
            <w:right w:w="108" w:type="dxa"/>
          </w:tblCellMar>
        </w:tblPrEx>
        <w:trPr>
          <w:trHeight w:val="1119" w:hRule="atLeast"/>
          <w:jc w:val="center"/>
        </w:trPr>
        <w:tc>
          <w:tcPr>
            <w:tcW w:w="2020" w:type="dxa"/>
            <w:tcBorders>
              <w:top w:val="single" w:color="auto" w:sz="4" w:space="0"/>
              <w:left w:val="nil"/>
              <w:bottom w:val="single" w:color="auto" w:sz="4" w:space="0"/>
              <w:right w:val="single" w:color="auto" w:sz="4" w:space="0"/>
            </w:tcBorders>
            <w:noWrap w:val="0"/>
            <w:vAlign w:val="center"/>
          </w:tcPr>
          <w:p w14:paraId="5A6CE5E2">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b/>
                <w:color w:val="000000"/>
                <w:kern w:val="0"/>
                <w:sz w:val="24"/>
                <w:highlight w:val="none"/>
                <w:u w:val="none"/>
              </w:rPr>
              <w:t>生活服务配套</w:t>
            </w:r>
          </w:p>
        </w:tc>
        <w:tc>
          <w:tcPr>
            <w:tcW w:w="6475" w:type="dxa"/>
            <w:tcBorders>
              <w:top w:val="single" w:color="auto" w:sz="4" w:space="0"/>
              <w:left w:val="nil"/>
              <w:bottom w:val="single" w:color="auto" w:sz="4" w:space="0"/>
              <w:right w:val="nil"/>
            </w:tcBorders>
            <w:noWrap w:val="0"/>
            <w:vAlign w:val="center"/>
          </w:tcPr>
          <w:p w14:paraId="71F578E1">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化工园区公共停车场项目、商务酒店项目、餐饮娱乐项目。</w:t>
            </w:r>
          </w:p>
        </w:tc>
      </w:tr>
    </w:tbl>
    <w:p w14:paraId="64F15EB8">
      <w:pPr>
        <w:pStyle w:val="15"/>
        <w:spacing w:before="0" w:beforeLines="0" w:after="0" w:afterLines="0" w:line="600" w:lineRule="exact"/>
        <w:jc w:val="both"/>
        <w:rPr>
          <w:rFonts w:hint="default" w:ascii="Times New Roman" w:hAnsi="Times New Roman" w:cs="Times New Roman"/>
          <w:color w:val="000000"/>
          <w:highlight w:val="none"/>
          <w:u w:val="none"/>
        </w:rPr>
      </w:pPr>
    </w:p>
    <w:p w14:paraId="5155D968">
      <w:pPr>
        <w:pStyle w:val="4"/>
        <w:rPr>
          <w:rFonts w:hint="default" w:ascii="Times New Roman" w:hAnsi="Times New Roman" w:cs="Times New Roman"/>
          <w:color w:val="000000"/>
          <w:highlight w:val="none"/>
          <w:u w:val="none"/>
        </w:rPr>
      </w:pPr>
      <w:bookmarkStart w:id="25" w:name="_Toc61268182"/>
      <w:r>
        <w:rPr>
          <w:rFonts w:hint="default" w:ascii="Times New Roman" w:hAnsi="Times New Roman" w:cs="Times New Roman"/>
          <w:color w:val="000000"/>
          <w:highlight w:val="none"/>
          <w:u w:val="none"/>
        </w:rPr>
        <w:t>第三节  发展战略性新兴产业</w:t>
      </w:r>
      <w:bookmarkEnd w:id="25"/>
    </w:p>
    <w:p w14:paraId="4358162E">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以新技术、新业态、新产品、新模式为核心，加快壮大新一代信息技术、生物技术、新能源、新材料、高端装备、新能源汽车、绿色环保及对俄资源加工等潜力产业，推动互联网、大数据、人工智能等同各产业深度融合，大力发展“互联网+农业”“互联网+工业”“互联网+商贸+智慧通”等新业态，加快推进基于互联网的产业组织、商业模式、供应链、物流链、区块链等各类创新，全力构建一批各具特色、优势互补、结构合理的战略性新兴产业增长新引擎。</w:t>
      </w:r>
    </w:p>
    <w:p w14:paraId="30E7A713">
      <w:pPr>
        <w:pStyle w:val="4"/>
        <w:rPr>
          <w:rFonts w:hint="default" w:ascii="Times New Roman" w:hAnsi="Times New Roman" w:cs="Times New Roman"/>
          <w:color w:val="000000"/>
          <w:highlight w:val="none"/>
          <w:u w:val="none"/>
        </w:rPr>
      </w:pPr>
      <w:bookmarkStart w:id="26" w:name="_Toc61268183"/>
      <w:r>
        <w:rPr>
          <w:rFonts w:hint="default" w:ascii="Times New Roman" w:hAnsi="Times New Roman" w:cs="Times New Roman"/>
          <w:color w:val="000000"/>
          <w:highlight w:val="none"/>
          <w:u w:val="none"/>
        </w:rPr>
        <w:t>第四节  发展壮大装备制造业</w:t>
      </w:r>
      <w:bookmarkEnd w:id="26"/>
    </w:p>
    <w:p w14:paraId="784428FE">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创新促升级、扩量调结构，围绕农机装备制造产业链“断点”、关键技术“瓶颈”，依托“互联网+佳木斯农机产业联盟”平台，开展补链、强链招商，结合晨明机械装备制造、卓运生物质机械、恒运农用机械、繁林农机制造等企业发展基础，重点研发制造秸秆还田机、收获机、搂草机、打包机、抓草机、压块机等产品。以新能源世纪伟业电动车综合服务中心项目为依托，引进电动车及零部件生产加工项目，延伸其上下游产业链。大力发展服务型制造，促进现代物流、现代金融等现代服务业与制造业跨界融合。</w:t>
      </w:r>
    </w:p>
    <w:p w14:paraId="24949560">
      <w:pPr>
        <w:pStyle w:val="15"/>
        <w:rPr>
          <w:rFonts w:hint="default" w:ascii="Times New Roman" w:hAnsi="Times New Roman" w:cs="Times New Roman"/>
          <w:color w:val="000000"/>
          <w:highlight w:val="none"/>
          <w:u w:val="none"/>
        </w:rPr>
      </w:pPr>
    </w:p>
    <w:p w14:paraId="28C3E116">
      <w:pPr>
        <w:pStyle w:val="3"/>
        <w:rPr>
          <w:rFonts w:hint="default" w:ascii="Times New Roman" w:hAnsi="Times New Roman" w:cs="Times New Roman"/>
          <w:b/>
          <w:color w:val="000000"/>
          <w:highlight w:val="none"/>
          <w:u w:val="none"/>
        </w:rPr>
      </w:pPr>
      <w:bookmarkStart w:id="27" w:name="_Toc61268184"/>
      <w:bookmarkStart w:id="28" w:name="_Toc23266"/>
      <w:bookmarkStart w:id="29" w:name="_Toc14009"/>
      <w:r>
        <w:rPr>
          <w:rFonts w:hint="default" w:ascii="Times New Roman" w:hAnsi="Times New Roman" w:cs="Times New Roman"/>
          <w:b/>
          <w:color w:val="000000"/>
          <w:highlight w:val="none"/>
          <w:u w:val="none"/>
        </w:rPr>
        <w:t>第四章  推进乡村振兴，加快农业农村现代化建设</w:t>
      </w:r>
      <w:bookmarkEnd w:id="27"/>
      <w:bookmarkEnd w:id="28"/>
      <w:bookmarkEnd w:id="29"/>
    </w:p>
    <w:p w14:paraId="609E6DB1">
      <w:pPr>
        <w:spacing w:line="600" w:lineRule="exact"/>
        <w:ind w:firstLine="640" w:firstLineChars="200"/>
        <w:rPr>
          <w:rFonts w:hint="default" w:ascii="Times New Roman" w:hAnsi="Times New Roman" w:eastAsia="仿宋_GB2312" w:cs="Times New Roman"/>
          <w:color w:val="000000"/>
          <w:sz w:val="32"/>
          <w:szCs w:val="32"/>
          <w:highlight w:val="none"/>
          <w:u w:val="none"/>
        </w:rPr>
      </w:pPr>
    </w:p>
    <w:p w14:paraId="486979BB">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把解决好“三农”问题作为重中之重，坚持农业现代化和农村现代化一体设计、一并推进，走中国特色社会主义乡村振兴道路，优先发展农业农村，全面推进乡村振兴，强化以工补农、以城带乡，推动形成工农互促、城乡互补、协调发展、共同繁荣的新型工农城乡关系，实现农业大县向农业强县跨越，奋力谱写新时代农业农村现代化新篇章。</w:t>
      </w:r>
    </w:p>
    <w:p w14:paraId="0DC459F6">
      <w:pPr>
        <w:pStyle w:val="4"/>
        <w:rPr>
          <w:rFonts w:hint="default" w:ascii="Times New Roman" w:hAnsi="Times New Roman" w:cs="Times New Roman"/>
          <w:color w:val="000000"/>
          <w:highlight w:val="none"/>
          <w:u w:val="none"/>
        </w:rPr>
      </w:pPr>
      <w:bookmarkStart w:id="30" w:name="_Toc61268185"/>
      <w:r>
        <w:rPr>
          <w:rFonts w:hint="default" w:ascii="Times New Roman" w:hAnsi="Times New Roman" w:cs="Times New Roman"/>
          <w:color w:val="000000"/>
          <w:highlight w:val="none"/>
          <w:u w:val="none"/>
        </w:rPr>
        <w:t>第一节  夯实现代农业发展基础</w:t>
      </w:r>
      <w:bookmarkEnd w:id="30"/>
    </w:p>
    <w:p w14:paraId="3CA599F8">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提升农业综合生产能力。</w:t>
      </w:r>
      <w:r>
        <w:rPr>
          <w:rFonts w:hint="default" w:ascii="Times New Roman" w:hAnsi="Times New Roman" w:eastAsia="仿宋_GB2312" w:cs="Times New Roman"/>
          <w:color w:val="000000"/>
          <w:sz w:val="32"/>
          <w:szCs w:val="32"/>
          <w:highlight w:val="none"/>
          <w:u w:val="none"/>
        </w:rPr>
        <w:t>深入实施“藏粮于地、藏粮于技”战略，严守永久基本农田红线，扎实推进高标准农田建设工程、中低产田改造工程。加大农田基础投入力度，实施土地平整、土壤改良、灌溉排水、田间道路、农田防护与生态环境保持、农田输配电等项目建设，重点打造集中连片、设施完善、农电配套、土壤肥沃、旱涝保收、稳定生产、生态良好、适宜大型机械化的高标准农田，提高整体生产能力。到2025年，建设高标准农田153.5万亩，完善建设粮食生产功能区和重要农产品生产保护区220万亩。</w:t>
      </w:r>
    </w:p>
    <w:p w14:paraId="1D9468B1">
      <w:pPr>
        <w:spacing w:line="600" w:lineRule="exact"/>
        <w:ind w:firstLine="643" w:firstLineChars="200"/>
        <w:rPr>
          <w:rFonts w:hint="default" w:ascii="Times New Roman" w:hAnsi="Times New Roman" w:eastAsia="仿宋_GB2312" w:cs="Times New Roman"/>
          <w:color w:val="000000"/>
          <w:highlight w:val="none"/>
          <w:u w:val="none"/>
        </w:rPr>
      </w:pPr>
      <w:r>
        <w:rPr>
          <w:rFonts w:hint="default" w:ascii="Times New Roman" w:hAnsi="Times New Roman" w:eastAsia="仿宋_GB2312" w:cs="Times New Roman"/>
          <w:b/>
          <w:bCs/>
          <w:color w:val="000000"/>
          <w:sz w:val="32"/>
          <w:szCs w:val="32"/>
          <w:highlight w:val="none"/>
          <w:u w:val="none"/>
        </w:rPr>
        <w:t>提升全域农机装备水平。</w:t>
      </w:r>
      <w:r>
        <w:rPr>
          <w:rFonts w:hint="default" w:ascii="Times New Roman" w:hAnsi="Times New Roman" w:eastAsia="仿宋_GB2312" w:cs="Times New Roman"/>
          <w:color w:val="000000"/>
          <w:sz w:val="32"/>
          <w:szCs w:val="32"/>
          <w:highlight w:val="none"/>
          <w:u w:val="none"/>
        </w:rPr>
        <w:t>全面落实国家农机具补贴政策，调优农机装备结构，提升农机装备水平。在大田生产方面，重点推广飞机航化、收获全程机械化等机具，有序推进农机设备更新换代。在蔬菜生产方面，重点推广温室微环境智能调控、智能化卷帘机、物联网等智能化控制设备和微耕机、定植采收等机械设备。在养殖业方面，重点推广青贮秸秆打捆机、自动混合配料、自动喷雾消毒等先进实用设备，农机具配置结构更加合理，农机推广条件显著改善，农业机械化进入全程全面高质高效发展时期。到2025年，耕种收综合机械化水平达到99%以上，全县农机总动力达到140万千瓦，100马力以上拖拉机保有量达到700台。</w:t>
      </w:r>
    </w:p>
    <w:p w14:paraId="20D21350">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提升农业生产技术水平。</w:t>
      </w:r>
      <w:r>
        <w:rPr>
          <w:rFonts w:hint="default" w:ascii="Times New Roman" w:hAnsi="Times New Roman" w:eastAsia="仿宋_GB2312" w:cs="Times New Roman"/>
          <w:color w:val="000000"/>
          <w:sz w:val="32"/>
          <w:szCs w:val="32"/>
          <w:highlight w:val="none"/>
          <w:u w:val="none"/>
        </w:rPr>
        <w:t>大力发展生态绿色有机高效安全的现代农业技术，切实用好国家级现代农业创业园、省级现代农业产业园和科技园优势，实施种养殖业现代化生产水平提升计划、现代种业提升工程，推动农业生产效率不断提升。</w:t>
      </w:r>
      <w:bookmarkStart w:id="31" w:name="_Toc16535"/>
      <w:bookmarkStart w:id="32" w:name="_Toc2945"/>
    </w:p>
    <w:p w14:paraId="33D2CF30">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提升畜牧业现代化水平</w:t>
      </w:r>
      <w:bookmarkEnd w:id="31"/>
      <w:bookmarkEnd w:id="32"/>
      <w:r>
        <w:rPr>
          <w:rFonts w:hint="default" w:ascii="Times New Roman" w:hAnsi="Times New Roman" w:eastAsia="仿宋_GB2312" w:cs="Times New Roman"/>
          <w:b/>
          <w:bCs/>
          <w:color w:val="000000"/>
          <w:sz w:val="32"/>
          <w:szCs w:val="32"/>
          <w:highlight w:val="none"/>
          <w:u w:val="none"/>
        </w:rPr>
        <w:t>。</w:t>
      </w:r>
      <w:r>
        <w:rPr>
          <w:rFonts w:hint="default" w:ascii="Times New Roman" w:hAnsi="Times New Roman" w:eastAsia="仿宋_GB2312" w:cs="Times New Roman"/>
          <w:color w:val="000000"/>
          <w:sz w:val="32"/>
          <w:szCs w:val="32"/>
          <w:highlight w:val="none"/>
          <w:u w:val="none"/>
        </w:rPr>
        <w:t>以“增生猪肉鸡，大力发展牛羊，有序推动林畜养殖”为发展方向，积极推进健康养殖、绿色养殖。积极推进技术标准化、生产规模化、防疫现代化、质量安全化和农牧结合循环发展，着力提养殖场智能化、机械化水平，加快构建现代养殖体系。加大畜禽加工企业招引力度，重点扶持德昱成实业、龙垦畜牧有限公司、聚源清真食品公司等畜禽加工企业做大做强，壮大畜禽深加工产业规模，实现产业化程度提高或实现畜牧产品附加值提高。选择发展基础好的桦南镇、石头河子镇、驼腰子镇、孟家岗镇、金沙乡等半山区为肉牛发展优势区；柳毛河镇、土龙山镇、梨树乡、明义乡、五道岗乡、闫家镇为生猪发展优势区；石头河子镇、驼腰子镇、明义乡、大八浪乡为家禽发展优势区，发展以林下鸡为主，林下鹿为辅，以及其它林禽、林畜为补充的多元化养殖体系。到2025年，生猪饲养量实现160万头，肉牛饲养实现20万头；肉羊饲养实现25万只，禽饲养实现1000万羽，肉驴饲养量实现3万头。全县畜牧业产值实现60亿元。</w:t>
      </w:r>
    </w:p>
    <w:p w14:paraId="077179CE">
      <w:pPr>
        <w:pStyle w:val="2"/>
        <w:ind w:firstLine="643"/>
        <w:rPr>
          <w:rFonts w:hint="default" w:ascii="Times New Roman" w:hAnsi="Times New Roman" w:cs="Times New Roman"/>
          <w:color w:val="000000"/>
          <w:highlight w:val="none"/>
          <w:u w:val="none"/>
        </w:rPr>
      </w:pPr>
      <w:r>
        <w:rPr>
          <w:rFonts w:hint="default" w:ascii="Times New Roman" w:hAnsi="Times New Roman" w:cs="Times New Roman"/>
          <w:b/>
          <w:bCs/>
          <w:color w:val="000000"/>
          <w:kern w:val="2"/>
          <w:sz w:val="32"/>
          <w:szCs w:val="32"/>
          <w:highlight w:val="none"/>
          <w:u w:val="none"/>
        </w:rPr>
        <w:t>提升渔业绿色高质量发展水平。</w:t>
      </w:r>
      <w:r>
        <w:rPr>
          <w:rFonts w:hint="default" w:ascii="Times New Roman" w:hAnsi="Times New Roman" w:cs="Times New Roman"/>
          <w:color w:val="000000"/>
          <w:sz w:val="32"/>
          <w:szCs w:val="32"/>
          <w:highlight w:val="none"/>
          <w:u w:val="none"/>
        </w:rPr>
        <w:t>坚持以渔业提质增效、绿色发展、渔民增收为目标，加快构建渔业绿色发展的空间格局，产业结构转型升级，推动渔业高质量发展。大力发展水产品特色养殖、大中水面优质水产品增养殖、构建渔业优质特色水产品养殖，建设稻渔综合种养示范区，休闲渔业、冰雪渔业区，强化区域品牌打造与产品营销，积极发展生产性服务业。到2025年，稳定养殖面积4.9万亩，创建5个水产健康养殖示范场。</w:t>
      </w:r>
    </w:p>
    <w:p w14:paraId="129BA70B">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专栏7:现代农业基础提升工程</w:t>
      </w:r>
    </w:p>
    <w:tbl>
      <w:tblPr>
        <w:tblStyle w:val="17"/>
        <w:tblW w:w="0" w:type="auto"/>
        <w:tblInd w:w="2" w:type="dxa"/>
        <w:tblLayout w:type="fixed"/>
        <w:tblCellMar>
          <w:top w:w="0" w:type="dxa"/>
          <w:left w:w="108" w:type="dxa"/>
          <w:bottom w:w="0" w:type="dxa"/>
          <w:right w:w="108" w:type="dxa"/>
        </w:tblCellMar>
      </w:tblPr>
      <w:tblGrid>
        <w:gridCol w:w="2236"/>
        <w:gridCol w:w="6818"/>
      </w:tblGrid>
      <w:tr w14:paraId="35E2289F">
        <w:tblPrEx>
          <w:tblCellMar>
            <w:top w:w="0" w:type="dxa"/>
            <w:left w:w="108" w:type="dxa"/>
            <w:bottom w:w="0" w:type="dxa"/>
            <w:right w:w="108" w:type="dxa"/>
          </w:tblCellMar>
        </w:tblPrEx>
        <w:trPr>
          <w:trHeight w:val="482" w:hRule="atLeast"/>
        </w:trPr>
        <w:tc>
          <w:tcPr>
            <w:tcW w:w="2236" w:type="dxa"/>
            <w:tcBorders>
              <w:top w:val="single" w:color="auto" w:sz="4" w:space="0"/>
              <w:left w:val="nil"/>
              <w:bottom w:val="single" w:color="auto" w:sz="4" w:space="0"/>
              <w:right w:val="single" w:color="auto" w:sz="4" w:space="0"/>
            </w:tcBorders>
            <w:noWrap w:val="0"/>
            <w:vAlign w:val="center"/>
          </w:tcPr>
          <w:p w14:paraId="1A4EF197">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818" w:type="dxa"/>
            <w:tcBorders>
              <w:top w:val="single" w:color="auto" w:sz="4" w:space="0"/>
              <w:left w:val="nil"/>
              <w:bottom w:val="single" w:color="auto" w:sz="4" w:space="0"/>
              <w:right w:val="nil"/>
            </w:tcBorders>
            <w:noWrap w:val="0"/>
            <w:vAlign w:val="center"/>
          </w:tcPr>
          <w:p w14:paraId="00E5D7B6">
            <w:pPr>
              <w:widowControl/>
              <w:jc w:val="center"/>
              <w:rPr>
                <w:rFonts w:hint="default" w:ascii="Times New Roman" w:hAnsi="Times New Roman" w:cs="Times New Roman"/>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0D01E7B4">
        <w:tblPrEx>
          <w:tblCellMar>
            <w:top w:w="0" w:type="dxa"/>
            <w:left w:w="108" w:type="dxa"/>
            <w:bottom w:w="0" w:type="dxa"/>
            <w:right w:w="108" w:type="dxa"/>
          </w:tblCellMar>
        </w:tblPrEx>
        <w:trPr>
          <w:trHeight w:val="482" w:hRule="atLeast"/>
        </w:trPr>
        <w:tc>
          <w:tcPr>
            <w:tcW w:w="2236" w:type="dxa"/>
            <w:tcBorders>
              <w:top w:val="single" w:color="auto" w:sz="4" w:space="0"/>
              <w:left w:val="nil"/>
              <w:bottom w:val="single" w:color="auto" w:sz="4" w:space="0"/>
              <w:right w:val="single" w:color="auto" w:sz="4" w:space="0"/>
            </w:tcBorders>
            <w:noWrap w:val="0"/>
            <w:vAlign w:val="center"/>
          </w:tcPr>
          <w:p w14:paraId="22D66024">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高标农田建设</w:t>
            </w:r>
          </w:p>
        </w:tc>
        <w:tc>
          <w:tcPr>
            <w:tcW w:w="6818" w:type="dxa"/>
            <w:tcBorders>
              <w:top w:val="single" w:color="auto" w:sz="4" w:space="0"/>
              <w:left w:val="nil"/>
              <w:bottom w:val="single" w:color="auto" w:sz="4" w:space="0"/>
              <w:right w:val="nil"/>
            </w:tcBorders>
            <w:noWrap w:val="0"/>
            <w:vAlign w:val="center"/>
          </w:tcPr>
          <w:p w14:paraId="527A4AAC">
            <w:pPr>
              <w:rPr>
                <w:rFonts w:hint="default" w:ascii="Times New Roman" w:hAnsi="Times New Roman" w:cs="Times New Roman"/>
                <w:color w:val="000000"/>
                <w:sz w:val="24"/>
                <w:highlight w:val="none"/>
                <w:u w:val="none"/>
              </w:rPr>
            </w:pPr>
            <w:r>
              <w:rPr>
                <w:rFonts w:hint="default" w:ascii="Times New Roman" w:hAnsi="Times New Roman" w:cs="Times New Roman"/>
                <w:color w:val="000000"/>
                <w:kern w:val="0"/>
                <w:sz w:val="24"/>
                <w:highlight w:val="none"/>
                <w:u w:val="none"/>
              </w:rPr>
              <w:t>桦南县12个乡镇的高标准农田建设项目。</w:t>
            </w:r>
          </w:p>
        </w:tc>
      </w:tr>
      <w:tr w14:paraId="40A9D6E1">
        <w:tblPrEx>
          <w:tblCellMar>
            <w:top w:w="0" w:type="dxa"/>
            <w:left w:w="108" w:type="dxa"/>
            <w:bottom w:w="0" w:type="dxa"/>
            <w:right w:w="108" w:type="dxa"/>
          </w:tblCellMar>
        </w:tblPrEx>
        <w:trPr>
          <w:trHeight w:val="492" w:hRule="atLeast"/>
        </w:trPr>
        <w:tc>
          <w:tcPr>
            <w:tcW w:w="2236" w:type="dxa"/>
            <w:tcBorders>
              <w:top w:val="nil"/>
              <w:left w:val="nil"/>
              <w:bottom w:val="single" w:color="auto" w:sz="4" w:space="0"/>
              <w:right w:val="single" w:color="auto" w:sz="4" w:space="0"/>
            </w:tcBorders>
            <w:noWrap w:val="0"/>
            <w:vAlign w:val="center"/>
          </w:tcPr>
          <w:p w14:paraId="1E571202">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农机装备水平</w:t>
            </w:r>
          </w:p>
        </w:tc>
        <w:tc>
          <w:tcPr>
            <w:tcW w:w="6818" w:type="dxa"/>
            <w:tcBorders>
              <w:top w:val="nil"/>
              <w:left w:val="nil"/>
              <w:bottom w:val="single" w:color="auto" w:sz="4" w:space="0"/>
              <w:right w:val="nil"/>
            </w:tcBorders>
            <w:noWrap w:val="0"/>
            <w:vAlign w:val="center"/>
          </w:tcPr>
          <w:p w14:paraId="511C7EA4">
            <w:pP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桦南县农业机械购置补贴。</w:t>
            </w:r>
          </w:p>
        </w:tc>
      </w:tr>
      <w:tr w14:paraId="1F15BF8F">
        <w:tblPrEx>
          <w:tblCellMar>
            <w:top w:w="0" w:type="dxa"/>
            <w:left w:w="108" w:type="dxa"/>
            <w:bottom w:w="0" w:type="dxa"/>
            <w:right w:w="108" w:type="dxa"/>
          </w:tblCellMar>
        </w:tblPrEx>
        <w:trPr>
          <w:trHeight w:val="1086" w:hRule="atLeast"/>
        </w:trPr>
        <w:tc>
          <w:tcPr>
            <w:tcW w:w="2236" w:type="dxa"/>
            <w:tcBorders>
              <w:top w:val="nil"/>
              <w:left w:val="nil"/>
              <w:bottom w:val="single" w:color="auto" w:sz="4" w:space="0"/>
              <w:right w:val="single" w:color="auto" w:sz="4" w:space="0"/>
            </w:tcBorders>
            <w:noWrap w:val="0"/>
            <w:vAlign w:val="center"/>
          </w:tcPr>
          <w:p w14:paraId="26DDEDC4">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农业生产技术</w:t>
            </w:r>
          </w:p>
        </w:tc>
        <w:tc>
          <w:tcPr>
            <w:tcW w:w="6818" w:type="dxa"/>
            <w:tcBorders>
              <w:top w:val="nil"/>
              <w:left w:val="nil"/>
              <w:bottom w:val="single" w:color="auto" w:sz="4" w:space="0"/>
              <w:right w:val="nil"/>
            </w:tcBorders>
            <w:noWrap w:val="0"/>
            <w:vAlign w:val="center"/>
          </w:tcPr>
          <w:p w14:paraId="0C19A081">
            <w:pP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大豆（育）繁种能力提升项目（种畜场五分场、六分场，桦南镇），桦南县种植业补贴（12个乡镇及其他单位）。</w:t>
            </w:r>
          </w:p>
        </w:tc>
      </w:tr>
      <w:tr w14:paraId="78CA1A6E">
        <w:tblPrEx>
          <w:tblCellMar>
            <w:top w:w="0" w:type="dxa"/>
            <w:left w:w="108" w:type="dxa"/>
            <w:bottom w:w="0" w:type="dxa"/>
            <w:right w:w="108" w:type="dxa"/>
          </w:tblCellMar>
        </w:tblPrEx>
        <w:trPr>
          <w:trHeight w:val="829" w:hRule="atLeast"/>
        </w:trPr>
        <w:tc>
          <w:tcPr>
            <w:tcW w:w="2236" w:type="dxa"/>
            <w:tcBorders>
              <w:top w:val="nil"/>
              <w:left w:val="nil"/>
              <w:bottom w:val="single" w:color="auto" w:sz="4" w:space="0"/>
              <w:right w:val="single" w:color="auto" w:sz="4" w:space="0"/>
            </w:tcBorders>
            <w:noWrap w:val="0"/>
            <w:vAlign w:val="center"/>
          </w:tcPr>
          <w:p w14:paraId="72D37FA9">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畜牧业现代化建设</w:t>
            </w:r>
          </w:p>
        </w:tc>
        <w:tc>
          <w:tcPr>
            <w:tcW w:w="6818" w:type="dxa"/>
            <w:tcBorders>
              <w:top w:val="nil"/>
              <w:left w:val="nil"/>
              <w:bottom w:val="single" w:color="auto" w:sz="4" w:space="0"/>
              <w:right w:val="nil"/>
            </w:tcBorders>
            <w:noWrap w:val="0"/>
            <w:vAlign w:val="center"/>
          </w:tcPr>
          <w:p w14:paraId="2EFAAFF5">
            <w:pPr>
              <w:rPr>
                <w:rFonts w:hint="default" w:ascii="Times New Roman" w:hAnsi="Times New Roman" w:eastAsia="楷体_GB2312" w:cs="Times New Roman"/>
                <w:color w:val="000000"/>
                <w:kern w:val="0"/>
                <w:sz w:val="24"/>
                <w:highlight w:val="none"/>
                <w:u w:val="none"/>
              </w:rPr>
            </w:pPr>
            <w:r>
              <w:rPr>
                <w:rFonts w:hint="default" w:ascii="Times New Roman" w:hAnsi="Times New Roman" w:cs="Times New Roman"/>
                <w:color w:val="000000"/>
                <w:kern w:val="0"/>
                <w:sz w:val="24"/>
                <w:highlight w:val="none"/>
                <w:u w:val="none"/>
              </w:rPr>
              <w:t>生猪养殖场改扩建项目，10个村肉牛养殖场产业项目（新民、正南、西民主、新源等10个村），桦南乌驴屠宰及深加工项目。</w:t>
            </w:r>
          </w:p>
        </w:tc>
      </w:tr>
      <w:tr w14:paraId="0B9E60F3">
        <w:tblPrEx>
          <w:tblCellMar>
            <w:top w:w="0" w:type="dxa"/>
            <w:left w:w="108" w:type="dxa"/>
            <w:bottom w:w="0" w:type="dxa"/>
            <w:right w:w="108" w:type="dxa"/>
          </w:tblCellMar>
        </w:tblPrEx>
        <w:trPr>
          <w:trHeight w:val="829" w:hRule="atLeast"/>
        </w:trPr>
        <w:tc>
          <w:tcPr>
            <w:tcW w:w="2236" w:type="dxa"/>
            <w:tcBorders>
              <w:top w:val="single" w:color="auto" w:sz="4" w:space="0"/>
              <w:left w:val="nil"/>
              <w:bottom w:val="single" w:color="auto" w:sz="4" w:space="0"/>
              <w:right w:val="single" w:color="auto" w:sz="4" w:space="0"/>
            </w:tcBorders>
            <w:noWrap w:val="0"/>
            <w:vAlign w:val="center"/>
          </w:tcPr>
          <w:p w14:paraId="788E84A7">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现代渔业建设</w:t>
            </w:r>
          </w:p>
        </w:tc>
        <w:tc>
          <w:tcPr>
            <w:tcW w:w="6818" w:type="dxa"/>
            <w:tcBorders>
              <w:top w:val="single" w:color="auto" w:sz="4" w:space="0"/>
              <w:left w:val="nil"/>
              <w:bottom w:val="single" w:color="auto" w:sz="4" w:space="0"/>
              <w:right w:val="nil"/>
            </w:tcBorders>
            <w:noWrap w:val="0"/>
            <w:vAlign w:val="center"/>
          </w:tcPr>
          <w:p w14:paraId="3547F852">
            <w:pP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创建5个水产健康养殖示范场。</w:t>
            </w:r>
          </w:p>
        </w:tc>
      </w:tr>
    </w:tbl>
    <w:p w14:paraId="56A6F692">
      <w:pPr>
        <w:pStyle w:val="4"/>
        <w:rPr>
          <w:rFonts w:hint="default" w:ascii="Times New Roman" w:hAnsi="Times New Roman" w:cs="Times New Roman"/>
          <w:color w:val="000000"/>
          <w:highlight w:val="none"/>
          <w:u w:val="none"/>
        </w:rPr>
      </w:pPr>
      <w:bookmarkStart w:id="33" w:name="_Toc61268186"/>
      <w:r>
        <w:rPr>
          <w:rFonts w:hint="default" w:ascii="Times New Roman" w:hAnsi="Times New Roman" w:cs="Times New Roman"/>
          <w:color w:val="000000"/>
          <w:highlight w:val="none"/>
          <w:u w:val="none"/>
        </w:rPr>
        <w:t>第二节  提升农产品质量</w:t>
      </w:r>
      <w:bookmarkEnd w:id="33"/>
    </w:p>
    <w:p w14:paraId="291EF5DE">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优化品种布局和种植结构。</w:t>
      </w:r>
      <w:r>
        <w:rPr>
          <w:rFonts w:hint="default" w:ascii="Times New Roman" w:hAnsi="Times New Roman" w:eastAsia="仿宋_GB2312" w:cs="Times New Roman"/>
          <w:color w:val="000000"/>
          <w:sz w:val="32"/>
          <w:szCs w:val="32"/>
          <w:highlight w:val="none"/>
          <w:u w:val="none"/>
        </w:rPr>
        <w:t>深入推进水稻、玉米、大豆高产创建，加大良种培育引进、设施农业提质增效、农业生产智能化、加工贮运综合配套等方面的技术攻关，普及三大粮食作物标准化生产、优质高产栽培、高效绿色集成等粮食增产增效技术，促进农业提质增效。持续推进“院企合作”和“校企合作”，加强科研力量和企业结合，立足桦南地域特点，提升种业自主创新能力。</w:t>
      </w:r>
    </w:p>
    <w:p w14:paraId="5C53404B">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highlight w:val="none"/>
          <w:u w:val="none"/>
        </w:rPr>
        <w:t>推进农业品牌化发展。</w:t>
      </w:r>
      <w:r>
        <w:rPr>
          <w:rFonts w:hint="default" w:ascii="Times New Roman" w:hAnsi="Times New Roman" w:eastAsia="仿宋_GB2312" w:cs="Times New Roman"/>
          <w:color w:val="000000"/>
          <w:sz w:val="32"/>
          <w:szCs w:val="32"/>
          <w:highlight w:val="none"/>
          <w:u w:val="none"/>
        </w:rPr>
        <w:t>实施品牌强农战略，打好“绿色有机、寒地黑土、非转基因”金字招牌，持续发展壮大林下经济，全力打造紫苏、黑木耳、小浆果、坚果等特色品牌，深度开发孙斌大米、龙兴蔬菜、瓜瓜娇饮料等农产品品牌，培育拓展牛羊、肉鸡、乌驴等畜牧产品品牌，大力发展农村电商、共享农庄、创意农业等新业态，全面推进优质农畜产品“明标上市、过程可查、质量可溯”，实现农畜产品产业化、品质化、品牌化发展。</w:t>
      </w:r>
    </w:p>
    <w:p w14:paraId="5D18B91F">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健全农业安全标准化体系。</w:t>
      </w:r>
      <w:r>
        <w:rPr>
          <w:rFonts w:hint="default" w:ascii="Times New Roman" w:hAnsi="Times New Roman" w:eastAsia="仿宋_GB2312" w:cs="Times New Roman"/>
          <w:color w:val="000000"/>
          <w:sz w:val="32"/>
          <w:szCs w:val="32"/>
          <w:highlight w:val="none"/>
          <w:u w:val="none"/>
        </w:rPr>
        <w:t>坚决履行维护国家粮食安全政治责任，加强粮食生产功能区、重要农产品生产保护区和特色农产品优势区建设，推进优质粮食工程，坚决守住以粮油肉蛋奶等生活必需品为主的民生产业安全底线。全面推行农业标准化生产，实现生产设施、过程和产品标准化，大力发展绿色优质特色农业，强化科技支撑，推动优质农产品供给数量更多、口感更好、品质更优、营养更均衡、特色更鲜明，有效满足个性化、多样化、高品质消费需求，让主要农产品供给在高水平上实现均衡发展。加强农产品产地环境监测和农业面源污染监测，强化产地安全管理，加强农产品质量安全监管，探索建立有效的监管机制和模式，实施农产品质量安全追溯体系建设，推动源头可追溯、流向可跟踪、信息可查询、责任可追究，构建“从田头到餐桌”的农产品质量安全防线，不断提高农产品质量安全标准化水平，提升农业质量效益和竞争力，建设绿色粮仓、绿色菜园、绿色厨房，确保人民群众“舌尖上的安全”。</w:t>
      </w:r>
    </w:p>
    <w:p w14:paraId="62596B50">
      <w:pPr>
        <w:pStyle w:val="4"/>
        <w:rPr>
          <w:rFonts w:hint="default" w:ascii="Times New Roman" w:hAnsi="Times New Roman" w:cs="Times New Roman"/>
          <w:color w:val="000000"/>
          <w:highlight w:val="none"/>
          <w:u w:val="none"/>
        </w:rPr>
      </w:pPr>
      <w:bookmarkStart w:id="34" w:name="_Toc61268187"/>
      <w:r>
        <w:rPr>
          <w:rFonts w:hint="default" w:ascii="Times New Roman" w:hAnsi="Times New Roman" w:cs="Times New Roman"/>
          <w:color w:val="000000"/>
          <w:highlight w:val="none"/>
          <w:u w:val="none"/>
        </w:rPr>
        <w:t xml:space="preserve">第三节 </w:t>
      </w:r>
      <w:bookmarkStart w:id="35" w:name="_Toc11423"/>
      <w:bookmarkStart w:id="36" w:name="_Toc25506"/>
      <w:r>
        <w:rPr>
          <w:rFonts w:hint="default" w:ascii="Times New Roman" w:hAnsi="Times New Roman" w:cs="Times New Roman"/>
          <w:color w:val="000000"/>
          <w:highlight w:val="none"/>
          <w:u w:val="none"/>
        </w:rPr>
        <w:t xml:space="preserve"> 加强黑土地地力保护</w:t>
      </w:r>
      <w:bookmarkEnd w:id="34"/>
      <w:bookmarkEnd w:id="35"/>
      <w:bookmarkEnd w:id="36"/>
    </w:p>
    <w:p w14:paraId="22451609">
      <w:pPr>
        <w:spacing w:line="600" w:lineRule="exact"/>
        <w:ind w:firstLine="643" w:firstLineChars="200"/>
        <w:rPr>
          <w:rFonts w:hint="default" w:ascii="Times New Roman" w:hAnsi="Times New Roman" w:eastAsia="仿宋_GB2312" w:cs="Times New Roman"/>
          <w:color w:val="000000"/>
          <w:sz w:val="32"/>
          <w:highlight w:val="none"/>
          <w:u w:val="none"/>
        </w:rPr>
      </w:pPr>
      <w:bookmarkStart w:id="37" w:name="_Toc6143"/>
      <w:r>
        <w:rPr>
          <w:rFonts w:hint="default" w:ascii="Times New Roman" w:hAnsi="Times New Roman" w:eastAsia="仿宋_GB2312" w:cs="Times New Roman"/>
          <w:b/>
          <w:color w:val="000000"/>
          <w:sz w:val="32"/>
          <w:highlight w:val="none"/>
          <w:u w:val="none"/>
        </w:rPr>
        <w:t>保护恢复地力。</w:t>
      </w:r>
      <w:r>
        <w:rPr>
          <w:rFonts w:hint="default" w:ascii="Times New Roman" w:hAnsi="Times New Roman" w:eastAsia="仿宋_GB2312" w:cs="Times New Roman"/>
          <w:color w:val="000000"/>
          <w:sz w:val="32"/>
          <w:highlight w:val="none"/>
          <w:u w:val="none"/>
        </w:rPr>
        <w:t>坚持用养结合、综合保护，对黑土地实行战略性保护，采取测土配方施肥等工程、鼓励生物质化肥应用、开展深耕深松、推广现代农艺农技，积极推进“沃土工程”，探索推进“田长制”，鼓励引导以新型农业经营主体作为休耕轮作试点，全面保障耕地总量不减少、质量不退化。</w:t>
      </w:r>
    </w:p>
    <w:p w14:paraId="67C63541">
      <w:pPr>
        <w:spacing w:line="600" w:lineRule="exact"/>
        <w:ind w:firstLine="643" w:firstLineChars="200"/>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b/>
          <w:color w:val="000000"/>
          <w:sz w:val="32"/>
          <w:highlight w:val="none"/>
          <w:u w:val="none"/>
        </w:rPr>
        <w:t>积极推进农业“三减”行动。</w:t>
      </w:r>
      <w:r>
        <w:rPr>
          <w:rFonts w:hint="default" w:ascii="Times New Roman" w:hAnsi="Times New Roman" w:eastAsia="仿宋_GB2312" w:cs="Times New Roman"/>
          <w:color w:val="000000"/>
          <w:sz w:val="32"/>
          <w:highlight w:val="none"/>
          <w:u w:val="none"/>
        </w:rPr>
        <w:t>推动农业绿色生产、绿色防控，在施肥模式、农兽药残留上下功夫。以新型农业经营主体为带动，全面推进减化肥、减农药、减除草剂行动。在施用有机肥、配方肥上做文章。严格落实秸秆禁烧。</w:t>
      </w:r>
    </w:p>
    <w:p w14:paraId="5D03B3EE">
      <w:pPr>
        <w:spacing w:line="600" w:lineRule="exact"/>
        <w:ind w:firstLine="643" w:firstLineChars="200"/>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b/>
          <w:color w:val="000000"/>
          <w:sz w:val="32"/>
          <w:highlight w:val="none"/>
          <w:u w:val="none"/>
        </w:rPr>
        <w:t>积极推进秸秆“五化”利用模式，</w:t>
      </w:r>
      <w:r>
        <w:rPr>
          <w:rFonts w:hint="default" w:ascii="Times New Roman" w:hAnsi="Times New Roman" w:eastAsia="仿宋_GB2312" w:cs="Times New Roman"/>
          <w:color w:val="000000"/>
          <w:sz w:val="32"/>
          <w:highlight w:val="none"/>
          <w:u w:val="none"/>
        </w:rPr>
        <w:t>力争所有行政村全覆盖。着力探索水稻秸秆资源综合利用路径。依托省农科院农村能源研究所开展秸秆腐熟还田、堆腐沤肥还田、翻埋碎混还田技术研究。</w:t>
      </w:r>
    </w:p>
    <w:p w14:paraId="0CB60720">
      <w:pPr>
        <w:spacing w:line="600" w:lineRule="exact"/>
        <w:ind w:firstLine="643" w:firstLineChars="200"/>
        <w:rPr>
          <w:rFonts w:hint="default" w:ascii="Times New Roman" w:hAnsi="Times New Roman" w:cs="Times New Roman"/>
          <w:color w:val="000000"/>
          <w:highlight w:val="none"/>
          <w:u w:val="none"/>
        </w:rPr>
      </w:pPr>
      <w:r>
        <w:rPr>
          <w:rFonts w:hint="default" w:ascii="Times New Roman" w:hAnsi="Times New Roman" w:eastAsia="仿宋_GB2312" w:cs="Times New Roman"/>
          <w:b/>
          <w:color w:val="000000"/>
          <w:sz w:val="32"/>
          <w:highlight w:val="none"/>
          <w:u w:val="none"/>
        </w:rPr>
        <w:t>积极推进循环农业，</w:t>
      </w:r>
      <w:r>
        <w:rPr>
          <w:rFonts w:hint="default" w:ascii="Times New Roman" w:hAnsi="Times New Roman" w:eastAsia="仿宋_GB2312" w:cs="Times New Roman"/>
          <w:color w:val="000000"/>
          <w:sz w:val="32"/>
          <w:highlight w:val="none"/>
          <w:u w:val="none"/>
        </w:rPr>
        <w:t>大力推进畜禽粪污有序收储、集中清理和综合利用，在养殖密集区建立处理中心，实现黑土地永续利用。到2025年，耕地质量平均提升0.5个等级以上；土壤有机质含量平均提高0.05个百分点以上。</w:t>
      </w:r>
      <w:bookmarkEnd w:id="37"/>
    </w:p>
    <w:p w14:paraId="5E4B7D69">
      <w:pPr>
        <w:rPr>
          <w:rFonts w:hint="default" w:ascii="Times New Roman" w:hAnsi="Times New Roman" w:cs="Times New Roman"/>
          <w:color w:val="000000"/>
          <w:highlight w:val="none"/>
          <w:u w:val="none"/>
        </w:rPr>
      </w:pPr>
    </w:p>
    <w:tbl>
      <w:tblPr>
        <w:tblStyle w:val="17"/>
        <w:tblW w:w="0" w:type="auto"/>
        <w:tblInd w:w="93" w:type="dxa"/>
        <w:tblLayout w:type="fixed"/>
        <w:tblCellMar>
          <w:top w:w="0" w:type="dxa"/>
          <w:left w:w="108" w:type="dxa"/>
          <w:bottom w:w="0" w:type="dxa"/>
          <w:right w:w="108" w:type="dxa"/>
        </w:tblCellMar>
      </w:tblPr>
      <w:tblGrid>
        <w:gridCol w:w="2425"/>
        <w:gridCol w:w="6516"/>
      </w:tblGrid>
      <w:tr w14:paraId="7D8D714A">
        <w:tblPrEx>
          <w:tblCellMar>
            <w:top w:w="0" w:type="dxa"/>
            <w:left w:w="108" w:type="dxa"/>
            <w:bottom w:w="0" w:type="dxa"/>
            <w:right w:w="108" w:type="dxa"/>
          </w:tblCellMar>
        </w:tblPrEx>
        <w:trPr>
          <w:trHeight w:val="430" w:hRule="atLeast"/>
        </w:trPr>
        <w:tc>
          <w:tcPr>
            <w:tcW w:w="8941" w:type="dxa"/>
            <w:gridSpan w:val="2"/>
            <w:tcBorders>
              <w:left w:val="nil"/>
              <w:bottom w:val="single" w:color="auto" w:sz="4" w:space="0"/>
            </w:tcBorders>
            <w:noWrap w:val="0"/>
            <w:vAlign w:val="center"/>
          </w:tcPr>
          <w:p w14:paraId="38C6D929">
            <w:pPr>
              <w:widowControl/>
              <w:jc w:val="center"/>
              <w:rPr>
                <w:rFonts w:hint="default" w:ascii="Times New Roman" w:hAnsi="Times New Roman" w:eastAsia="黑体" w:cs="Times New Roman"/>
                <w:b/>
                <w:color w:val="000000"/>
                <w:kern w:val="0"/>
                <w:sz w:val="28"/>
                <w:szCs w:val="28"/>
                <w:highlight w:val="none"/>
                <w:u w:val="none"/>
              </w:rPr>
            </w:pPr>
            <w:r>
              <w:rPr>
                <w:rFonts w:hint="default" w:ascii="Times New Roman" w:hAnsi="Times New Roman" w:eastAsia="黑体" w:cs="Times New Roman"/>
                <w:color w:val="000000"/>
                <w:sz w:val="28"/>
                <w:szCs w:val="28"/>
                <w:highlight w:val="none"/>
                <w:u w:val="none"/>
              </w:rPr>
              <w:t>专栏8：黑土地保护工程</w:t>
            </w:r>
          </w:p>
        </w:tc>
      </w:tr>
      <w:tr w14:paraId="04AB6256">
        <w:tblPrEx>
          <w:tblCellMar>
            <w:top w:w="0" w:type="dxa"/>
            <w:left w:w="108" w:type="dxa"/>
            <w:bottom w:w="0" w:type="dxa"/>
            <w:right w:w="108" w:type="dxa"/>
          </w:tblCellMar>
        </w:tblPrEx>
        <w:trPr>
          <w:trHeight w:val="482" w:hRule="atLeast"/>
        </w:trPr>
        <w:tc>
          <w:tcPr>
            <w:tcW w:w="2425" w:type="dxa"/>
            <w:tcBorders>
              <w:top w:val="single" w:color="auto" w:sz="4" w:space="0"/>
              <w:left w:val="nil"/>
              <w:bottom w:val="single" w:color="auto" w:sz="4" w:space="0"/>
              <w:right w:val="single" w:color="auto" w:sz="4" w:space="0"/>
            </w:tcBorders>
            <w:noWrap w:val="0"/>
            <w:vAlign w:val="center"/>
          </w:tcPr>
          <w:p w14:paraId="34CB00D2">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任务</w:t>
            </w:r>
          </w:p>
        </w:tc>
        <w:tc>
          <w:tcPr>
            <w:tcW w:w="6516" w:type="dxa"/>
            <w:tcBorders>
              <w:top w:val="single" w:color="auto" w:sz="4" w:space="0"/>
              <w:left w:val="nil"/>
              <w:bottom w:val="single" w:color="auto" w:sz="4" w:space="0"/>
              <w:right w:val="nil"/>
            </w:tcBorders>
            <w:noWrap w:val="0"/>
            <w:vAlign w:val="center"/>
          </w:tcPr>
          <w:p w14:paraId="77A11721">
            <w:pPr>
              <w:widowControl/>
              <w:jc w:val="center"/>
              <w:rPr>
                <w:rFonts w:hint="default" w:ascii="Times New Roman" w:hAnsi="Times New Roman" w:cs="Times New Roman"/>
                <w:color w:val="000000"/>
                <w:kern w:val="0"/>
                <w:sz w:val="24"/>
                <w:highlight w:val="none"/>
                <w:u w:val="none"/>
              </w:rPr>
            </w:pPr>
            <w:r>
              <w:rPr>
                <w:rFonts w:hint="default" w:ascii="Times New Roman" w:hAnsi="Times New Roman" w:cs="Times New Roman"/>
                <w:b/>
                <w:bCs/>
                <w:color w:val="000000"/>
                <w:kern w:val="0"/>
                <w:sz w:val="24"/>
                <w:highlight w:val="none"/>
                <w:u w:val="none"/>
              </w:rPr>
              <w:t>建设内容</w:t>
            </w:r>
          </w:p>
        </w:tc>
      </w:tr>
      <w:tr w14:paraId="7A2BE81C">
        <w:tblPrEx>
          <w:tblCellMar>
            <w:top w:w="0" w:type="dxa"/>
            <w:left w:w="108" w:type="dxa"/>
            <w:bottom w:w="0" w:type="dxa"/>
            <w:right w:w="108" w:type="dxa"/>
          </w:tblCellMar>
        </w:tblPrEx>
        <w:trPr>
          <w:trHeight w:val="779" w:hRule="atLeast"/>
        </w:trPr>
        <w:tc>
          <w:tcPr>
            <w:tcW w:w="2425" w:type="dxa"/>
            <w:tcBorders>
              <w:top w:val="single" w:color="auto" w:sz="4" w:space="0"/>
              <w:left w:val="nil"/>
              <w:bottom w:val="single" w:color="auto" w:sz="4" w:space="0"/>
              <w:right w:val="single" w:color="auto" w:sz="4" w:space="0"/>
            </w:tcBorders>
            <w:noWrap w:val="0"/>
            <w:vAlign w:val="center"/>
          </w:tcPr>
          <w:p w14:paraId="7A0DF728">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建设保护示范区</w:t>
            </w:r>
          </w:p>
        </w:tc>
        <w:tc>
          <w:tcPr>
            <w:tcW w:w="6516" w:type="dxa"/>
            <w:tcBorders>
              <w:top w:val="single" w:color="auto" w:sz="4" w:space="0"/>
              <w:left w:val="nil"/>
              <w:bottom w:val="single" w:color="auto" w:sz="4" w:space="0"/>
              <w:right w:val="nil"/>
            </w:tcBorders>
            <w:noWrap w:val="0"/>
            <w:vAlign w:val="center"/>
          </w:tcPr>
          <w:p w14:paraId="3AA81D9E">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保护区面积20万亩，保护区耕地质量提高0.5个等级以上，土壤有机质含量增加0.05个百分点。</w:t>
            </w:r>
          </w:p>
        </w:tc>
      </w:tr>
      <w:tr w14:paraId="7676EF7D">
        <w:tblPrEx>
          <w:tblCellMar>
            <w:top w:w="0" w:type="dxa"/>
            <w:left w:w="108" w:type="dxa"/>
            <w:bottom w:w="0" w:type="dxa"/>
            <w:right w:w="108" w:type="dxa"/>
          </w:tblCellMar>
        </w:tblPrEx>
        <w:trPr>
          <w:trHeight w:val="1914" w:hRule="atLeast"/>
        </w:trPr>
        <w:tc>
          <w:tcPr>
            <w:tcW w:w="2425" w:type="dxa"/>
            <w:tcBorders>
              <w:top w:val="single" w:color="auto" w:sz="4" w:space="0"/>
              <w:left w:val="nil"/>
              <w:bottom w:val="single" w:color="auto" w:sz="4" w:space="0"/>
              <w:right w:val="single" w:color="auto" w:sz="4" w:space="0"/>
            </w:tcBorders>
            <w:noWrap w:val="0"/>
            <w:vAlign w:val="center"/>
          </w:tcPr>
          <w:p w14:paraId="5DA55E25">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提升黑土信息化监测能力</w:t>
            </w:r>
          </w:p>
        </w:tc>
        <w:tc>
          <w:tcPr>
            <w:tcW w:w="6516" w:type="dxa"/>
            <w:tcBorders>
              <w:top w:val="single" w:color="auto" w:sz="4" w:space="0"/>
              <w:left w:val="nil"/>
              <w:bottom w:val="single" w:color="auto" w:sz="4" w:space="0"/>
              <w:right w:val="nil"/>
            </w:tcBorders>
            <w:noWrap w:val="0"/>
            <w:vAlign w:val="center"/>
          </w:tcPr>
          <w:p w14:paraId="09D002FC">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黑土地保护利试点区总计20万亩，其中旱田15万亩，水田5万亩，在项目区建立耕地质量监测点12个；在休耕轮作耕地上，按照10000亩/个，建立休耕轮作土壤监测点。</w:t>
            </w:r>
          </w:p>
        </w:tc>
      </w:tr>
      <w:tr w14:paraId="5167502E">
        <w:tblPrEx>
          <w:tblCellMar>
            <w:top w:w="0" w:type="dxa"/>
            <w:left w:w="108" w:type="dxa"/>
            <w:bottom w:w="0" w:type="dxa"/>
            <w:right w:w="108" w:type="dxa"/>
          </w:tblCellMar>
        </w:tblPrEx>
        <w:trPr>
          <w:trHeight w:val="467" w:hRule="atLeast"/>
        </w:trPr>
        <w:tc>
          <w:tcPr>
            <w:tcW w:w="2425" w:type="dxa"/>
            <w:tcBorders>
              <w:top w:val="single" w:color="auto" w:sz="4" w:space="0"/>
              <w:left w:val="nil"/>
              <w:bottom w:val="single" w:color="auto" w:sz="4" w:space="0"/>
              <w:right w:val="single" w:color="auto" w:sz="4" w:space="0"/>
            </w:tcBorders>
            <w:noWrap w:val="0"/>
            <w:vAlign w:val="center"/>
          </w:tcPr>
          <w:p w14:paraId="32880F03">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实施水土流失治理</w:t>
            </w:r>
          </w:p>
        </w:tc>
        <w:tc>
          <w:tcPr>
            <w:tcW w:w="6516" w:type="dxa"/>
            <w:tcBorders>
              <w:top w:val="single" w:color="auto" w:sz="4" w:space="0"/>
              <w:left w:val="nil"/>
              <w:bottom w:val="single" w:color="auto" w:sz="4" w:space="0"/>
              <w:right w:val="nil"/>
            </w:tcBorders>
            <w:noWrap w:val="0"/>
            <w:vAlign w:val="center"/>
          </w:tcPr>
          <w:p w14:paraId="2A7CE588">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治理水土流失面积77.58平方公里。</w:t>
            </w:r>
          </w:p>
        </w:tc>
      </w:tr>
      <w:tr w14:paraId="5963F578">
        <w:tblPrEx>
          <w:tblCellMar>
            <w:top w:w="0" w:type="dxa"/>
            <w:left w:w="108" w:type="dxa"/>
            <w:bottom w:w="0" w:type="dxa"/>
            <w:right w:w="108" w:type="dxa"/>
          </w:tblCellMar>
        </w:tblPrEx>
        <w:trPr>
          <w:trHeight w:val="1166" w:hRule="atLeast"/>
        </w:trPr>
        <w:tc>
          <w:tcPr>
            <w:tcW w:w="2425" w:type="dxa"/>
            <w:tcBorders>
              <w:top w:val="single" w:color="auto" w:sz="4" w:space="0"/>
              <w:left w:val="nil"/>
              <w:bottom w:val="single" w:color="auto" w:sz="4" w:space="0"/>
              <w:right w:val="single" w:color="auto" w:sz="4" w:space="0"/>
            </w:tcBorders>
            <w:noWrap w:val="0"/>
            <w:vAlign w:val="center"/>
          </w:tcPr>
          <w:p w14:paraId="001E6784">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开展耕层建设</w:t>
            </w:r>
          </w:p>
        </w:tc>
        <w:tc>
          <w:tcPr>
            <w:tcW w:w="6516" w:type="dxa"/>
            <w:tcBorders>
              <w:top w:val="single" w:color="auto" w:sz="4" w:space="0"/>
              <w:left w:val="nil"/>
              <w:bottom w:val="single" w:color="auto" w:sz="4" w:space="0"/>
              <w:right w:val="nil"/>
            </w:tcBorders>
            <w:noWrap w:val="0"/>
            <w:vAlign w:val="center"/>
          </w:tcPr>
          <w:p w14:paraId="45349DA1">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积极推进水稻、玉米秸秆全量还田，秸秆还田结合施用有机肥（堆沤肥），侧深施肥，新型肥料，精准施肥、综合植保、秸秆腐熟剂施用，物化补助和购买服务。</w:t>
            </w:r>
          </w:p>
        </w:tc>
      </w:tr>
      <w:tr w14:paraId="670F83A6">
        <w:tblPrEx>
          <w:tblCellMar>
            <w:top w:w="0" w:type="dxa"/>
            <w:left w:w="108" w:type="dxa"/>
            <w:bottom w:w="0" w:type="dxa"/>
            <w:right w:w="108" w:type="dxa"/>
          </w:tblCellMar>
        </w:tblPrEx>
        <w:trPr>
          <w:trHeight w:val="849" w:hRule="atLeast"/>
        </w:trPr>
        <w:tc>
          <w:tcPr>
            <w:tcW w:w="2425" w:type="dxa"/>
            <w:tcBorders>
              <w:top w:val="single" w:color="auto" w:sz="4" w:space="0"/>
              <w:left w:val="nil"/>
              <w:bottom w:val="single" w:color="auto" w:sz="4" w:space="0"/>
              <w:right w:val="single" w:color="auto" w:sz="4" w:space="0"/>
            </w:tcBorders>
            <w:noWrap w:val="0"/>
            <w:vAlign w:val="center"/>
          </w:tcPr>
          <w:p w14:paraId="6DD30131">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提高土壤质量</w:t>
            </w:r>
          </w:p>
        </w:tc>
        <w:tc>
          <w:tcPr>
            <w:tcW w:w="6516" w:type="dxa"/>
            <w:tcBorders>
              <w:top w:val="single" w:color="auto" w:sz="4" w:space="0"/>
              <w:left w:val="nil"/>
              <w:bottom w:val="single" w:color="auto" w:sz="4" w:space="0"/>
              <w:right w:val="nil"/>
            </w:tcBorders>
            <w:noWrap w:val="0"/>
            <w:vAlign w:val="center"/>
          </w:tcPr>
          <w:p w14:paraId="34BF99F9">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实施农作物绿色防控20万亩，采用飞机、植保无人机航化作业喷施生物药剂，减少农药使用量。</w:t>
            </w:r>
          </w:p>
        </w:tc>
      </w:tr>
    </w:tbl>
    <w:p w14:paraId="0B8A32CA">
      <w:pPr>
        <w:pStyle w:val="4"/>
        <w:rPr>
          <w:rFonts w:hint="default" w:ascii="Times New Roman" w:hAnsi="Times New Roman" w:cs="Times New Roman"/>
          <w:color w:val="000000"/>
          <w:highlight w:val="none"/>
          <w:u w:val="none"/>
        </w:rPr>
      </w:pPr>
      <w:bookmarkStart w:id="38" w:name="_Toc61268188"/>
      <w:r>
        <w:rPr>
          <w:rFonts w:hint="default" w:ascii="Times New Roman" w:hAnsi="Times New Roman" w:cs="Times New Roman"/>
          <w:color w:val="000000"/>
          <w:highlight w:val="none"/>
          <w:u w:val="none"/>
        </w:rPr>
        <w:t>第四节  创建农村三产融合发展示范区</w:t>
      </w:r>
      <w:bookmarkEnd w:id="38"/>
    </w:p>
    <w:p w14:paraId="59EDE76F">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加速发展乡村休闲旅游业。</w:t>
      </w:r>
      <w:r>
        <w:rPr>
          <w:rFonts w:hint="default" w:ascii="Times New Roman" w:hAnsi="Times New Roman" w:eastAsia="仿宋_GB2312" w:cs="Times New Roman"/>
          <w:color w:val="000000"/>
          <w:sz w:val="32"/>
          <w:szCs w:val="32"/>
          <w:highlight w:val="none"/>
          <w:u w:val="none"/>
        </w:rPr>
        <w:t>坚持以农耕文化为魂、美丽田园为韵、生态农业为基、传统村落为形，以向阳湖家属区特色民宿、中医药特色小镇等项目为依托，大力发展旅游体验一体、休闲度假一体、健康养老一体的农旅结合新模式，鼓励支持新型农业经营主体和村集体开展多种形式的乡村旅游项目，发展一批特色乡村旅游民宿，培育创建全国“一村一品”示范村镇，合理促进村庄布局分类，注重保护传统村落和相传特色风貌，促进村庄形态与自然环境、历史文化相得益彰。加强乡村旅游服务网络、农村邮政设施、快递服务设施和宽带网络建设，增加农村商品零售、餐饮及其他生活服务网点，形成方便快捷的“居民服务生活圈”。</w:t>
      </w:r>
    </w:p>
    <w:p w14:paraId="647E769D">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推动乡村新型服务业发展。</w:t>
      </w:r>
      <w:r>
        <w:rPr>
          <w:rFonts w:hint="default" w:ascii="Times New Roman" w:hAnsi="Times New Roman" w:eastAsia="仿宋_GB2312" w:cs="Times New Roman"/>
          <w:color w:val="000000"/>
          <w:sz w:val="32"/>
          <w:szCs w:val="32"/>
          <w:highlight w:val="none"/>
          <w:u w:val="none"/>
        </w:rPr>
        <w:t>坚持以促进农民增收、推进农村产业发展、振兴农村经济为抓手，推进以农业生产托管服务为重点的农业社会化服务，支持供销、邮政、农业服务公司、农民合作社等兴办农机作业、统防统治、农资购销、农产品电商平台等服务组织，鼓励大型农产品加工流通企业开展托管服务、专项服务、连锁服务、个性化服务等综合配套服务。发展“互联网+新型经营主体”，依托“云农优品”“印象桦南”等电商平台，推动代购代销和便民服务全网络全流程发展，支持农民合作社、专业大户、家庭农场等新型农村经营主体开展电子商务业务，建立农村电子商务保证体系，推动传统服务业升级改造，切实把乡镇建成服务农民的区域中心。</w:t>
      </w:r>
    </w:p>
    <w:p w14:paraId="479403E8">
      <w:pPr>
        <w:spacing w:line="600" w:lineRule="exact"/>
        <w:ind w:firstLine="643" w:firstLineChars="200"/>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b/>
          <w:bCs/>
          <w:color w:val="000000"/>
          <w:sz w:val="32"/>
          <w:highlight w:val="none"/>
          <w:u w:val="none"/>
        </w:rPr>
        <w:t>培育壮大新型农业经营主体。</w:t>
      </w:r>
      <w:r>
        <w:rPr>
          <w:rFonts w:hint="default" w:ascii="Times New Roman" w:hAnsi="Times New Roman" w:eastAsia="仿宋_GB2312" w:cs="Times New Roman"/>
          <w:color w:val="000000"/>
          <w:sz w:val="32"/>
          <w:highlight w:val="none"/>
          <w:u w:val="none"/>
        </w:rPr>
        <w:t>坚持规范和培育并举，深入实施新型农业经营主体培育工程，抓实抓好农村土地整合和土地流转工作，不断提升土地流转和规模化经营的管理服务水平，鼓励农户依法采取多种方式流转承包地。大力推行“公司+农户”“公司+合作社+农户”等模式的适度规模经营，积极推进经营主体联合发展，加快省级示范家庭农场、农民合作社规范社创建，全面构建规模化、集约化、专业化、组织化、社会化相结合的现代农业生产经营新体系。</w:t>
      </w:r>
    </w:p>
    <w:p w14:paraId="3A105BB4">
      <w:pPr>
        <w:spacing w:line="600" w:lineRule="exact"/>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专栏9:农业一二三产融合发展工程</w:t>
      </w:r>
    </w:p>
    <w:tbl>
      <w:tblPr>
        <w:tblStyle w:val="17"/>
        <w:tblW w:w="0" w:type="auto"/>
        <w:jc w:val="center"/>
        <w:tblLayout w:type="fixed"/>
        <w:tblCellMar>
          <w:top w:w="0" w:type="dxa"/>
          <w:left w:w="108" w:type="dxa"/>
          <w:bottom w:w="0" w:type="dxa"/>
          <w:right w:w="108" w:type="dxa"/>
        </w:tblCellMar>
      </w:tblPr>
      <w:tblGrid>
        <w:gridCol w:w="2020"/>
        <w:gridCol w:w="6573"/>
      </w:tblGrid>
      <w:tr w14:paraId="029C10AE">
        <w:tblPrEx>
          <w:tblCellMar>
            <w:top w:w="0" w:type="dxa"/>
            <w:left w:w="108" w:type="dxa"/>
            <w:bottom w:w="0" w:type="dxa"/>
            <w:right w:w="108" w:type="dxa"/>
          </w:tblCellMar>
        </w:tblPrEx>
        <w:trPr>
          <w:trHeight w:val="482" w:hRule="atLeast"/>
          <w:jc w:val="center"/>
        </w:trPr>
        <w:tc>
          <w:tcPr>
            <w:tcW w:w="2020" w:type="dxa"/>
            <w:tcBorders>
              <w:top w:val="single" w:color="auto" w:sz="4" w:space="0"/>
              <w:left w:val="nil"/>
              <w:bottom w:val="single" w:color="auto" w:sz="4" w:space="0"/>
              <w:right w:val="single" w:color="auto" w:sz="4" w:space="0"/>
            </w:tcBorders>
            <w:noWrap w:val="0"/>
            <w:vAlign w:val="center"/>
          </w:tcPr>
          <w:p w14:paraId="535271AA">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573" w:type="dxa"/>
            <w:tcBorders>
              <w:top w:val="single" w:color="auto" w:sz="4" w:space="0"/>
              <w:left w:val="nil"/>
              <w:bottom w:val="single" w:color="auto" w:sz="4" w:space="0"/>
              <w:right w:val="nil"/>
            </w:tcBorders>
            <w:noWrap w:val="0"/>
            <w:vAlign w:val="center"/>
          </w:tcPr>
          <w:p w14:paraId="521F17DA">
            <w:pPr>
              <w:widowControl/>
              <w:jc w:val="center"/>
              <w:rPr>
                <w:rFonts w:hint="default" w:ascii="Times New Roman" w:hAnsi="Times New Roman" w:cs="Times New Roman"/>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重点项目及内容</w:t>
            </w:r>
          </w:p>
        </w:tc>
      </w:tr>
      <w:tr w14:paraId="0E0B0D49">
        <w:tblPrEx>
          <w:tblCellMar>
            <w:top w:w="0" w:type="dxa"/>
            <w:left w:w="108" w:type="dxa"/>
            <w:bottom w:w="0" w:type="dxa"/>
            <w:right w:w="108" w:type="dxa"/>
          </w:tblCellMar>
        </w:tblPrEx>
        <w:trPr>
          <w:trHeight w:val="1121" w:hRule="atLeast"/>
          <w:jc w:val="center"/>
        </w:trPr>
        <w:tc>
          <w:tcPr>
            <w:tcW w:w="2020" w:type="dxa"/>
            <w:tcBorders>
              <w:top w:val="single" w:color="auto" w:sz="4" w:space="0"/>
              <w:left w:val="nil"/>
              <w:bottom w:val="single" w:color="auto" w:sz="4" w:space="0"/>
              <w:right w:val="single" w:color="auto" w:sz="4" w:space="0"/>
            </w:tcBorders>
            <w:noWrap w:val="0"/>
            <w:vAlign w:val="center"/>
          </w:tcPr>
          <w:p w14:paraId="75CAE167">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国家级现代农业产业园（中药材）</w:t>
            </w:r>
          </w:p>
        </w:tc>
        <w:tc>
          <w:tcPr>
            <w:tcW w:w="6573" w:type="dxa"/>
            <w:tcBorders>
              <w:top w:val="single" w:color="auto" w:sz="4" w:space="0"/>
              <w:left w:val="nil"/>
              <w:bottom w:val="single" w:color="auto" w:sz="4" w:space="0"/>
              <w:right w:val="nil"/>
            </w:tcBorders>
            <w:noWrap w:val="0"/>
            <w:vAlign w:val="center"/>
          </w:tcPr>
          <w:p w14:paraId="5946E981">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建设标准化生产基地（展示园）20个；建设种苗繁育基地10个、扩建种苗繁育大棚500栋；建设对比实验示范园区5个，中药才展示中心1个；建设中药材加工核心园区。</w:t>
            </w:r>
          </w:p>
        </w:tc>
      </w:tr>
      <w:tr w14:paraId="3EBBD9D3">
        <w:tblPrEx>
          <w:tblCellMar>
            <w:top w:w="0" w:type="dxa"/>
            <w:left w:w="108" w:type="dxa"/>
            <w:bottom w:w="0" w:type="dxa"/>
            <w:right w:w="108" w:type="dxa"/>
          </w:tblCellMar>
        </w:tblPrEx>
        <w:trPr>
          <w:trHeight w:val="1076" w:hRule="atLeast"/>
          <w:jc w:val="center"/>
        </w:trPr>
        <w:tc>
          <w:tcPr>
            <w:tcW w:w="2020" w:type="dxa"/>
            <w:tcBorders>
              <w:top w:val="single" w:color="auto" w:sz="4" w:space="0"/>
              <w:left w:val="nil"/>
              <w:bottom w:val="single" w:color="auto" w:sz="4" w:space="0"/>
              <w:right w:val="single" w:color="auto" w:sz="4" w:space="0"/>
            </w:tcBorders>
            <w:noWrap w:val="0"/>
            <w:vAlign w:val="center"/>
          </w:tcPr>
          <w:p w14:paraId="72280AA8">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国家级现代农业产业园（黑木耳）</w:t>
            </w:r>
          </w:p>
        </w:tc>
        <w:tc>
          <w:tcPr>
            <w:tcW w:w="6573" w:type="dxa"/>
            <w:tcBorders>
              <w:top w:val="single" w:color="auto" w:sz="4" w:space="0"/>
              <w:left w:val="nil"/>
              <w:bottom w:val="single" w:color="auto" w:sz="4" w:space="0"/>
              <w:right w:val="nil"/>
            </w:tcBorders>
            <w:noWrap w:val="0"/>
            <w:vAlign w:val="center"/>
          </w:tcPr>
          <w:p w14:paraId="73E30476">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扩建1亿袋黑木耳菌包生产厂，新建黑木耳菌包培养车间3栋，面积约18000平方米，推动全县新发展标准化吊袋种植大棚2000栋，全县标准化吊袋大棚数量达到5000栋以上。</w:t>
            </w:r>
          </w:p>
        </w:tc>
      </w:tr>
      <w:tr w14:paraId="78E61EAE">
        <w:tblPrEx>
          <w:tblCellMar>
            <w:top w:w="0" w:type="dxa"/>
            <w:left w:w="108" w:type="dxa"/>
            <w:bottom w:w="0" w:type="dxa"/>
            <w:right w:w="108" w:type="dxa"/>
          </w:tblCellMar>
        </w:tblPrEx>
        <w:trPr>
          <w:trHeight w:val="1448" w:hRule="atLeast"/>
          <w:jc w:val="center"/>
        </w:trPr>
        <w:tc>
          <w:tcPr>
            <w:tcW w:w="2020" w:type="dxa"/>
            <w:tcBorders>
              <w:top w:val="single" w:color="auto" w:sz="4" w:space="0"/>
              <w:left w:val="nil"/>
              <w:bottom w:val="single" w:color="auto" w:sz="4" w:space="0"/>
              <w:right w:val="single" w:color="auto" w:sz="4" w:space="0"/>
            </w:tcBorders>
            <w:noWrap w:val="0"/>
            <w:vAlign w:val="center"/>
          </w:tcPr>
          <w:p w14:paraId="08CE5F95">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省级现代农业产业园（黑木耳）</w:t>
            </w:r>
          </w:p>
        </w:tc>
        <w:tc>
          <w:tcPr>
            <w:tcW w:w="6573" w:type="dxa"/>
            <w:tcBorders>
              <w:top w:val="single" w:color="auto" w:sz="4" w:space="0"/>
              <w:left w:val="nil"/>
              <w:bottom w:val="single" w:color="auto" w:sz="4" w:space="0"/>
              <w:right w:val="nil"/>
            </w:tcBorders>
            <w:noWrap w:val="0"/>
            <w:vAlign w:val="center"/>
          </w:tcPr>
          <w:p w14:paraId="31F87501">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以孟家岗、石头河子、桦南镇、林业局等乡镇为核心基地，建设10个高标准黑木耳示范基地，发展标准化吊袋种植大棚200栋。项目建成后, 形成年加工黑木耳精包装产品及即食产品6500吨的生产规模。</w:t>
            </w:r>
          </w:p>
        </w:tc>
      </w:tr>
      <w:tr w14:paraId="5F664E3B">
        <w:tblPrEx>
          <w:tblCellMar>
            <w:top w:w="0" w:type="dxa"/>
            <w:left w:w="108" w:type="dxa"/>
            <w:bottom w:w="0" w:type="dxa"/>
            <w:right w:w="108" w:type="dxa"/>
          </w:tblCellMar>
        </w:tblPrEx>
        <w:trPr>
          <w:trHeight w:val="839" w:hRule="atLeast"/>
          <w:jc w:val="center"/>
        </w:trPr>
        <w:tc>
          <w:tcPr>
            <w:tcW w:w="2020" w:type="dxa"/>
            <w:tcBorders>
              <w:top w:val="single" w:color="auto" w:sz="4" w:space="0"/>
              <w:left w:val="nil"/>
              <w:bottom w:val="single" w:color="auto" w:sz="4" w:space="0"/>
              <w:right w:val="single" w:color="auto" w:sz="4" w:space="0"/>
            </w:tcBorders>
            <w:noWrap w:val="0"/>
            <w:vAlign w:val="center"/>
          </w:tcPr>
          <w:p w14:paraId="49735425">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国家级产业化联合体培育工程</w:t>
            </w:r>
          </w:p>
        </w:tc>
        <w:tc>
          <w:tcPr>
            <w:tcW w:w="6573" w:type="dxa"/>
            <w:tcBorders>
              <w:top w:val="single" w:color="auto" w:sz="4" w:space="0"/>
              <w:left w:val="nil"/>
              <w:bottom w:val="single" w:color="auto" w:sz="4" w:space="0"/>
              <w:right w:val="nil"/>
            </w:tcBorders>
            <w:noWrap w:val="0"/>
            <w:vAlign w:val="center"/>
          </w:tcPr>
          <w:p w14:paraId="1C506707">
            <w:pPr>
              <w:widowControl/>
              <w:jc w:val="left"/>
              <w:rPr>
                <w:rFonts w:hint="default" w:ascii="Times New Roman" w:hAnsi="Times New Roman" w:cs="Times New Roman"/>
                <w:b/>
                <w:bCs/>
                <w:color w:val="000000"/>
                <w:kern w:val="0"/>
                <w:sz w:val="24"/>
                <w:highlight w:val="none"/>
                <w:u w:val="none"/>
              </w:rPr>
            </w:pPr>
            <w:r>
              <w:rPr>
                <w:rFonts w:hint="default" w:ascii="Times New Roman" w:hAnsi="Times New Roman" w:cs="Times New Roman"/>
                <w:color w:val="000000"/>
                <w:kern w:val="0"/>
                <w:sz w:val="24"/>
                <w:highlight w:val="none"/>
                <w:u w:val="none"/>
              </w:rPr>
              <w:t>力争到2023年，创建农业产业化联合体8个，联合体产值实现20亿元以上，带动农户3万户以上。</w:t>
            </w:r>
          </w:p>
        </w:tc>
      </w:tr>
      <w:tr w14:paraId="527354F6">
        <w:tblPrEx>
          <w:tblCellMar>
            <w:top w:w="0" w:type="dxa"/>
            <w:left w:w="108" w:type="dxa"/>
            <w:bottom w:w="0" w:type="dxa"/>
            <w:right w:w="108" w:type="dxa"/>
          </w:tblCellMar>
        </w:tblPrEx>
        <w:trPr>
          <w:trHeight w:val="1473" w:hRule="atLeast"/>
          <w:jc w:val="center"/>
        </w:trPr>
        <w:tc>
          <w:tcPr>
            <w:tcW w:w="2020" w:type="dxa"/>
            <w:tcBorders>
              <w:top w:val="single" w:color="auto" w:sz="4" w:space="0"/>
              <w:left w:val="nil"/>
              <w:bottom w:val="single" w:color="auto" w:sz="4" w:space="0"/>
              <w:right w:val="single" w:color="auto" w:sz="4" w:space="0"/>
            </w:tcBorders>
            <w:noWrap w:val="0"/>
            <w:vAlign w:val="center"/>
          </w:tcPr>
          <w:p w14:paraId="0F646CCF">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省级产业化联合体培育工程</w:t>
            </w:r>
          </w:p>
        </w:tc>
        <w:tc>
          <w:tcPr>
            <w:tcW w:w="6573" w:type="dxa"/>
            <w:tcBorders>
              <w:top w:val="single" w:color="auto" w:sz="4" w:space="0"/>
              <w:left w:val="nil"/>
              <w:bottom w:val="single" w:color="auto" w:sz="4" w:space="0"/>
              <w:right w:val="nil"/>
            </w:tcBorders>
            <w:noWrap w:val="0"/>
            <w:vAlign w:val="center"/>
          </w:tcPr>
          <w:p w14:paraId="55A66F6E">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推动圣杰农业、新曙光牧业、鸿源绿色稻米、德盛粮食、万丰德肥料5家企业成为省级产业化联合体，力争到2022年，全县创建示范省级农业产业化联合体6个以上，联合体产值实现16亿元以上，带动农户2.5万户以上。</w:t>
            </w:r>
          </w:p>
        </w:tc>
      </w:tr>
    </w:tbl>
    <w:p w14:paraId="08AA4A5C">
      <w:pPr>
        <w:pStyle w:val="4"/>
        <w:rPr>
          <w:rFonts w:hint="default" w:ascii="Times New Roman" w:hAnsi="Times New Roman" w:cs="Times New Roman"/>
          <w:color w:val="000000"/>
          <w:highlight w:val="none"/>
          <w:u w:val="none"/>
        </w:rPr>
      </w:pPr>
      <w:bookmarkStart w:id="39" w:name="_Toc61268189"/>
      <w:r>
        <w:rPr>
          <w:rFonts w:hint="default" w:ascii="Times New Roman" w:hAnsi="Times New Roman" w:cs="Times New Roman"/>
          <w:color w:val="000000"/>
          <w:highlight w:val="none"/>
          <w:u w:val="none"/>
        </w:rPr>
        <w:t>第五节  深化农村改革</w:t>
      </w:r>
      <w:bookmarkEnd w:id="39"/>
    </w:p>
    <w:p w14:paraId="62D47B2D">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巩固完善农村基本经营制度。</w:t>
      </w:r>
      <w:r>
        <w:rPr>
          <w:rFonts w:hint="default" w:ascii="Times New Roman" w:hAnsi="Times New Roman" w:eastAsia="仿宋_GB2312" w:cs="Times New Roman"/>
          <w:color w:val="000000"/>
          <w:sz w:val="32"/>
          <w:szCs w:val="32"/>
          <w:highlight w:val="none"/>
          <w:u w:val="none"/>
        </w:rPr>
        <w:t>坚持农村土地集体所有和家庭经营基础性地位，落实农村土地承包关系稳定并长久不变政策，衔接落实好第二轮土地承包到期后再延长30年的政策，让农民吃上长效“定心丸”。深入推进农村集体经济股份合作制改革，将资产折股量化到本集体经济组织成员，建立农村产权交易中心，切实做好农村产权的登记和颁证管理，赋予农村产权更加充分完整的权能，推动农村产权交易公开、公正、规范运行。</w:t>
      </w:r>
    </w:p>
    <w:p w14:paraId="3FDE411A">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加快推进农村土地制度改革。</w:t>
      </w:r>
      <w:r>
        <w:rPr>
          <w:rFonts w:hint="default" w:ascii="Times New Roman" w:hAnsi="Times New Roman" w:eastAsia="仿宋_GB2312" w:cs="Times New Roman"/>
          <w:color w:val="000000"/>
          <w:sz w:val="32"/>
          <w:szCs w:val="32"/>
          <w:highlight w:val="none"/>
          <w:u w:val="none"/>
        </w:rPr>
        <w:t>坚守土地公有性质不改变、耕地红线不突破、农民利益不受损“三条底线”，深化农村土地制度改革，落实集体所有权，稳定农户承包权，放活土地经营权，稳慎推进农村宅基地制度改革，探索宅基地所有权、资格权、使用权“三权分置”。加强农村集体“三资”管理，盘活闲置的资产、资源，切实充分达到释放农村改革红利，实现农村集体经济和农民双增收。</w:t>
      </w:r>
    </w:p>
    <w:p w14:paraId="3AABD988">
      <w:pPr>
        <w:spacing w:line="600" w:lineRule="exact"/>
        <w:ind w:firstLine="643" w:firstLineChars="200"/>
        <w:rPr>
          <w:rFonts w:hint="default" w:ascii="Times New Roman" w:hAnsi="Times New Roman" w:eastAsia="仿宋_GB2312" w:cs="Times New Roman"/>
          <w:b/>
          <w:bCs/>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健全完善农业支持保护制度。</w:t>
      </w:r>
      <w:r>
        <w:rPr>
          <w:rFonts w:hint="default" w:ascii="Times New Roman" w:hAnsi="Times New Roman" w:eastAsia="仿宋_GB2312" w:cs="Times New Roman"/>
          <w:color w:val="000000"/>
          <w:sz w:val="32"/>
          <w:szCs w:val="32"/>
          <w:highlight w:val="none"/>
          <w:u w:val="none"/>
        </w:rPr>
        <w:t>建立健全有利于城乡要素合理配置的体制机制，促进人才、土地、资本等要素更多向乡村流动。鼓励农业生产与村庄建设等用地复合利用，建立健全农村新产业新业态用地保障机制。健全财政投入保障机制，落实和完善融资贷款、配套设施建设补助、税费减免、用地等扶持政策，引导工商资本入乡发展。健全农村金融服务体系，探索建立“政府+保险+银行”合作机制和县乡村三级金融服务新模式，完善生产、供销、信用“三位一体”农民合作经济组织体系，加快形成多层次、多元化的金融服务格局。</w:t>
      </w:r>
    </w:p>
    <w:p w14:paraId="5C0FA119">
      <w:pPr>
        <w:pStyle w:val="4"/>
        <w:rPr>
          <w:rFonts w:hint="default" w:ascii="Times New Roman" w:hAnsi="Times New Roman" w:cs="Times New Roman"/>
          <w:color w:val="000000"/>
          <w:highlight w:val="none"/>
          <w:u w:val="none"/>
        </w:rPr>
      </w:pPr>
      <w:bookmarkStart w:id="40" w:name="_Toc61268190"/>
      <w:r>
        <w:rPr>
          <w:rFonts w:hint="default" w:ascii="Times New Roman" w:hAnsi="Times New Roman" w:cs="Times New Roman"/>
          <w:color w:val="000000"/>
          <w:highlight w:val="none"/>
          <w:u w:val="none"/>
        </w:rPr>
        <w:t>第六节  实施乡村建设行动</w:t>
      </w:r>
      <w:bookmarkEnd w:id="40"/>
    </w:p>
    <w:p w14:paraId="1190C780">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把乡村建设摆在社会主义现代化建设的重要位置，按照“产业兴旺、生态宜居、乡风文明、治理有效、生活富裕”20字总要求，以农业强、农民富、农村美为目标，全领域、全空间、全方位提升美丽乡村建设水平，走出一条美丽乡村、美丽经济、美丽生活“三美融合”，生产生态生活“三位一体”的发展之路。</w:t>
      </w:r>
    </w:p>
    <w:p w14:paraId="56FC117F">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推动产业融合提质。</w:t>
      </w:r>
      <w:r>
        <w:rPr>
          <w:rFonts w:hint="default" w:ascii="Times New Roman" w:hAnsi="Times New Roman" w:eastAsia="仿宋_GB2312" w:cs="Times New Roman"/>
          <w:color w:val="000000"/>
          <w:sz w:val="32"/>
          <w:szCs w:val="32"/>
          <w:highlight w:val="none"/>
          <w:u w:val="none"/>
        </w:rPr>
        <w:t>坚持以农业供给侧结构性改革为主线，宜粮则粮、宜畜则畜、宜林则林，积极推进产业强镇建设，完善利益联结机制，让农民更多分享产业增值收益。以创新农村集体经济发展模式、增长方式和实现形式为目标，结合脱贫攻坚产业项目，力争每个乡镇都建立村级集体产业项目库、域外桦南籍中小企业家信息库和域内中小企业家信息库，为全方位、多领域招商引资和项目对接夯实根基。</w:t>
      </w:r>
    </w:p>
    <w:p w14:paraId="04749045">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推动美丽乡村提标。</w:t>
      </w:r>
      <w:r>
        <w:rPr>
          <w:rFonts w:hint="default" w:ascii="Times New Roman" w:hAnsi="Times New Roman" w:eastAsia="仿宋_GB2312" w:cs="Times New Roman"/>
          <w:color w:val="000000"/>
          <w:sz w:val="32"/>
          <w:szCs w:val="32"/>
          <w:highlight w:val="none"/>
          <w:u w:val="none"/>
        </w:rPr>
        <w:t>坚持以绿色发展引领生态振兴，完善乡村建设规划，加强村屯建设指引，以“一村一业、一村一品、一村一景、一村一韵”为特色，制定体现东北特色、龙江风采、桦南元素等特色农房和建筑改造标准，开展风景线、景区村、特色精品村、美丽田园、美丽庭院多村联创，连点成线打造示范线、示范带。扎实推进农村人居环境整治，加快农村危房改造、饮水安全工程、节能改灶和通村通屯道路建设，持续推进“厕所革命”“能源革命”“菜园革命”“垃圾革命”“污水革命”，加大村屯公共空间和庭院环境整治力度，深入推进农村生活垃圾分类和资源化利用，梯次推进农村生活污水治理，加快乡村公园、花园建设，不断提升村屯绿化美化净化水平，着力营造干净、便捷、美丽、安全的农村人居环境，全面建成各具特色、生态宜居美丽乡村。</w:t>
      </w:r>
    </w:p>
    <w:p w14:paraId="57124FD6">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推动乡风文明提振。</w:t>
      </w:r>
      <w:r>
        <w:rPr>
          <w:rFonts w:hint="default" w:ascii="Times New Roman" w:hAnsi="Times New Roman" w:eastAsia="仿宋_GB2312" w:cs="Times New Roman"/>
          <w:color w:val="000000"/>
          <w:sz w:val="32"/>
          <w:szCs w:val="32"/>
          <w:highlight w:val="none"/>
          <w:u w:val="none"/>
        </w:rPr>
        <w:t>深化乡风文明建设，大力开展习近平新时代中国特色社会主义思想、社会主义核心价值观和中国梦宣传教育，加强社会公德、职业道德、家庭美德、个人品德教育，全面培育文明乡风、良好家风、淳朴民风。建立健全村民议事会、道德评议会、禁毒禁赌协会、红白理事会等群众组织，全面推行喜事新办、丧事简办、厚养薄葬，完善村规民约，推进移风易俗。持续开展道德模范、身边好人评选表彰活动，充分挖掘群众身边先进典型，以先进典型为辐射点，实行塔式宣传教育模式，推动优秀传统文化进乡村、进农家，在全县营造学习、崇尚、关爱道德模范的浓厚氛围。</w:t>
      </w:r>
    </w:p>
    <w:p w14:paraId="2A392DE8">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推动基层治理提效。</w:t>
      </w:r>
      <w:r>
        <w:rPr>
          <w:rFonts w:hint="default" w:ascii="Times New Roman" w:hAnsi="Times New Roman" w:eastAsia="仿宋_GB2312" w:cs="Times New Roman"/>
          <w:color w:val="000000"/>
          <w:sz w:val="32"/>
          <w:szCs w:val="32"/>
          <w:highlight w:val="none"/>
          <w:u w:val="none"/>
        </w:rPr>
        <w:t>坚持党建引领，以基层党组织为中心，实施基层党建“整乡推进、整县提升”行动，统筹推进农村基层党建精细化建设，推动村党组织书记职业化，实现基层党组织全面进步、全面过硬。围绕构建村级党组织为核心，自治、法治、德治相衔接的“一核三治”村级治理体系，持续巩固村级小微权力规范化运行改革成果，健全村（社区）各类配套组织运行制度和议事规则，全面落实“四议两公开”议事决策制度。依托综治中心、雪亮工程、网格化治理“三位一体”新机制，实现各类问题早发现、早处置，提升社会自治能力，实现政府治理、社会调解、居民自治良性互动。</w:t>
      </w:r>
    </w:p>
    <w:p w14:paraId="510B1BBA">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推动强村富民提速。</w:t>
      </w:r>
      <w:r>
        <w:rPr>
          <w:rFonts w:hint="default" w:ascii="Times New Roman" w:hAnsi="Times New Roman" w:eastAsia="仿宋_GB2312" w:cs="Times New Roman"/>
          <w:color w:val="000000"/>
          <w:sz w:val="32"/>
          <w:szCs w:val="32"/>
          <w:highlight w:val="none"/>
          <w:u w:val="none"/>
        </w:rPr>
        <w:t>坚持把农民富裕作为乡村振兴的重要衡量标准，持续巩固“清化收”成果，将确权后村集体新增土地资源一律纳入机动地管理，大力发展村集体经济，科学谋划符合各村实际的产业项目，重点培育牛羊养殖、特色种植等产业，切实增强村级集体经济自身“造血”功能。以组织融合、产业融合、产村融合为牵引，以提升村党支部组织力为重点，实行“党支部+合作社+农户”模式，积极培育新业态特色村镇，打造一村一品特色产业格局。大力推进农民转移就业促增收，组织举办以新生代农民工为主体的就业招聘会，搭建供需对接双选平台，畅通转移就业渠道，千方百计促进农民增收，全面推动强村、富民同频共振。</w:t>
      </w:r>
    </w:p>
    <w:p w14:paraId="70A49625">
      <w:pPr>
        <w:pStyle w:val="4"/>
        <w:rPr>
          <w:rFonts w:hint="default" w:ascii="Times New Roman" w:hAnsi="Times New Roman" w:cs="Times New Roman"/>
          <w:color w:val="000000"/>
          <w:highlight w:val="none"/>
          <w:u w:val="none"/>
        </w:rPr>
      </w:pPr>
      <w:bookmarkStart w:id="41" w:name="_Toc61268191"/>
      <w:r>
        <w:rPr>
          <w:rFonts w:hint="default" w:ascii="Times New Roman" w:hAnsi="Times New Roman" w:cs="Times New Roman"/>
          <w:color w:val="000000"/>
          <w:highlight w:val="none"/>
          <w:u w:val="none"/>
        </w:rPr>
        <w:t>第七节  推进巩固拓展脱贫攻坚成果同乡村振兴有效衔接</w:t>
      </w:r>
      <w:bookmarkEnd w:id="41"/>
    </w:p>
    <w:p w14:paraId="693A2E63">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建立健全解决相对贫困长效机制。</w:t>
      </w:r>
      <w:r>
        <w:rPr>
          <w:rFonts w:hint="default" w:ascii="Times New Roman" w:hAnsi="Times New Roman" w:eastAsia="仿宋_GB2312" w:cs="Times New Roman"/>
          <w:color w:val="000000"/>
          <w:sz w:val="32"/>
          <w:szCs w:val="32"/>
          <w:highlight w:val="none"/>
          <w:u w:val="none"/>
        </w:rPr>
        <w:t>坚持摘帽不摘责任、不摘政策、不摘帮扶、不摘监管，建立健全稳定脱贫长效机制，夯实筑牢县乡村三级主体责任落实体系。健全返贫监测和帮扶机制，防止返贫和发生新的贫困，探索建立农村低收入人口帮扶机制，健全农村社会保障和救助制度，精准落实教育扶贫和医疗救助政策，继续实行“四免、五助、六保障”的教育扶贫工作措施，进一步提升基本医疗保障能力，确保脱贫人口参保率和大病保险参保率均达100%。完善提高非贫困村“三通三有”基础设施，推进脱贫村基础设施和公共服务提档升级。</w:t>
      </w:r>
    </w:p>
    <w:p w14:paraId="4363CFCB">
      <w:pPr>
        <w:spacing w:line="600" w:lineRule="exact"/>
        <w:ind w:firstLine="643" w:firstLineChars="200"/>
        <w:rPr>
          <w:rFonts w:hint="default" w:ascii="Times New Roman" w:hAnsi="Times New Roman" w:eastAsia="仿宋_GB2312" w:cs="Times New Roman"/>
          <w:color w:val="000000"/>
          <w:highlight w:val="none"/>
          <w:u w:val="none"/>
        </w:rPr>
      </w:pPr>
      <w:r>
        <w:rPr>
          <w:rFonts w:hint="default" w:ascii="Times New Roman" w:hAnsi="Times New Roman" w:eastAsia="仿宋_GB2312" w:cs="Times New Roman"/>
          <w:b/>
          <w:bCs/>
          <w:color w:val="000000"/>
          <w:sz w:val="32"/>
          <w:szCs w:val="32"/>
          <w:highlight w:val="none"/>
          <w:u w:val="none"/>
        </w:rPr>
        <w:t>持续发挥扶贫政策的长效作用。</w:t>
      </w:r>
      <w:r>
        <w:rPr>
          <w:rFonts w:hint="default" w:ascii="Times New Roman" w:hAnsi="Times New Roman" w:eastAsia="仿宋_GB2312" w:cs="Times New Roman"/>
          <w:color w:val="000000"/>
          <w:sz w:val="32"/>
          <w:szCs w:val="32"/>
          <w:highlight w:val="none"/>
          <w:u w:val="none"/>
        </w:rPr>
        <w:t>坚持脱贫人口脱贫不脱政策、脱贫不脱项目，加强资金投入及统筹整合，健全完善各项脱贫攻坚巩固提升政策。发挥政府投入在扶贫开发中的主导作用，推动各类转移支付资金进一步向脱贫村屯和脱贫人口倾斜，确保资金投入力度与巩固拓展脱贫攻坚成果任务相适应。畅通金融扶贫绿色通道，鼓励引导各类金融机构加大对扶贫开发的金融支持，下大力气扩大脱贫户贷款覆盖率，切实发挥政策叠加效应。加大资产收益扶贫项目建设力度，财政专项扶贫资金和其他涉农资金投入设施农业、养殖业、光伏产业、水电、乡村旅游等项目形成的资产，具备条件的可折股量化给脱贫村和脱贫户，优先保障丧失劳动能力的脱贫户。</w:t>
      </w:r>
    </w:p>
    <w:p w14:paraId="05F5F30A">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进一步提升扶贫产业“造血”功能。</w:t>
      </w:r>
      <w:r>
        <w:rPr>
          <w:rFonts w:hint="default" w:ascii="Times New Roman" w:hAnsi="Times New Roman" w:eastAsia="仿宋_GB2312" w:cs="Times New Roman"/>
          <w:color w:val="000000"/>
          <w:sz w:val="32"/>
          <w:szCs w:val="32"/>
          <w:highlight w:val="none"/>
          <w:u w:val="none"/>
        </w:rPr>
        <w:t>立足巩固拓展脱贫攻坚成果和乡村振兴有效衔接的重要阶段，突出产业支撑，强化就业扶贫、产业扶贫等后续扶持，加强扶贫资产监督管理，盯紧已经建成的重点扶贫项目，健全长效管护机制，落实后续管护责任，提高建成项目使用率，推动特色产业可持续发展，增强脱贫户内生动力和发展能力。健全完善就业促进机制，加大相对贫困人口产业扶持和就业帮扶力度，采取生产奖补、劳务补助、以工代赈、公益性岗位援助等方式，全力推进脱贫户迈向富裕。</w:t>
      </w:r>
    </w:p>
    <w:p w14:paraId="36324555">
      <w:pPr>
        <w:pStyle w:val="15"/>
        <w:spacing w:before="0" w:beforeLines="0" w:after="0" w:afterLines="0" w:line="600" w:lineRule="exact"/>
        <w:rPr>
          <w:rFonts w:hint="default" w:ascii="Times New Roman" w:hAnsi="Times New Roman" w:cs="Times New Roman"/>
          <w:color w:val="000000"/>
          <w:highlight w:val="none"/>
          <w:u w:val="none"/>
        </w:rPr>
      </w:pPr>
    </w:p>
    <w:p w14:paraId="0BFF5E49">
      <w:pPr>
        <w:pStyle w:val="3"/>
        <w:keepNext w:val="0"/>
        <w:keepLines w:val="0"/>
        <w:rPr>
          <w:rFonts w:hint="default" w:ascii="Times New Roman" w:hAnsi="Times New Roman" w:cs="Times New Roman"/>
          <w:b/>
          <w:color w:val="000000"/>
          <w:highlight w:val="none"/>
          <w:u w:val="none"/>
        </w:rPr>
      </w:pPr>
      <w:bookmarkStart w:id="42" w:name="_Toc25281"/>
      <w:bookmarkStart w:id="43" w:name="_Toc15844"/>
      <w:bookmarkStart w:id="44" w:name="_Toc61268192"/>
      <w:r>
        <w:rPr>
          <w:rFonts w:hint="default" w:ascii="Times New Roman" w:hAnsi="Times New Roman" w:cs="Times New Roman"/>
          <w:b/>
          <w:color w:val="000000"/>
          <w:highlight w:val="none"/>
          <w:u w:val="none"/>
        </w:rPr>
        <w:t>第五章  深入融合发展，</w:t>
      </w:r>
      <w:bookmarkEnd w:id="42"/>
      <w:bookmarkEnd w:id="43"/>
      <w:r>
        <w:rPr>
          <w:rFonts w:hint="default" w:ascii="Times New Roman" w:hAnsi="Times New Roman" w:cs="Times New Roman"/>
          <w:b/>
          <w:color w:val="000000"/>
          <w:highlight w:val="none"/>
          <w:u w:val="none"/>
        </w:rPr>
        <w:t>主动融入新发展格局</w:t>
      </w:r>
      <w:bookmarkEnd w:id="44"/>
    </w:p>
    <w:p w14:paraId="123CC746">
      <w:pPr>
        <w:spacing w:line="600" w:lineRule="exact"/>
        <w:ind w:firstLine="640" w:firstLineChars="200"/>
        <w:rPr>
          <w:rFonts w:hint="default" w:ascii="Times New Roman" w:hAnsi="Times New Roman" w:eastAsia="仿宋_GB2312" w:cs="Times New Roman"/>
          <w:color w:val="000000"/>
          <w:sz w:val="32"/>
          <w:szCs w:val="32"/>
          <w:highlight w:val="none"/>
          <w:u w:val="none"/>
        </w:rPr>
      </w:pPr>
    </w:p>
    <w:p w14:paraId="3B12ADAF">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坚持扩大内需，着力打通生产、分配、流通、消费各个环节，主动融入以国内“大循环”为主体、国内国际“双循环”相互促进的新发展格局，实现更高质量、更有效率、更加公平、更可持续、更为安全的发展。</w:t>
      </w:r>
    </w:p>
    <w:p w14:paraId="677E68ED">
      <w:pPr>
        <w:pStyle w:val="4"/>
        <w:keepNext w:val="0"/>
        <w:keepLines w:val="0"/>
        <w:rPr>
          <w:rFonts w:hint="default" w:ascii="Times New Roman" w:hAnsi="Times New Roman" w:cs="Times New Roman"/>
          <w:color w:val="000000"/>
          <w:highlight w:val="none"/>
          <w:u w:val="none"/>
        </w:rPr>
      </w:pPr>
      <w:bookmarkStart w:id="45" w:name="_Toc57252301"/>
      <w:bookmarkStart w:id="46" w:name="_Toc61268193"/>
      <w:r>
        <w:rPr>
          <w:rFonts w:hint="default" w:ascii="Times New Roman" w:hAnsi="Times New Roman" w:cs="Times New Roman"/>
          <w:color w:val="000000"/>
          <w:highlight w:val="none"/>
          <w:u w:val="none"/>
        </w:rPr>
        <w:t>第一节  提高竞争力积极融入国内“大循环”</w:t>
      </w:r>
      <w:bookmarkEnd w:id="45"/>
      <w:bookmarkEnd w:id="46"/>
    </w:p>
    <w:p w14:paraId="7F494888">
      <w:pPr>
        <w:spacing w:line="600" w:lineRule="exact"/>
        <w:ind w:firstLine="640" w:firstLineChars="200"/>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rPr>
        <w:t>坚持供给侧结构性改革，落实增品种、提品质、创品牌战略，扩大桦南北药、杂粮杂豆、食用菌等特色农副产品、林下经济产品的市场竞争力，加大种养殖业、农产品加工深度开发和综合利用力度，</w:t>
      </w:r>
      <w:r>
        <w:rPr>
          <w:rFonts w:hint="default" w:ascii="Times New Roman" w:hAnsi="Times New Roman" w:eastAsia="仿宋_GB2312" w:cs="Times New Roman"/>
          <w:color w:val="000000"/>
          <w:sz w:val="32"/>
          <w:szCs w:val="32"/>
          <w:highlight w:val="none"/>
          <w:u w:val="none"/>
        </w:rPr>
        <w:t>形成需求牵引供给、供给创造需求的更高水平动态平衡，形成供需互促、产销并进的良性循环，</w:t>
      </w:r>
      <w:r>
        <w:rPr>
          <w:rFonts w:hint="default" w:ascii="Times New Roman" w:hAnsi="Times New Roman" w:eastAsia="仿宋_GB2312" w:cs="Times New Roman"/>
          <w:color w:val="000000"/>
          <w:sz w:val="32"/>
          <w:highlight w:val="none"/>
          <w:u w:val="none"/>
        </w:rPr>
        <w:t>优化提升特色优势产品供给体系对国内需求的适配性</w:t>
      </w:r>
      <w:r>
        <w:rPr>
          <w:rFonts w:hint="default" w:ascii="Times New Roman" w:hAnsi="Times New Roman" w:eastAsia="仿宋_GB2312" w:cs="Times New Roman"/>
          <w:color w:val="000000"/>
          <w:sz w:val="32"/>
          <w:szCs w:val="32"/>
          <w:highlight w:val="none"/>
          <w:u w:val="none"/>
        </w:rPr>
        <w:t>和竞争力，扩大市场占有率。</w:t>
      </w:r>
      <w:r>
        <w:rPr>
          <w:rFonts w:hint="default" w:ascii="Times New Roman" w:hAnsi="Times New Roman" w:eastAsia="仿宋_GB2312" w:cs="Times New Roman"/>
          <w:bCs/>
          <w:color w:val="000000"/>
          <w:sz w:val="32"/>
          <w:highlight w:val="none"/>
          <w:u w:val="none"/>
        </w:rPr>
        <w:t>利用央企对接、京佳合作、广东对口合作、大三江一体化合作等既有合作平台，积极对接京津冀协同发展、长三角一体化、粤港澳大湾区等国家战略，巩固“央企佳木斯对接行动”“京·佳高端产业合作对接行动”成果，加强与中山市对口合作，</w:t>
      </w:r>
      <w:r>
        <w:rPr>
          <w:rFonts w:hint="default" w:ascii="Times New Roman" w:hAnsi="Times New Roman" w:eastAsia="仿宋_GB2312" w:cs="Times New Roman"/>
          <w:color w:val="000000"/>
          <w:sz w:val="32"/>
          <w:szCs w:val="32"/>
          <w:highlight w:val="none"/>
          <w:u w:val="none"/>
        </w:rPr>
        <w:t>推动先进经验在我县“带土移植”，形成一批干部人才交流、产业对接互补、重点园区共建、重大项目合作成果，</w:t>
      </w:r>
      <w:r>
        <w:rPr>
          <w:rFonts w:hint="default" w:ascii="Times New Roman" w:hAnsi="Times New Roman" w:eastAsia="仿宋_GB2312" w:cs="Times New Roman"/>
          <w:color w:val="000000"/>
          <w:sz w:val="32"/>
          <w:highlight w:val="none"/>
          <w:u w:val="none"/>
        </w:rPr>
        <w:t>鼓励支持更多本土企业“走出去”，大力开展种植养殖、劳务输出、食品加工等多种形式的经济技术合作。</w:t>
      </w:r>
    </w:p>
    <w:p w14:paraId="79CA07F5">
      <w:pPr>
        <w:pStyle w:val="4"/>
        <w:keepNext w:val="0"/>
        <w:keepLines w:val="0"/>
        <w:rPr>
          <w:rFonts w:hint="default" w:ascii="Times New Roman" w:hAnsi="Times New Roman" w:cs="Times New Roman"/>
          <w:color w:val="000000"/>
          <w:highlight w:val="none"/>
          <w:u w:val="none"/>
        </w:rPr>
      </w:pPr>
      <w:bookmarkStart w:id="47" w:name="_Toc57252302"/>
      <w:bookmarkStart w:id="48" w:name="_Toc61268194"/>
      <w:r>
        <w:rPr>
          <w:rFonts w:hint="default" w:ascii="Times New Roman" w:hAnsi="Times New Roman" w:cs="Times New Roman"/>
          <w:color w:val="000000"/>
          <w:highlight w:val="none"/>
          <w:u w:val="none"/>
        </w:rPr>
        <w:t>第二节  发挥优势参与国际大循环</w:t>
      </w:r>
      <w:bookmarkEnd w:id="47"/>
      <w:bookmarkEnd w:id="48"/>
    </w:p>
    <w:p w14:paraId="3019D430">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牢固树立“大开发、大开放”理念，积极融入共建“一带一路”和东北亚开放，以对俄开发为重点，拓展欧美、日韩及港澳台等地区开放空间，积极拓展与国内外产业链供应链合作广度深度，大力发展粮食、原木、铁矿石、煤炭、果蔬、建材、药材和农机进出口加工。围绕推动出口方式升级，大力培育外贸新业态，吸引跨境电商平台、综合供应链、第三方服务商企业入驻重点园区，培育一批有较强带动作用的跨境电商和外贸综合服务企业，打造跨境电商生态链。突出进口抓落地加工、出口抓提档升级，拓展现在外贸企业规模，扩大外来企业数量，积极引导企业“走出去”，支持企业通过寻求战略合作、在境外设立营销机构、商品集散中心、布局生产基地、海外并购等多种形式，拓展国际市场，融入全球产业协作和市场体系，打造跨境产业链和产业聚集带。充分利用中俄博览会、中俄（佳木斯）农机产品展销会等途径，积极对外宣传推介桦南，不断提升面向俄罗斯及东北亚区域的开放质量和水平，加快打造全省重要的对俄出口基地。到2025年，实现外贸进出口总额7.15亿元。</w:t>
      </w:r>
    </w:p>
    <w:p w14:paraId="0463FEA1">
      <w:pPr>
        <w:pStyle w:val="4"/>
        <w:rPr>
          <w:rFonts w:hint="default" w:ascii="Times New Roman" w:hAnsi="Times New Roman" w:cs="Times New Roman"/>
          <w:color w:val="000000"/>
          <w:highlight w:val="none"/>
          <w:u w:val="none"/>
        </w:rPr>
      </w:pPr>
      <w:bookmarkStart w:id="49" w:name="_Toc61268195"/>
      <w:r>
        <w:rPr>
          <w:rFonts w:hint="default" w:ascii="Times New Roman" w:hAnsi="Times New Roman" w:cs="Times New Roman"/>
          <w:color w:val="000000"/>
          <w:highlight w:val="none"/>
          <w:u w:val="none"/>
        </w:rPr>
        <w:t>第三节  积极扩大有效投资</w:t>
      </w:r>
      <w:bookmarkEnd w:id="49"/>
    </w:p>
    <w:p w14:paraId="5C58B01A">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优化投资结构。</w:t>
      </w:r>
      <w:r>
        <w:rPr>
          <w:rFonts w:hint="default" w:ascii="Times New Roman" w:hAnsi="Times New Roman" w:eastAsia="仿宋_GB2312" w:cs="Times New Roman"/>
          <w:color w:val="000000"/>
          <w:sz w:val="32"/>
          <w:szCs w:val="32"/>
          <w:highlight w:val="none"/>
          <w:u w:val="none"/>
        </w:rPr>
        <w:t>创新项目推进机制，围绕全省“百千万”工程，启动实施“项目建设三年行动计划”，滚动实施“百大项目”建设、聚焦“两新一重”、传统产业改造升级、生态保护、公共服务补强等谋划建设一批打基础、强功能、利长远的重大项目建设。</w:t>
      </w:r>
      <w:r>
        <w:rPr>
          <w:rFonts w:hint="default" w:ascii="Times New Roman" w:hAnsi="Times New Roman" w:eastAsia="仿宋_GB2312" w:cs="Times New Roman"/>
          <w:b/>
          <w:bCs/>
          <w:color w:val="000000"/>
          <w:sz w:val="32"/>
          <w:szCs w:val="32"/>
          <w:highlight w:val="none"/>
          <w:u w:val="none"/>
        </w:rPr>
        <w:t>创新投资方式。</w:t>
      </w:r>
      <w:r>
        <w:rPr>
          <w:rFonts w:hint="default" w:ascii="Times New Roman" w:hAnsi="Times New Roman" w:eastAsia="仿宋_GB2312" w:cs="Times New Roman"/>
          <w:color w:val="000000"/>
          <w:sz w:val="32"/>
          <w:szCs w:val="32"/>
          <w:highlight w:val="none"/>
          <w:u w:val="none"/>
        </w:rPr>
        <w:t>推进政府投资和民间投资双轮拉动扩大有效投资，加快探索深化投融资体制改革路径，营造优良投资环境，激发民间投资活力，引导更多社会资金投向传统优势产业和新兴产业。</w:t>
      </w:r>
      <w:r>
        <w:rPr>
          <w:rFonts w:hint="default" w:ascii="Times New Roman" w:hAnsi="Times New Roman" w:eastAsia="仿宋_GB2312" w:cs="Times New Roman"/>
          <w:b/>
          <w:bCs/>
          <w:color w:val="000000"/>
          <w:sz w:val="32"/>
          <w:szCs w:val="32"/>
          <w:highlight w:val="none"/>
          <w:u w:val="none"/>
        </w:rPr>
        <w:t>扩大招商引资。</w:t>
      </w:r>
      <w:r>
        <w:rPr>
          <w:rFonts w:hint="default" w:ascii="Times New Roman" w:hAnsi="Times New Roman" w:eastAsia="仿宋_GB2312" w:cs="Times New Roman"/>
          <w:color w:val="000000"/>
          <w:sz w:val="32"/>
          <w:szCs w:val="32"/>
          <w:highlight w:val="none"/>
          <w:u w:val="none"/>
        </w:rPr>
        <w:t>持续开展“招商引资和项目建设攻坚年”活动，大力实施“请进来、走出去”战略，以京津冀、长三角、珠三角、港澳台、俄日韩等地区为重点，强化“大企业、大集群、大园区”导向，树立主导产业链式招商理念，大力实施铸链、补链、稳链、扩链、强链工程，围绕重点产业，创新专业化招商、链条招商方式，筛选一批链条型、基地型、龙头型高端项目，引进精细化工产业、新能源产业、高新技术产业、现代服务业等领域产业链关键环节、核心企业、上下游配套企业，加快由拼土地拼政策，向拼投资环境、拼降低投资成本转变，有针对性地打通堵点、补齐短板，推动产业链、供应链、创新链和资金链等多链融合，增强产业链供应链稳定性和竞争力，争取产业集群培育实现新突破、骨干企业培植实现新突破、重点项目引进实现新突破。“十四五”期间，计划完成招商引资200亿元。</w:t>
      </w:r>
    </w:p>
    <w:p w14:paraId="34BDE1B0">
      <w:pPr>
        <w:pStyle w:val="4"/>
        <w:rPr>
          <w:rFonts w:hint="default" w:ascii="Times New Roman" w:hAnsi="Times New Roman" w:cs="Times New Roman"/>
          <w:color w:val="000000"/>
          <w:highlight w:val="none"/>
          <w:u w:val="none"/>
        </w:rPr>
      </w:pPr>
      <w:bookmarkStart w:id="50" w:name="_Toc61268196"/>
      <w:r>
        <w:rPr>
          <w:rFonts w:hint="default" w:ascii="Times New Roman" w:hAnsi="Times New Roman" w:cs="Times New Roman"/>
          <w:color w:val="000000"/>
          <w:highlight w:val="none"/>
          <w:u w:val="none"/>
        </w:rPr>
        <w:t>第四节  全面促进消费升级</w:t>
      </w:r>
      <w:bookmarkEnd w:id="50"/>
    </w:p>
    <w:p w14:paraId="7C176D32">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顺应居民消费升级趋势，创新消费模式和业态，发展无接触交易服务，鼓励在线教育、互联网医疗、直播电商等消费新模式新业态发展，扩大绿色消费、健康消费、安全消费、节假日消费。加快完善促进消费体制机制，进一步改善消费环境，发挥消费基础性作用，完善城乡一体化消费网络，畅通城乡消费流通渠道，加快推进成熟商圈上档升级，优化百货商场、购物中心规划布局，加快地方特色商业街区建设，促进社区生活服务业发展，大力发展便利店、社区菜店等社区商业，拓宽物业服务，打造社区便民商圈。优化城乡商业网点布局，充分发挥邮政系统、供销合作社系统现有农村网点布局优势，实施“邮政在乡”、升级“快递下乡”，拓展农村消费。加强农产品供应链体系建设，扩大电商进农村覆盖面，促进工业品下乡和农产品进城双向流通。实施消费物流基础设施建设，加快特色农产品优势区生产基地、公益性农产品批发市场、区域性商贸物流配送中心、社区菜市场、末端配送网点等建设，完善农村物流基础设施网络。</w:t>
      </w:r>
    </w:p>
    <w:p w14:paraId="35BE3A37">
      <w:pPr>
        <w:pStyle w:val="3"/>
        <w:rPr>
          <w:rFonts w:hint="default" w:ascii="Times New Roman" w:hAnsi="Times New Roman" w:cs="Times New Roman"/>
          <w:b/>
          <w:color w:val="000000"/>
          <w:highlight w:val="none"/>
          <w:u w:val="none"/>
        </w:rPr>
      </w:pPr>
      <w:bookmarkStart w:id="51" w:name="_Toc61268197"/>
      <w:bookmarkStart w:id="52" w:name="_Toc14719"/>
      <w:bookmarkStart w:id="53" w:name="_Toc6352"/>
      <w:r>
        <w:rPr>
          <w:rFonts w:hint="default" w:ascii="Times New Roman" w:hAnsi="Times New Roman" w:cs="Times New Roman"/>
          <w:b/>
          <w:color w:val="000000"/>
          <w:highlight w:val="none"/>
          <w:u w:val="none"/>
        </w:rPr>
        <w:t>第六章  加强区域协同，着力优化国土空间布局</w:t>
      </w:r>
      <w:bookmarkEnd w:id="51"/>
      <w:bookmarkEnd w:id="52"/>
      <w:bookmarkEnd w:id="53"/>
    </w:p>
    <w:p w14:paraId="5A58380B">
      <w:pPr>
        <w:spacing w:line="600" w:lineRule="exact"/>
        <w:ind w:firstLine="640" w:firstLineChars="200"/>
        <w:rPr>
          <w:rFonts w:hint="default" w:ascii="Times New Roman" w:hAnsi="Times New Roman" w:eastAsia="仿宋_GB2312" w:cs="Times New Roman"/>
          <w:color w:val="000000"/>
          <w:sz w:val="32"/>
          <w:szCs w:val="32"/>
          <w:highlight w:val="none"/>
          <w:u w:val="none"/>
        </w:rPr>
      </w:pPr>
    </w:p>
    <w:p w14:paraId="345C43B2">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坚持实施区域协调发展战略，统筹生态、生产、生活三大空间布局，综合考虑人口分布、经济布局、国土利用、生态环境保护，对接省级主管部门，配合做好成片开发方案编制工作</w:t>
      </w:r>
      <w:r>
        <w:rPr>
          <w:rFonts w:hint="eastAsia"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推进以人为核心的新型城镇化，实现县域空间布局整体优化、功能体系整体完善、发展能级整体提升，全面构建高质量发展的国土空间布局和支撑体系。</w:t>
      </w:r>
    </w:p>
    <w:p w14:paraId="5D229442">
      <w:pPr>
        <w:pStyle w:val="4"/>
        <w:rPr>
          <w:rFonts w:hint="default" w:ascii="Times New Roman" w:hAnsi="Times New Roman" w:cs="Times New Roman"/>
          <w:color w:val="000000"/>
          <w:highlight w:val="none"/>
          <w:u w:val="none"/>
        </w:rPr>
      </w:pPr>
      <w:bookmarkStart w:id="54" w:name="_Toc61268198"/>
      <w:r>
        <w:rPr>
          <w:rFonts w:hint="default" w:ascii="Times New Roman" w:hAnsi="Times New Roman" w:cs="Times New Roman"/>
          <w:color w:val="000000"/>
          <w:highlight w:val="none"/>
          <w:u w:val="none"/>
        </w:rPr>
        <w:t>第一节  构建国土空间开发保护新格局</w:t>
      </w:r>
      <w:bookmarkEnd w:id="54"/>
    </w:p>
    <w:p w14:paraId="6CFDD9CB">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优化城镇发展空间。</w:t>
      </w:r>
      <w:r>
        <w:rPr>
          <w:rFonts w:hint="default" w:ascii="Times New Roman" w:hAnsi="Times New Roman" w:eastAsia="仿宋_GB2312" w:cs="Times New Roman"/>
          <w:color w:val="000000"/>
          <w:sz w:val="32"/>
          <w:szCs w:val="32"/>
          <w:highlight w:val="none"/>
          <w:u w:val="none"/>
        </w:rPr>
        <w:t>聚焦优化新型城镇化空间布局，</w:t>
      </w:r>
      <w:r>
        <w:rPr>
          <w:rFonts w:hint="default" w:ascii="Times New Roman" w:hAnsi="Times New Roman" w:eastAsia="仿宋_GB2312" w:cs="Times New Roman"/>
          <w:bCs/>
          <w:color w:val="000000"/>
          <w:sz w:val="32"/>
          <w:szCs w:val="32"/>
          <w:highlight w:val="none"/>
          <w:u w:val="none"/>
        </w:rPr>
        <w:t>结合桦南县城市总体规划，划定城镇开发边界，</w:t>
      </w:r>
      <w:r>
        <w:rPr>
          <w:rFonts w:hint="default" w:ascii="Times New Roman" w:hAnsi="Times New Roman" w:eastAsia="仿宋_GB2312" w:cs="Times New Roman"/>
          <w:color w:val="000000"/>
          <w:sz w:val="32"/>
          <w:szCs w:val="32"/>
          <w:highlight w:val="none"/>
          <w:u w:val="none"/>
        </w:rPr>
        <w:t>确定桦南镇中心城区片区、桦南镇西南片区、化工园区北部片区、水泥厂博物馆文化片区、第一种畜场片区、北部局县共建园片区、高铁片区等6个集中建设片区，塑造职能明确、功能完善、布局合理、结构协调的城镇发展新格局。</w:t>
      </w:r>
    </w:p>
    <w:p w14:paraId="21D03B9B">
      <w:pPr>
        <w:spacing w:line="600" w:lineRule="exact"/>
        <w:ind w:firstLine="643" w:firstLineChars="200"/>
        <w:rPr>
          <w:rFonts w:hint="default" w:ascii="Times New Roman" w:hAnsi="Times New Roman" w:eastAsia="仿宋_GB2312" w:cs="Times New Roman"/>
          <w:color w:val="000000"/>
          <w:kern w:val="0"/>
          <w:sz w:val="24"/>
          <w:highlight w:val="none"/>
          <w:u w:val="none"/>
        </w:rPr>
      </w:pPr>
      <w:r>
        <w:rPr>
          <w:rFonts w:hint="default" w:ascii="Times New Roman" w:hAnsi="Times New Roman" w:eastAsia="仿宋_GB2312" w:cs="Times New Roman"/>
          <w:b/>
          <w:bCs/>
          <w:color w:val="000000"/>
          <w:sz w:val="32"/>
          <w:szCs w:val="32"/>
          <w:highlight w:val="none"/>
          <w:u w:val="none"/>
        </w:rPr>
        <w:t>优化农业生产空间。</w:t>
      </w:r>
      <w:r>
        <w:rPr>
          <w:rFonts w:hint="default" w:ascii="Times New Roman" w:hAnsi="Times New Roman" w:eastAsia="仿宋_GB2312" w:cs="Times New Roman"/>
          <w:color w:val="000000"/>
          <w:sz w:val="32"/>
          <w:szCs w:val="32"/>
          <w:highlight w:val="none"/>
          <w:u w:val="none"/>
        </w:rPr>
        <w:t>坚持山水林田湖草生命共同体，规范农业发展空间秩序，严格控制城市空间总面积扩张，控制各类建设占用耕地，划定永久基本农田237.84万亩。扎牢农业绿色发展的生态功能保障基线，积极发挥农业生态、景观和间隔功能，立足空间均衡和稳定，巩固完善粮食生产功能区，加快划定重要农产品生产保护区，认定特色农产品优势区，明确区域生产功能，保障粮食安全和重要农产品有效供给。</w:t>
      </w:r>
    </w:p>
    <w:p w14:paraId="245E7FE3">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构筑生态保护空间。</w:t>
      </w:r>
      <w:r>
        <w:rPr>
          <w:rFonts w:hint="default" w:ascii="Times New Roman" w:hAnsi="Times New Roman" w:eastAsia="仿宋_GB2312" w:cs="Times New Roman"/>
          <w:color w:val="000000"/>
          <w:sz w:val="32"/>
          <w:szCs w:val="32"/>
          <w:highlight w:val="none"/>
          <w:u w:val="none"/>
        </w:rPr>
        <w:t>充分认识生态红线在国土开发保护中的优先地位，实施生态红线保护与修复，强化森林、河流、湿地、湖泊、草原等系统治理，重点加强森林保护和水土流失防治，全面加强生态保护与修复，加大传统村落民居和历史文化名村保护力度，筑牢生态安全屏障，打造“望得见山、看得见水、记得住乡愁”的美好家园，划定生态保护红线面积66180.78公顷。</w:t>
      </w:r>
    </w:p>
    <w:tbl>
      <w:tblPr>
        <w:tblStyle w:val="1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920"/>
        <w:gridCol w:w="5411"/>
      </w:tblGrid>
      <w:tr w14:paraId="2DF3BF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04" w:type="dxa"/>
            <w:gridSpan w:val="3"/>
            <w:tcBorders>
              <w:top w:val="nil"/>
            </w:tcBorders>
            <w:noWrap w:val="0"/>
            <w:vAlign w:val="top"/>
          </w:tcPr>
          <w:p w14:paraId="11A2EB93">
            <w:pPr>
              <w:jc w:val="center"/>
              <w:rPr>
                <w:rFonts w:hint="default" w:ascii="Times New Roman" w:hAnsi="Times New Roman" w:eastAsia="黑体" w:cs="Times New Roman"/>
                <w:b/>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专栏10：国土空间开发管控要求及范围</w:t>
            </w:r>
          </w:p>
        </w:tc>
      </w:tr>
      <w:tr w14:paraId="30C02C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73" w:type="dxa"/>
            <w:noWrap w:val="0"/>
            <w:vAlign w:val="center"/>
          </w:tcPr>
          <w:p w14:paraId="1B014DE6">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分类</w:t>
            </w:r>
          </w:p>
        </w:tc>
        <w:tc>
          <w:tcPr>
            <w:tcW w:w="1920" w:type="dxa"/>
            <w:noWrap w:val="0"/>
            <w:vAlign w:val="center"/>
          </w:tcPr>
          <w:p w14:paraId="54719754">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范围</w:t>
            </w:r>
          </w:p>
        </w:tc>
        <w:tc>
          <w:tcPr>
            <w:tcW w:w="5411" w:type="dxa"/>
            <w:noWrap w:val="0"/>
            <w:vAlign w:val="center"/>
          </w:tcPr>
          <w:p w14:paraId="0C77780A">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管控要求</w:t>
            </w:r>
          </w:p>
        </w:tc>
      </w:tr>
      <w:tr w14:paraId="15287E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473" w:type="dxa"/>
            <w:noWrap w:val="0"/>
            <w:vAlign w:val="center"/>
          </w:tcPr>
          <w:p w14:paraId="17A397CA">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城镇空间</w:t>
            </w:r>
          </w:p>
        </w:tc>
        <w:tc>
          <w:tcPr>
            <w:tcW w:w="1920" w:type="dxa"/>
            <w:noWrap w:val="0"/>
            <w:vAlign w:val="center"/>
          </w:tcPr>
          <w:p w14:paraId="4ECBDF08">
            <w:pPr>
              <w:jc w:val="left"/>
              <w:rPr>
                <w:rFonts w:hint="default" w:ascii="Times New Roman" w:hAnsi="Times New Roman" w:cs="Times New Roman"/>
                <w:color w:val="000000"/>
                <w:sz w:val="24"/>
                <w:highlight w:val="none"/>
                <w:u w:val="none"/>
              </w:rPr>
            </w:pPr>
            <w:r>
              <w:rPr>
                <w:rFonts w:hint="default" w:ascii="Times New Roman" w:hAnsi="Times New Roman" w:cs="Times New Roman"/>
                <w:color w:val="000000"/>
                <w:sz w:val="24"/>
                <w:highlight w:val="none"/>
                <w:u w:val="none"/>
              </w:rPr>
              <w:t>国家和省主体功能区化确定的重点开发区域</w:t>
            </w:r>
          </w:p>
        </w:tc>
        <w:tc>
          <w:tcPr>
            <w:tcW w:w="5411" w:type="dxa"/>
            <w:noWrap w:val="0"/>
            <w:vAlign w:val="center"/>
          </w:tcPr>
          <w:p w14:paraId="50D71523">
            <w:pPr>
              <w:jc w:val="left"/>
              <w:rPr>
                <w:rFonts w:hint="default" w:ascii="Times New Roman" w:hAnsi="Times New Roman" w:cs="Times New Roman"/>
                <w:color w:val="000000"/>
                <w:sz w:val="24"/>
                <w:highlight w:val="none"/>
                <w:u w:val="none"/>
              </w:rPr>
            </w:pPr>
            <w:r>
              <w:rPr>
                <w:rFonts w:hint="default" w:ascii="Times New Roman" w:hAnsi="Times New Roman" w:cs="Times New Roman"/>
                <w:color w:val="000000"/>
                <w:sz w:val="24"/>
                <w:highlight w:val="none"/>
                <w:u w:val="none"/>
              </w:rPr>
              <w:t>严守永久基本农田和生态保护红线，严格落实人地挂钩政策，坚定不移推进绿色发展，进行生态廊道建设，实现城区内外绿地连接贯通；综合整治水污染，切实解决建成区水体黑臭问题。</w:t>
            </w:r>
          </w:p>
        </w:tc>
      </w:tr>
      <w:tr w14:paraId="341B75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473" w:type="dxa"/>
            <w:noWrap w:val="0"/>
            <w:vAlign w:val="center"/>
          </w:tcPr>
          <w:p w14:paraId="5E7A22E1">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农业空间</w:t>
            </w:r>
          </w:p>
        </w:tc>
        <w:tc>
          <w:tcPr>
            <w:tcW w:w="1920" w:type="dxa"/>
            <w:noWrap w:val="0"/>
            <w:vAlign w:val="center"/>
          </w:tcPr>
          <w:p w14:paraId="326DB23B">
            <w:pPr>
              <w:jc w:val="left"/>
              <w:rPr>
                <w:rFonts w:hint="default" w:ascii="Times New Roman" w:hAnsi="Times New Roman" w:cs="Times New Roman"/>
                <w:color w:val="000000"/>
                <w:sz w:val="24"/>
                <w:highlight w:val="none"/>
                <w:u w:val="none"/>
              </w:rPr>
            </w:pPr>
            <w:r>
              <w:rPr>
                <w:rFonts w:hint="default" w:ascii="Times New Roman" w:hAnsi="Times New Roman" w:cs="Times New Roman"/>
                <w:color w:val="000000"/>
                <w:sz w:val="24"/>
                <w:highlight w:val="none"/>
                <w:u w:val="none"/>
              </w:rPr>
              <w:t>国家和省主体功能区规划确定的国家农产品主产区</w:t>
            </w:r>
          </w:p>
        </w:tc>
        <w:tc>
          <w:tcPr>
            <w:tcW w:w="5411" w:type="dxa"/>
            <w:noWrap w:val="0"/>
            <w:vAlign w:val="center"/>
          </w:tcPr>
          <w:p w14:paraId="4003EE49">
            <w:pPr>
              <w:jc w:val="left"/>
              <w:rPr>
                <w:rFonts w:hint="default" w:ascii="Times New Roman" w:hAnsi="Times New Roman" w:cs="Times New Roman"/>
                <w:color w:val="000000"/>
                <w:sz w:val="24"/>
                <w:highlight w:val="none"/>
                <w:u w:val="none"/>
              </w:rPr>
            </w:pPr>
            <w:r>
              <w:rPr>
                <w:rFonts w:hint="default" w:ascii="Times New Roman" w:hAnsi="Times New Roman" w:cs="Times New Roman"/>
                <w:color w:val="000000"/>
                <w:sz w:val="24"/>
                <w:highlight w:val="none"/>
                <w:u w:val="none"/>
              </w:rPr>
              <w:t>深入推进全域土地综合整治工程，保障粮食生产能力，积极推进国土空间综合整治、整理复垦、矿山地质环境恢复治理三类项目，优化全县农村生产、生活、生态用地空间布局。</w:t>
            </w:r>
          </w:p>
        </w:tc>
      </w:tr>
      <w:tr w14:paraId="4556A1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473" w:type="dxa"/>
            <w:noWrap w:val="0"/>
            <w:vAlign w:val="center"/>
          </w:tcPr>
          <w:p w14:paraId="5D9CE5FD">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生态空间</w:t>
            </w:r>
          </w:p>
        </w:tc>
        <w:tc>
          <w:tcPr>
            <w:tcW w:w="1920" w:type="dxa"/>
            <w:noWrap w:val="0"/>
            <w:vAlign w:val="center"/>
          </w:tcPr>
          <w:p w14:paraId="292D7776">
            <w:pPr>
              <w:jc w:val="left"/>
              <w:rPr>
                <w:rFonts w:hint="default" w:ascii="Times New Roman" w:hAnsi="Times New Roman" w:cs="Times New Roman"/>
                <w:color w:val="000000"/>
                <w:sz w:val="24"/>
                <w:highlight w:val="none"/>
                <w:u w:val="none"/>
              </w:rPr>
            </w:pPr>
            <w:r>
              <w:rPr>
                <w:rFonts w:hint="default" w:ascii="Times New Roman" w:hAnsi="Times New Roman" w:cs="Times New Roman"/>
                <w:color w:val="000000"/>
                <w:sz w:val="24"/>
                <w:highlight w:val="none"/>
                <w:u w:val="none"/>
              </w:rPr>
              <w:t>国家和省主体功能区规划确定的国家重点生态功能区</w:t>
            </w:r>
          </w:p>
        </w:tc>
        <w:tc>
          <w:tcPr>
            <w:tcW w:w="5411" w:type="dxa"/>
            <w:noWrap w:val="0"/>
            <w:vAlign w:val="center"/>
          </w:tcPr>
          <w:p w14:paraId="21D0E6E3">
            <w:pPr>
              <w:jc w:val="left"/>
              <w:rPr>
                <w:rFonts w:hint="default" w:ascii="Times New Roman" w:hAnsi="Times New Roman" w:cs="Times New Roman"/>
                <w:color w:val="000000"/>
                <w:sz w:val="24"/>
                <w:highlight w:val="none"/>
                <w:u w:val="none"/>
              </w:rPr>
            </w:pPr>
            <w:r>
              <w:rPr>
                <w:rFonts w:hint="default" w:ascii="Times New Roman" w:hAnsi="Times New Roman" w:cs="Times New Roman"/>
                <w:color w:val="000000"/>
                <w:sz w:val="24"/>
                <w:highlight w:val="none"/>
                <w:u w:val="none"/>
              </w:rPr>
              <w:t>以流域空间为载体，统筹森林、河湖、湿地、草地等的系统保护和修复重大工程。</w:t>
            </w:r>
          </w:p>
        </w:tc>
      </w:tr>
    </w:tbl>
    <w:p w14:paraId="2BDE02D6">
      <w:pPr>
        <w:pStyle w:val="4"/>
        <w:keepNext w:val="0"/>
        <w:keepLines w:val="0"/>
        <w:rPr>
          <w:rFonts w:hint="default" w:ascii="Times New Roman" w:hAnsi="Times New Roman" w:cs="Times New Roman"/>
          <w:color w:val="000000"/>
          <w:highlight w:val="none"/>
          <w:u w:val="none"/>
        </w:rPr>
      </w:pPr>
      <w:bookmarkStart w:id="55" w:name="_Toc61268199"/>
      <w:r>
        <w:rPr>
          <w:rFonts w:hint="default" w:ascii="Times New Roman" w:hAnsi="Times New Roman" w:cs="Times New Roman"/>
          <w:color w:val="000000"/>
          <w:highlight w:val="none"/>
          <w:u w:val="none"/>
        </w:rPr>
        <w:t>第二节  促进城乡融合发展</w:t>
      </w:r>
      <w:bookmarkEnd w:id="55"/>
    </w:p>
    <w:p w14:paraId="28E22FFD">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农业农村优先发展，把工业和农业、城市和乡村作为整体统筹谋划，深化农业农村改革，探索建立新形势下城乡融合发展政策体系和体制机制，加快构建以工促农、以城带乡、工农互惠、城乡一体的新型工农城乡关系。牢牢把握率先实现城乡全面融合发展新要求，构建具有桦南特色的新型农村城镇化框架，优化城乡功能布局，加强城乡规划，突出城镇、农村在城乡空间布点间的功能定位与发展方向。促进区域协调发展，依据区位及发展状况，创新城乡融合发展的多样形态与实现路径，加快提升农村发展水平，以工业化理念推进农业产业化经营，加快现代农业向生产、生活、生态等多功能转型。积极实施城镇化和新农村建设双轮驱动战略，不断缩小城乡基础设施、公共服务、社会保障水平差距，建立与经济社会发展水平相适应的农村硬软件支撑保障体系。深化城乡综合配套改革，切实增强城乡融合发展动力，带动资源要素、人口劳动力在城乡顺畅流转，增强城乡一体化推进动力。</w:t>
      </w:r>
    </w:p>
    <w:p w14:paraId="00F94E21">
      <w:pPr>
        <w:pStyle w:val="4"/>
        <w:rPr>
          <w:rFonts w:hint="default" w:ascii="Times New Roman" w:hAnsi="Times New Roman" w:cs="Times New Roman"/>
          <w:color w:val="000000"/>
          <w:highlight w:val="none"/>
          <w:u w:val="none"/>
        </w:rPr>
      </w:pPr>
      <w:bookmarkStart w:id="56" w:name="_Toc61268200"/>
      <w:r>
        <w:rPr>
          <w:rFonts w:hint="default" w:ascii="Times New Roman" w:hAnsi="Times New Roman" w:cs="Times New Roman"/>
          <w:color w:val="000000"/>
          <w:highlight w:val="none"/>
          <w:u w:val="none"/>
        </w:rPr>
        <w:t>第三节  提升区域合作水平</w:t>
      </w:r>
      <w:bookmarkEnd w:id="56"/>
    </w:p>
    <w:p w14:paraId="3D50154C">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一体化发展、差异化定位，主动融入以佳木斯为枢纽、“四煤城”组团发展的东部城市群，围绕佳木斯“一核引领、两区协同、轴带联动”发展格局，加快打造市域西部城市功能区，积极承接产业外溢和人口转移，深入开展产业协作，加强与东部城市群内资源型城市的互补合作，推进区域内规划衔接、基础设施联通、公共资源共享，实现与区域重点城市之间的互联互通、资源共享、优势互补、经贸流通、协调发展。加快区域融合发展，推进与桦南林业局有限公司在旅游资源开发、产业互补上的共建共享，与黑龙江北大荒集团曙光农场有限公司在农机作业、经开区发展上深入合作。依托森工林业局丰富森林资源优势，大力实施林业项目建设拉动经济转型战略，建设发展具有可持续性经营的林地林下产业项目，打造农林旅游深度融合走廊。依托曙光农场在标准化生产、社会化服务，以及物质装备、生产技术、经营体系等方面优势，加快秸秆还田、种养结合等领域的先进经验复制推广，引导支持曙光农场和有条件的乡镇开展对接合作，巩固完善利益联结机制，激发区域一体化经济增长活力。</w:t>
      </w:r>
    </w:p>
    <w:p w14:paraId="0CE1EEA5">
      <w:pPr>
        <w:pStyle w:val="4"/>
        <w:rPr>
          <w:rFonts w:hint="default" w:ascii="Times New Roman" w:hAnsi="Times New Roman" w:cs="Times New Roman"/>
          <w:color w:val="000000"/>
          <w:highlight w:val="none"/>
          <w:u w:val="none"/>
        </w:rPr>
      </w:pPr>
      <w:bookmarkStart w:id="57" w:name="_Toc61268201"/>
      <w:r>
        <w:rPr>
          <w:rFonts w:hint="default" w:ascii="Times New Roman" w:hAnsi="Times New Roman" w:cs="Times New Roman"/>
          <w:color w:val="000000"/>
          <w:highlight w:val="none"/>
          <w:u w:val="none"/>
        </w:rPr>
        <w:t>第四节  推进以人为核心的新型城镇化</w:t>
      </w:r>
      <w:bookmarkEnd w:id="57"/>
    </w:p>
    <w:p w14:paraId="2ECFE34D">
      <w:pPr>
        <w:spacing w:line="600" w:lineRule="exact"/>
        <w:ind w:firstLine="630" w:firstLineChars="197"/>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多规合一”，把以人为本、尊重自然、传承文化、绿色低碳等理念融入城乡规划建设全过程，统筹城乡规划、建设、管理，加快节点乡镇和村屯高质量建设，增强吸引辐射功能，加大新型城镇化建设力度，突出城市地域、历史和文化特色，打造特色小镇，建设美丽乡村，推进城乡均衡发展。</w:t>
      </w:r>
    </w:p>
    <w:p w14:paraId="06795DEC">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优化县域规划布局。</w:t>
      </w:r>
      <w:r>
        <w:rPr>
          <w:rFonts w:hint="default" w:ascii="Times New Roman" w:hAnsi="Times New Roman" w:eastAsia="仿宋_GB2312" w:cs="Times New Roman"/>
          <w:color w:val="000000"/>
          <w:sz w:val="32"/>
          <w:szCs w:val="32"/>
          <w:highlight w:val="none"/>
          <w:u w:val="none"/>
          <w:shd w:val="clear" w:color="auto" w:fill="FFFFFF"/>
        </w:rPr>
        <w:t>围绕提高人口经济承载和资源优化配置等核心功能，</w:t>
      </w:r>
      <w:r>
        <w:rPr>
          <w:rFonts w:hint="default" w:ascii="Times New Roman" w:hAnsi="Times New Roman" w:eastAsia="仿宋_GB2312" w:cs="Times New Roman"/>
          <w:color w:val="000000"/>
          <w:sz w:val="32"/>
          <w:szCs w:val="32"/>
          <w:highlight w:val="none"/>
          <w:u w:val="none"/>
        </w:rPr>
        <w:t>统筹推进新老城区提质发展，提升综合服务功能，打造更有温度、更富魅力、更具吸引力的现代品质城市。</w:t>
      </w:r>
    </w:p>
    <w:p w14:paraId="1DB85435">
      <w:pPr>
        <w:spacing w:line="600" w:lineRule="exact"/>
        <w:ind w:firstLine="643" w:firstLineChars="200"/>
        <w:rPr>
          <w:rFonts w:hint="default" w:ascii="Times New Roman" w:hAnsi="Times New Roman" w:eastAsia="仿宋_GB2312" w:cs="Times New Roman"/>
          <w:color w:val="000000"/>
          <w:highlight w:val="none"/>
          <w:u w:val="none"/>
        </w:rPr>
      </w:pPr>
      <w:r>
        <w:rPr>
          <w:rFonts w:hint="default" w:ascii="Times New Roman" w:hAnsi="Times New Roman" w:eastAsia="仿宋_GB2312" w:cs="Times New Roman"/>
          <w:b/>
          <w:bCs/>
          <w:color w:val="000000"/>
          <w:sz w:val="32"/>
          <w:szCs w:val="32"/>
          <w:highlight w:val="none"/>
          <w:u w:val="none"/>
        </w:rPr>
        <w:t>统筹城乡人口转移。</w:t>
      </w:r>
      <w:r>
        <w:rPr>
          <w:rFonts w:hint="default" w:ascii="Times New Roman" w:hAnsi="Times New Roman" w:eastAsia="仿宋_GB2312" w:cs="Times New Roman"/>
          <w:color w:val="000000"/>
          <w:sz w:val="32"/>
          <w:szCs w:val="32"/>
          <w:highlight w:val="none"/>
          <w:u w:val="none"/>
        </w:rPr>
        <w:t>建立健全农业转移人口市民化推进机制，保障进城落户农民土地承包权、宅基地使用权、集体收益分配权，促进农业转移人口户籍市民化、就业市民化、生活市民化。健全城乡人口信息动态监测机制，全面提升人口管理和服务水平，保持常住人口稳定，扭转人口外流态势，引导城镇人口在城乡合理分布。</w:t>
      </w:r>
    </w:p>
    <w:p w14:paraId="053F8A6A">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提高城市管理水平。</w:t>
      </w:r>
      <w:r>
        <w:rPr>
          <w:rFonts w:hint="default" w:ascii="Times New Roman" w:hAnsi="Times New Roman" w:eastAsia="仿宋_GB2312" w:cs="Times New Roman"/>
          <w:color w:val="000000"/>
          <w:sz w:val="32"/>
          <w:szCs w:val="32"/>
          <w:highlight w:val="none"/>
          <w:u w:val="none"/>
        </w:rPr>
        <w:t>坚持以人为核心，完善城市治理体系，全面开展智慧城市建设，加快公共信息平台和基础数据库建设，实施智慧政务、智慧交通、智慧医疗、智慧社区、智慧防灾、智慧人防等示范工程，全力提升城市管理水平，提高居民幸福指数。</w:t>
      </w:r>
    </w:p>
    <w:p w14:paraId="70C00A42">
      <w:pPr>
        <w:spacing w:line="600" w:lineRule="exact"/>
        <w:ind w:firstLine="643" w:firstLineChars="200"/>
        <w:rPr>
          <w:rFonts w:hint="default" w:ascii="Times New Roman" w:hAnsi="Times New Roman" w:eastAsia="仿宋_GB2312" w:cs="Times New Roman"/>
          <w:color w:val="000000"/>
          <w:kern w:val="0"/>
          <w:sz w:val="32"/>
          <w:szCs w:val="32"/>
          <w:highlight w:val="none"/>
          <w:u w:val="none"/>
          <w:shd w:val="clear" w:color="auto" w:fill="FFFFFF"/>
        </w:rPr>
      </w:pPr>
      <w:r>
        <w:rPr>
          <w:rFonts w:hint="default" w:ascii="Times New Roman" w:hAnsi="Times New Roman" w:eastAsia="仿宋_GB2312" w:cs="Times New Roman"/>
          <w:b/>
          <w:color w:val="000000"/>
          <w:sz w:val="32"/>
          <w:szCs w:val="32"/>
          <w:highlight w:val="none"/>
          <w:u w:val="none"/>
        </w:rPr>
        <w:t>完善市政基础设施。</w:t>
      </w:r>
      <w:r>
        <w:rPr>
          <w:rFonts w:hint="default" w:ascii="Times New Roman" w:hAnsi="Times New Roman" w:eastAsia="仿宋_GB2312" w:cs="Times New Roman"/>
          <w:color w:val="000000"/>
          <w:sz w:val="32"/>
          <w:szCs w:val="32"/>
          <w:highlight w:val="none"/>
          <w:u w:val="none"/>
        </w:rPr>
        <w:t>完善城市路网建设。</w:t>
      </w:r>
      <w:r>
        <w:rPr>
          <w:rFonts w:hint="default" w:ascii="Times New Roman" w:hAnsi="Times New Roman" w:eastAsia="仿宋_GB2312" w:cs="Times New Roman"/>
          <w:bCs/>
          <w:color w:val="000000"/>
          <w:kern w:val="0"/>
          <w:sz w:val="32"/>
          <w:szCs w:val="32"/>
          <w:highlight w:val="none"/>
          <w:u w:val="none"/>
        </w:rPr>
        <w:t>全面加强城市道路规划、建设、管理工作，统筹考虑市政基础设施建设，构建</w:t>
      </w:r>
      <w:r>
        <w:rPr>
          <w:rFonts w:hint="default" w:ascii="Times New Roman" w:hAnsi="Times New Roman" w:eastAsia="仿宋_GB2312" w:cs="Times New Roman"/>
          <w:color w:val="000000"/>
          <w:sz w:val="32"/>
          <w:szCs w:val="32"/>
          <w:highlight w:val="none"/>
          <w:u w:val="none"/>
        </w:rPr>
        <w:t>主城区“六纵八横”路网格局。实施城市道路更新工程，谋划复兴街新建及改造、保卫路南段延伸等工程。</w:t>
      </w:r>
      <w:r>
        <w:rPr>
          <w:rFonts w:hint="default" w:ascii="Times New Roman" w:hAnsi="Times New Roman" w:eastAsia="仿宋_GB2312" w:cs="Times New Roman"/>
          <w:color w:val="000000"/>
          <w:kern w:val="0"/>
          <w:sz w:val="32"/>
          <w:szCs w:val="32"/>
          <w:highlight w:val="none"/>
          <w:u w:val="none"/>
          <w:shd w:val="clear" w:color="auto" w:fill="FFFFFF"/>
        </w:rPr>
        <w:t>建设城市主干道和快速路，打通一批“断头路”，拓宽一批“瓶颈路”，改造一批“老街路”，提升道路通行能力。</w:t>
      </w:r>
      <w:r>
        <w:rPr>
          <w:rFonts w:hint="default" w:ascii="Times New Roman" w:hAnsi="Times New Roman" w:eastAsia="仿宋_GB2312" w:cs="Times New Roman"/>
          <w:color w:val="000000"/>
          <w:sz w:val="32"/>
          <w:szCs w:val="32"/>
          <w:highlight w:val="none"/>
          <w:u w:val="none"/>
        </w:rPr>
        <w:t>加快配套公共设施建设。坚持以新型城镇化建设为引领，积极推进清洁能源热源点建设，完成供热管网改造220公里，推动丰源生物质运营投产、供热发电。加强主城区排水防涝设施建设，完善地下排水管网，降低城区内涝风险。优化城区公厕布局点位，推进复兴街新建停车场工程，生活垃圾无害化处理率达到100%。城区日供水能力4万吨，10个非城关乡镇全部建成污水处理厂，农村生活污水得到有效处理。城市管理精细化、科学化、智能化水平达到全省一流水准。</w:t>
      </w:r>
    </w:p>
    <w:p w14:paraId="5BEA9A12">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全面推进棚户区和老旧小区改造。</w:t>
      </w:r>
      <w:r>
        <w:rPr>
          <w:rFonts w:hint="default" w:ascii="Times New Roman" w:hAnsi="Times New Roman" w:eastAsia="仿宋_GB2312" w:cs="Times New Roman"/>
          <w:color w:val="000000"/>
          <w:sz w:val="32"/>
          <w:szCs w:val="32"/>
          <w:highlight w:val="none"/>
          <w:u w:val="none"/>
        </w:rPr>
        <w:t>持续推进保障性住房建设和重点区域棚户区改造，加大征拆迁工作力度，做好棚户区回迁安置工作，稳妥推进产权证办理，补齐城市功能设施“欠账”。全面</w:t>
      </w:r>
      <w:r>
        <w:rPr>
          <w:rFonts w:hint="default" w:ascii="Times New Roman" w:hAnsi="Times New Roman" w:eastAsia="仿宋_GB2312" w:cs="Times New Roman"/>
          <w:color w:val="000000"/>
          <w:sz w:val="32"/>
          <w:szCs w:val="32"/>
          <w:highlight w:val="none"/>
          <w:u w:val="none"/>
          <w:shd w:val="clear" w:color="auto" w:fill="FFFFFF"/>
        </w:rPr>
        <w:t>理顺小区管理体制，提高专业化物业服务企业覆盖率和管理水平。</w:t>
      </w:r>
      <w:r>
        <w:rPr>
          <w:rFonts w:hint="default" w:ascii="Times New Roman" w:hAnsi="Times New Roman" w:eastAsia="仿宋_GB2312" w:cs="Times New Roman"/>
          <w:color w:val="000000"/>
          <w:sz w:val="32"/>
          <w:szCs w:val="32"/>
          <w:highlight w:val="none"/>
          <w:u w:val="none"/>
        </w:rPr>
        <w:t>养老、扶幼、教育设施得到更大完善，基础设施得到更大范围提升，建设小区应急设施和安全保障设施，实现小区5G全覆盖，达到小区管理智能化、安全化、信息化，现代化小区治理体系初步形成。到2025年，按照国家政策完成棚户区改造，老旧小区改造全部完成。</w:t>
      </w:r>
    </w:p>
    <w:p w14:paraId="473C8478">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推进园林绿化美化提档升级。</w:t>
      </w:r>
      <w:r>
        <w:rPr>
          <w:rFonts w:hint="default" w:ascii="Times New Roman" w:hAnsi="Times New Roman" w:eastAsia="仿宋_GB2312" w:cs="Times New Roman"/>
          <w:color w:val="000000"/>
          <w:sz w:val="32"/>
          <w:szCs w:val="32"/>
          <w:highlight w:val="none"/>
          <w:u w:val="none"/>
        </w:rPr>
        <w:t>加强城市绿化设计，优化园林设施布局，健全完善生态效益与景观效果兼顾的城市绿化体系，推动城市全方位增值扩绿、园林景观提档升级。实施园林增绿工程，规划建设湿地公园、体育公园，增加城区公共绿地面积，打造公园城市。实施道路扩绿工程，加强道路两侧增植增绿，采取乔、灌、花、草搭配结合，高、中、低层次分明的绿化空间模式，形成一路一特色，一街一景观，打造城市景观廊道。实施小区覆绿工程，推进新建小区绿化配套、老旧小区绿化改造，利用市政建设形成的空白地、边角地，建设“口袋公园”“转角公园”，打造绿色宜居家园。</w:t>
      </w:r>
      <w:r>
        <w:rPr>
          <w:rFonts w:hint="default" w:ascii="Times New Roman" w:hAnsi="Times New Roman" w:eastAsia="仿宋_GB2312" w:cs="Times New Roman"/>
          <w:bCs/>
          <w:color w:val="000000"/>
          <w:kern w:val="0"/>
          <w:sz w:val="32"/>
          <w:szCs w:val="32"/>
          <w:highlight w:val="none"/>
          <w:u w:val="none"/>
          <w:shd w:val="clear" w:color="auto" w:fill="FFFFFF"/>
        </w:rPr>
        <w:t>优化出城口环境布局，</w:t>
      </w:r>
      <w:r>
        <w:rPr>
          <w:rFonts w:hint="default" w:ascii="Times New Roman" w:hAnsi="Times New Roman" w:eastAsia="仿宋_GB2312" w:cs="Times New Roman"/>
          <w:color w:val="000000"/>
          <w:sz w:val="32"/>
          <w:szCs w:val="32"/>
          <w:highlight w:val="none"/>
          <w:u w:val="none"/>
        </w:rPr>
        <w:t>实施景观提档工程，加快推进幸福湿地建设，八虎力河沿岸景观塑造，森林公园沿线、桦西湖公园提档升级，打造东部绿色园林、南部生态休闲、西部花海游园、北部现代工业滨水四大特色景观带</w:t>
      </w:r>
      <w:r>
        <w:rPr>
          <w:rFonts w:hint="default" w:ascii="Times New Roman" w:hAnsi="Times New Roman" w:eastAsia="仿宋_GB2312" w:cs="Times New Roman"/>
          <w:color w:val="000000"/>
          <w:kern w:val="0"/>
          <w:sz w:val="32"/>
          <w:szCs w:val="32"/>
          <w:highlight w:val="none"/>
          <w:u w:val="none"/>
          <w:shd w:val="clear" w:color="auto" w:fill="FFFFFF"/>
        </w:rPr>
        <w:t>，全面塑造美好桦南城市门户新形象</w:t>
      </w:r>
      <w:r>
        <w:rPr>
          <w:rFonts w:hint="default" w:ascii="Times New Roman" w:hAnsi="Times New Roman" w:eastAsia="仿宋_GB2312" w:cs="Times New Roman"/>
          <w:color w:val="000000"/>
          <w:sz w:val="32"/>
          <w:szCs w:val="32"/>
          <w:highlight w:val="none"/>
          <w:u w:val="none"/>
        </w:rPr>
        <w:t>。到2025年，建城区绿化覆盖率达到39%以上，公园服务半径达到80%以上，创建“国家园林县城”。</w:t>
      </w:r>
    </w:p>
    <w:tbl>
      <w:tblPr>
        <w:tblStyle w:val="17"/>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846"/>
        <w:gridCol w:w="6923"/>
      </w:tblGrid>
      <w:tr w14:paraId="2C135E6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8769" w:type="dxa"/>
            <w:gridSpan w:val="2"/>
            <w:tcBorders>
              <w:top w:val="nil"/>
            </w:tcBorders>
            <w:noWrap w:val="0"/>
            <w:tcMar>
              <w:top w:w="0" w:type="dxa"/>
              <w:left w:w="108" w:type="dxa"/>
              <w:bottom w:w="0" w:type="dxa"/>
              <w:right w:w="108" w:type="dxa"/>
            </w:tcMar>
            <w:vAlign w:val="center"/>
          </w:tcPr>
          <w:p w14:paraId="51E46017">
            <w:pPr>
              <w:widowControl/>
              <w:jc w:val="center"/>
              <w:rPr>
                <w:rFonts w:hint="default" w:ascii="Times New Roman" w:hAnsi="Times New Roman" w:eastAsia="黑体" w:cs="Times New Roman"/>
                <w:color w:val="000000"/>
                <w:kern w:val="0"/>
                <w:sz w:val="28"/>
                <w:szCs w:val="28"/>
                <w:highlight w:val="none"/>
                <w:u w:val="none"/>
              </w:rPr>
            </w:pPr>
            <w:r>
              <w:rPr>
                <w:rFonts w:hint="default" w:ascii="Times New Roman" w:hAnsi="Times New Roman" w:eastAsia="黑体" w:cs="Times New Roman"/>
                <w:color w:val="000000"/>
                <w:sz w:val="28"/>
                <w:szCs w:val="28"/>
                <w:highlight w:val="none"/>
                <w:u w:val="none"/>
              </w:rPr>
              <w:t>专栏11：城市基础设施建设项目</w:t>
            </w:r>
          </w:p>
        </w:tc>
      </w:tr>
      <w:tr w14:paraId="09B5D2D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1846" w:type="dxa"/>
            <w:noWrap w:val="0"/>
            <w:tcMar>
              <w:top w:w="0" w:type="dxa"/>
              <w:left w:w="108" w:type="dxa"/>
              <w:bottom w:w="0" w:type="dxa"/>
              <w:right w:w="108" w:type="dxa"/>
            </w:tcMar>
            <w:vAlign w:val="center"/>
          </w:tcPr>
          <w:p w14:paraId="704A5B1D">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任务</w:t>
            </w:r>
          </w:p>
        </w:tc>
        <w:tc>
          <w:tcPr>
            <w:tcW w:w="6923" w:type="dxa"/>
            <w:noWrap w:val="0"/>
            <w:tcMar>
              <w:top w:w="0" w:type="dxa"/>
              <w:left w:w="108" w:type="dxa"/>
              <w:bottom w:w="0" w:type="dxa"/>
              <w:right w:w="108" w:type="dxa"/>
            </w:tcMar>
            <w:vAlign w:val="center"/>
          </w:tcPr>
          <w:p w14:paraId="5CF314CE">
            <w:pPr>
              <w:widowControl/>
              <w:jc w:val="center"/>
              <w:rPr>
                <w:rFonts w:hint="default" w:ascii="Times New Roman" w:hAnsi="Times New Roman" w:cs="Times New Roman"/>
                <w:color w:val="000000"/>
                <w:kern w:val="0"/>
                <w:sz w:val="24"/>
                <w:highlight w:val="none"/>
                <w:u w:val="none"/>
              </w:rPr>
            </w:pPr>
            <w:r>
              <w:rPr>
                <w:rFonts w:hint="default" w:ascii="Times New Roman" w:hAnsi="Times New Roman" w:cs="Times New Roman"/>
                <w:b/>
                <w:bCs/>
                <w:color w:val="000000"/>
                <w:kern w:val="0"/>
                <w:sz w:val="24"/>
                <w:highlight w:val="none"/>
                <w:u w:val="none"/>
              </w:rPr>
              <w:t>建设内容</w:t>
            </w:r>
          </w:p>
        </w:tc>
      </w:tr>
      <w:tr w14:paraId="7679452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14" w:hRule="atLeast"/>
          <w:jc w:val="center"/>
        </w:trPr>
        <w:tc>
          <w:tcPr>
            <w:tcW w:w="1846" w:type="dxa"/>
            <w:noWrap w:val="0"/>
            <w:tcMar>
              <w:top w:w="0" w:type="dxa"/>
              <w:left w:w="108" w:type="dxa"/>
              <w:bottom w:w="0" w:type="dxa"/>
              <w:right w:w="108" w:type="dxa"/>
            </w:tcMar>
            <w:vAlign w:val="center"/>
          </w:tcPr>
          <w:p w14:paraId="485C7C48">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道路工程</w:t>
            </w:r>
          </w:p>
        </w:tc>
        <w:tc>
          <w:tcPr>
            <w:tcW w:w="6923" w:type="dxa"/>
            <w:noWrap w:val="0"/>
            <w:tcMar>
              <w:top w:w="0" w:type="dxa"/>
              <w:left w:w="108" w:type="dxa"/>
              <w:bottom w:w="0" w:type="dxa"/>
              <w:right w:w="108" w:type="dxa"/>
            </w:tcMar>
            <w:vAlign w:val="center"/>
          </w:tcPr>
          <w:p w14:paraId="2FC6A36A">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1.新建新兴街延伸及配套停车场、商业配套基础设施项目，2.新建复兴街停车场及配套道路、商业配套基础设施项目，3.外环路改造项目，4.新建桦森路林业局段道路，5.红旗路改造工程，6、正北街改造工程，7.文卫路南段延伸工程，8.体育路改造工程，9.秀北街向西延伸</w:t>
            </w:r>
            <w:r>
              <w:rPr>
                <w:rFonts w:hint="eastAsia" w:ascii="Times New Roman" w:hAnsi="Times New Roman" w:cs="Times New Roman"/>
                <w:color w:val="000000"/>
                <w:kern w:val="0"/>
                <w:sz w:val="24"/>
                <w:highlight w:val="none"/>
                <w:u w:val="none"/>
                <w:lang w:val="en-US" w:eastAsia="zh-CN"/>
              </w:rPr>
              <w:t>、秀北街公共停车场及附属工程建设项目</w:t>
            </w:r>
            <w:r>
              <w:rPr>
                <w:rFonts w:hint="default" w:ascii="Times New Roman" w:hAnsi="Times New Roman" w:cs="Times New Roman"/>
                <w:color w:val="000000"/>
                <w:kern w:val="0"/>
                <w:sz w:val="24"/>
                <w:highlight w:val="none"/>
                <w:u w:val="none"/>
              </w:rPr>
              <w:t>，10.沿河街向东延伸，11.铁西路向北延伸，12.环城路林业局段新建，13.图佳线K503+471道口平改立工程，</w:t>
            </w:r>
            <w:r>
              <w:rPr>
                <w:rFonts w:hint="eastAsia" w:cs="Times New Roman"/>
                <w:color w:val="000000"/>
                <w:kern w:val="0"/>
                <w:sz w:val="24"/>
                <w:highlight w:val="none"/>
                <w:u w:val="none"/>
                <w:lang w:val="en-US" w:eastAsia="zh-CN"/>
              </w:rPr>
              <w:t>14.</w:t>
            </w:r>
            <w:r>
              <w:rPr>
                <w:rFonts w:hint="default" w:ascii="Times New Roman" w:hAnsi="Times New Roman" w:cs="Times New Roman"/>
                <w:color w:val="000000"/>
                <w:kern w:val="0"/>
                <w:sz w:val="24"/>
                <w:highlight w:val="none"/>
                <w:u w:val="none"/>
              </w:rPr>
              <w:t>振兴大街道路停车场及配套附属设施建设项目</w:t>
            </w:r>
            <w:r>
              <w:rPr>
                <w:rFonts w:hint="eastAsia" w:cs="Times New Roman"/>
                <w:color w:val="000000"/>
                <w:kern w:val="0"/>
                <w:sz w:val="24"/>
                <w:highlight w:val="none"/>
                <w:u w:val="none"/>
                <w:lang w:eastAsia="zh-CN"/>
              </w:rPr>
              <w:t>，</w:t>
            </w:r>
            <w:r>
              <w:rPr>
                <w:rFonts w:hint="default" w:ascii="Times New Roman" w:hAnsi="Times New Roman" w:cs="Times New Roman"/>
                <w:color w:val="000000"/>
                <w:kern w:val="0"/>
                <w:sz w:val="24"/>
                <w:highlight w:val="none"/>
                <w:u w:val="none"/>
              </w:rPr>
              <w:t>1</w:t>
            </w:r>
            <w:r>
              <w:rPr>
                <w:rFonts w:hint="eastAsia" w:cs="Times New Roman"/>
                <w:color w:val="000000"/>
                <w:kern w:val="0"/>
                <w:sz w:val="24"/>
                <w:highlight w:val="none"/>
                <w:u w:val="none"/>
                <w:lang w:val="en-US" w:eastAsia="zh-CN"/>
              </w:rPr>
              <w:t>5</w:t>
            </w:r>
            <w:r>
              <w:rPr>
                <w:rFonts w:hint="default" w:ascii="Times New Roman" w:hAnsi="Times New Roman" w:cs="Times New Roman"/>
                <w:color w:val="000000"/>
                <w:kern w:val="0"/>
                <w:sz w:val="24"/>
                <w:highlight w:val="none"/>
                <w:u w:val="none"/>
              </w:rPr>
              <w:t>.新建城区停车场6个。</w:t>
            </w:r>
          </w:p>
        </w:tc>
      </w:tr>
      <w:tr w14:paraId="3FB191F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846" w:type="dxa"/>
            <w:noWrap w:val="0"/>
            <w:tcMar>
              <w:top w:w="0" w:type="dxa"/>
              <w:left w:w="108" w:type="dxa"/>
              <w:bottom w:w="0" w:type="dxa"/>
              <w:right w:w="108" w:type="dxa"/>
            </w:tcMar>
            <w:vAlign w:val="center"/>
          </w:tcPr>
          <w:p w14:paraId="18FB9AB9">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电力工程</w:t>
            </w:r>
          </w:p>
        </w:tc>
        <w:tc>
          <w:tcPr>
            <w:tcW w:w="6923" w:type="dxa"/>
            <w:noWrap w:val="0"/>
            <w:tcMar>
              <w:top w:w="0" w:type="dxa"/>
              <w:left w:w="108" w:type="dxa"/>
              <w:bottom w:w="0" w:type="dxa"/>
              <w:right w:w="108" w:type="dxa"/>
            </w:tcMar>
            <w:vAlign w:val="center"/>
          </w:tcPr>
          <w:p w14:paraId="71AECB0A">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保卫路、健康路电力下迁工程。</w:t>
            </w:r>
          </w:p>
        </w:tc>
      </w:tr>
      <w:tr w14:paraId="6755F0E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846" w:type="dxa"/>
            <w:noWrap w:val="0"/>
            <w:tcMar>
              <w:top w:w="0" w:type="dxa"/>
              <w:left w:w="108" w:type="dxa"/>
              <w:bottom w:w="0" w:type="dxa"/>
              <w:right w:w="108" w:type="dxa"/>
            </w:tcMar>
            <w:vAlign w:val="center"/>
          </w:tcPr>
          <w:p w14:paraId="6B1AD6C7">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生活垃圾处理</w:t>
            </w:r>
          </w:p>
        </w:tc>
        <w:tc>
          <w:tcPr>
            <w:tcW w:w="6923" w:type="dxa"/>
            <w:noWrap w:val="0"/>
            <w:tcMar>
              <w:top w:w="0" w:type="dxa"/>
              <w:left w:w="108" w:type="dxa"/>
              <w:bottom w:w="0" w:type="dxa"/>
              <w:right w:w="108" w:type="dxa"/>
            </w:tcMar>
            <w:vAlign w:val="center"/>
          </w:tcPr>
          <w:p w14:paraId="12A337D8">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300吨/日垃圾、污泥焚烧处理发电（一期）项目。桦南县城镇生活垃圾分类及收转运项目。</w:t>
            </w:r>
          </w:p>
        </w:tc>
      </w:tr>
      <w:tr w14:paraId="7BF52A9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846" w:type="dxa"/>
            <w:noWrap w:val="0"/>
            <w:tcMar>
              <w:top w:w="0" w:type="dxa"/>
              <w:left w:w="108" w:type="dxa"/>
              <w:bottom w:w="0" w:type="dxa"/>
              <w:right w:w="108" w:type="dxa"/>
            </w:tcMar>
            <w:vAlign w:val="center"/>
          </w:tcPr>
          <w:p w14:paraId="1FE18DE4">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绿化工程</w:t>
            </w:r>
          </w:p>
        </w:tc>
        <w:tc>
          <w:tcPr>
            <w:tcW w:w="6923" w:type="dxa"/>
            <w:noWrap w:val="0"/>
            <w:tcMar>
              <w:top w:w="0" w:type="dxa"/>
              <w:left w:w="108" w:type="dxa"/>
              <w:bottom w:w="0" w:type="dxa"/>
              <w:right w:w="108" w:type="dxa"/>
            </w:tcMar>
            <w:vAlign w:val="center"/>
          </w:tcPr>
          <w:p w14:paraId="32C4723B">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新建小型公园游园12个、10万平方米体育公园1个、40万平方米湿地公园1个，</w:t>
            </w:r>
            <w:r>
              <w:rPr>
                <w:rFonts w:hint="eastAsia" w:ascii="Times New Roman" w:hAnsi="Times New Roman" w:cs="Times New Roman"/>
                <w:color w:val="000000"/>
                <w:kern w:val="0"/>
                <w:sz w:val="24"/>
                <w:highlight w:val="none"/>
                <w:u w:val="none"/>
                <w:lang w:val="en-US" w:eastAsia="zh-CN"/>
              </w:rPr>
              <w:t>配套建设供水二期、体育公园、秀北街（振兴大街）等项目周边绿化工程，</w:t>
            </w:r>
            <w:r>
              <w:rPr>
                <w:rFonts w:hint="default" w:ascii="Times New Roman" w:hAnsi="Times New Roman" w:cs="Times New Roman"/>
                <w:color w:val="000000"/>
                <w:kern w:val="0"/>
                <w:sz w:val="24"/>
                <w:highlight w:val="none"/>
                <w:u w:val="none"/>
              </w:rPr>
              <w:t>着力打造生态效益与景观效果兼顾的城市绿化体系，争创国家园林县城。</w:t>
            </w:r>
          </w:p>
        </w:tc>
      </w:tr>
      <w:tr w14:paraId="2124A6C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1846" w:type="dxa"/>
            <w:noWrap w:val="0"/>
            <w:tcMar>
              <w:top w:w="0" w:type="dxa"/>
              <w:left w:w="108" w:type="dxa"/>
              <w:bottom w:w="0" w:type="dxa"/>
              <w:right w:w="108" w:type="dxa"/>
            </w:tcMar>
            <w:vAlign w:val="center"/>
          </w:tcPr>
          <w:p w14:paraId="5265B5EC">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公共事业</w:t>
            </w:r>
          </w:p>
        </w:tc>
        <w:tc>
          <w:tcPr>
            <w:tcW w:w="6923" w:type="dxa"/>
            <w:noWrap w:val="0"/>
            <w:tcMar>
              <w:top w:w="0" w:type="dxa"/>
              <w:left w:w="108" w:type="dxa"/>
              <w:bottom w:w="0" w:type="dxa"/>
              <w:right w:w="108" w:type="dxa"/>
            </w:tcMar>
            <w:vAlign w:val="center"/>
          </w:tcPr>
          <w:p w14:paraId="62680029">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启动中水回用工程，完成供水改扩建二期工程。完成供热管网改造220公里，推动“智慧供热”系统全覆盖。推动丰源生物质运营投产、供热发电。</w:t>
            </w:r>
          </w:p>
        </w:tc>
      </w:tr>
      <w:tr w14:paraId="358A514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1846" w:type="dxa"/>
            <w:noWrap w:val="0"/>
            <w:tcMar>
              <w:top w:w="0" w:type="dxa"/>
              <w:left w:w="108" w:type="dxa"/>
              <w:bottom w:w="0" w:type="dxa"/>
              <w:right w:w="108" w:type="dxa"/>
            </w:tcMar>
            <w:vAlign w:val="center"/>
          </w:tcPr>
          <w:p w14:paraId="0E1DDDE8">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排水防涝</w:t>
            </w:r>
          </w:p>
        </w:tc>
        <w:tc>
          <w:tcPr>
            <w:tcW w:w="6923" w:type="dxa"/>
            <w:noWrap w:val="0"/>
            <w:tcMar>
              <w:top w:w="0" w:type="dxa"/>
              <w:left w:w="108" w:type="dxa"/>
              <w:bottom w:w="0" w:type="dxa"/>
              <w:right w:w="108" w:type="dxa"/>
            </w:tcMar>
            <w:vAlign w:val="center"/>
          </w:tcPr>
          <w:p w14:paraId="6571FF15">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完成主城区排水防涝设施8个项目建设，推进雨污分流，完善地下排水管网，降低城区内涝风险。加快推进地下综合管廊建设。</w:t>
            </w:r>
          </w:p>
        </w:tc>
      </w:tr>
      <w:tr w14:paraId="381767B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1846" w:type="dxa"/>
            <w:noWrap w:val="0"/>
            <w:tcMar>
              <w:top w:w="0" w:type="dxa"/>
              <w:left w:w="108" w:type="dxa"/>
              <w:bottom w:w="0" w:type="dxa"/>
              <w:right w:w="108" w:type="dxa"/>
            </w:tcMar>
            <w:vAlign w:val="center"/>
          </w:tcPr>
          <w:p w14:paraId="51BD5DD4">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老旧小区改造</w:t>
            </w:r>
          </w:p>
        </w:tc>
        <w:tc>
          <w:tcPr>
            <w:tcW w:w="6923" w:type="dxa"/>
            <w:noWrap w:val="0"/>
            <w:tcMar>
              <w:top w:w="0" w:type="dxa"/>
              <w:left w:w="108" w:type="dxa"/>
              <w:bottom w:w="0" w:type="dxa"/>
              <w:right w:w="108" w:type="dxa"/>
            </w:tcMar>
            <w:vAlign w:val="center"/>
          </w:tcPr>
          <w:p w14:paraId="59CA1B63">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完成152个老旧小区改造任务。</w:t>
            </w:r>
          </w:p>
        </w:tc>
      </w:tr>
      <w:tr w14:paraId="4A899C9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846" w:type="dxa"/>
            <w:noWrap w:val="0"/>
            <w:tcMar>
              <w:top w:w="0" w:type="dxa"/>
              <w:left w:w="108" w:type="dxa"/>
              <w:bottom w:w="0" w:type="dxa"/>
              <w:right w:w="108" w:type="dxa"/>
            </w:tcMar>
            <w:vAlign w:val="center"/>
          </w:tcPr>
          <w:p w14:paraId="40013BCD">
            <w:pPr>
              <w:widowControl/>
              <w:jc w:val="left"/>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住房保障</w:t>
            </w:r>
          </w:p>
        </w:tc>
        <w:tc>
          <w:tcPr>
            <w:tcW w:w="6923" w:type="dxa"/>
            <w:noWrap w:val="0"/>
            <w:tcMar>
              <w:top w:w="0" w:type="dxa"/>
              <w:left w:w="108" w:type="dxa"/>
              <w:bottom w:w="0" w:type="dxa"/>
              <w:right w:w="108" w:type="dxa"/>
            </w:tcMar>
            <w:vAlign w:val="center"/>
          </w:tcPr>
          <w:p w14:paraId="23D434CB">
            <w:pPr>
              <w:widowControl/>
              <w:jc w:val="left"/>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全面完成城市内棚户区2021年南苑新城、瑞景名苑项目。2022年印象老街三期项目建设。2023年整合零散地块项目建设。</w:t>
            </w:r>
            <w:r>
              <w:rPr>
                <w:rFonts w:hint="eastAsia" w:ascii="Times New Roman" w:hAnsi="Times New Roman" w:cs="Times New Roman"/>
                <w:color w:val="000000"/>
                <w:kern w:val="0"/>
                <w:sz w:val="24"/>
                <w:highlight w:val="none"/>
                <w:u w:val="none"/>
                <w:lang w:val="en-US" w:eastAsia="zh-CN"/>
              </w:rPr>
              <w:t>完成</w:t>
            </w:r>
            <w:r>
              <w:rPr>
                <w:rFonts w:hint="default" w:ascii="Times New Roman" w:hAnsi="Times New Roman" w:cs="Times New Roman"/>
                <w:color w:val="000000"/>
                <w:kern w:val="0"/>
                <w:sz w:val="24"/>
                <w:highlight w:val="none"/>
                <w:u w:val="none"/>
                <w:lang w:val="en-US" w:eastAsia="zh-CN"/>
              </w:rPr>
              <w:t>柳毛河镇怡景昕悦府宅基地改革建设项目</w:t>
            </w:r>
            <w:r>
              <w:rPr>
                <w:rFonts w:hint="eastAsia" w:ascii="Times New Roman" w:hAnsi="Times New Roman" w:cs="Times New Roman"/>
                <w:color w:val="000000"/>
                <w:kern w:val="0"/>
                <w:sz w:val="24"/>
                <w:highlight w:val="none"/>
                <w:u w:val="none"/>
                <w:lang w:val="en-US" w:eastAsia="zh-CN"/>
              </w:rPr>
              <w:t>建设。</w:t>
            </w:r>
          </w:p>
        </w:tc>
      </w:tr>
    </w:tbl>
    <w:p w14:paraId="5070BB64">
      <w:pPr>
        <w:pStyle w:val="13"/>
        <w:tabs>
          <w:tab w:val="right" w:leader="dot" w:pos="8296"/>
        </w:tabs>
        <w:spacing w:line="600" w:lineRule="exact"/>
        <w:ind w:left="0" w:leftChars="0"/>
        <w:jc w:val="left"/>
        <w:outlineLvl w:val="0"/>
        <w:rPr>
          <w:rFonts w:hint="default" w:ascii="Times New Roman" w:hAnsi="Times New Roman" w:eastAsia="黑体" w:cs="Times New Roman"/>
          <w:bCs/>
          <w:color w:val="000000"/>
          <w:sz w:val="32"/>
          <w:szCs w:val="32"/>
          <w:highlight w:val="none"/>
          <w:u w:val="none"/>
        </w:rPr>
      </w:pPr>
      <w:bookmarkStart w:id="58" w:name="_Toc14964"/>
      <w:bookmarkStart w:id="59" w:name="_Toc8355"/>
    </w:p>
    <w:p w14:paraId="6B9C11BE">
      <w:pPr>
        <w:rPr>
          <w:rFonts w:hint="default"/>
        </w:rPr>
      </w:pPr>
    </w:p>
    <w:p w14:paraId="282BBF5F">
      <w:pPr>
        <w:pStyle w:val="3"/>
        <w:rPr>
          <w:rFonts w:hint="default" w:ascii="Times New Roman" w:hAnsi="Times New Roman" w:cs="Times New Roman"/>
          <w:b/>
          <w:color w:val="000000"/>
          <w:highlight w:val="none"/>
          <w:u w:val="none"/>
        </w:rPr>
      </w:pPr>
      <w:bookmarkStart w:id="60" w:name="_Toc61268202"/>
      <w:r>
        <w:rPr>
          <w:rFonts w:hint="default" w:ascii="Times New Roman" w:hAnsi="Times New Roman" w:cs="Times New Roman"/>
          <w:b/>
          <w:color w:val="000000"/>
          <w:highlight w:val="none"/>
          <w:u w:val="none"/>
        </w:rPr>
        <w:t>第七章  深化改革创新，全面激发市场主体活力</w:t>
      </w:r>
      <w:bookmarkEnd w:id="58"/>
      <w:bookmarkEnd w:id="59"/>
      <w:bookmarkEnd w:id="60"/>
    </w:p>
    <w:p w14:paraId="1F6874B0">
      <w:pPr>
        <w:spacing w:line="600" w:lineRule="exact"/>
        <w:ind w:firstLine="640" w:firstLineChars="200"/>
        <w:rPr>
          <w:rFonts w:hint="default" w:ascii="Times New Roman" w:hAnsi="Times New Roman" w:eastAsia="仿宋_GB2312" w:cs="Times New Roman"/>
          <w:color w:val="000000"/>
          <w:sz w:val="32"/>
          <w:szCs w:val="32"/>
          <w:highlight w:val="none"/>
          <w:u w:val="none"/>
        </w:rPr>
      </w:pPr>
    </w:p>
    <w:p w14:paraId="5EE5BC6A">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发挥改革的突破和先导作用，持续深化重点改革，增强改革系统性、整体性、协同性，围绕打造市场化法治化国际化营商环境，更好发挥政府作用，推动有效市场和有为政府更好结合，全面深化经济社会各领域改革，破除各种体制机制障碍，不断提升科技创新综合水平，鼓励大众创业、万众创新，全力打造全省营商环境标杆城市。</w:t>
      </w:r>
    </w:p>
    <w:p w14:paraId="63B711DF">
      <w:pPr>
        <w:pStyle w:val="4"/>
        <w:rPr>
          <w:rFonts w:hint="default" w:ascii="Times New Roman" w:hAnsi="Times New Roman" w:cs="Times New Roman"/>
          <w:color w:val="000000"/>
          <w:highlight w:val="none"/>
          <w:u w:val="none"/>
        </w:rPr>
      </w:pPr>
      <w:bookmarkStart w:id="61" w:name="_Toc61268203"/>
      <w:r>
        <w:rPr>
          <w:rFonts w:hint="default" w:ascii="Times New Roman" w:hAnsi="Times New Roman" w:cs="Times New Roman"/>
          <w:color w:val="000000"/>
          <w:highlight w:val="none"/>
          <w:u w:val="none"/>
        </w:rPr>
        <w:t>第一节  全面优化营商环境</w:t>
      </w:r>
      <w:bookmarkEnd w:id="61"/>
    </w:p>
    <w:p w14:paraId="3CB4F118">
      <w:pPr>
        <w:spacing w:line="600" w:lineRule="exact"/>
        <w:ind w:firstLine="643" w:firstLineChars="200"/>
        <w:rPr>
          <w:rFonts w:hint="default" w:ascii="Times New Roman" w:hAnsi="Times New Roman" w:eastAsia="仿宋_GB2312" w:cs="Times New Roman"/>
          <w:b/>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持续优化政策环境。</w:t>
      </w:r>
      <w:r>
        <w:rPr>
          <w:rFonts w:hint="default" w:ascii="Times New Roman" w:hAnsi="Times New Roman" w:eastAsia="仿宋_GB2312" w:cs="Times New Roman"/>
          <w:color w:val="000000"/>
          <w:sz w:val="32"/>
          <w:szCs w:val="32"/>
          <w:highlight w:val="none"/>
          <w:u w:val="none"/>
        </w:rPr>
        <w:t>建立健全政策评估制度，推进政策评估工作制度化、规范化。推行惠企政策“免申即享”，实现符合条件的企业免予申报、直接享受政策。</w:t>
      </w:r>
      <w:r>
        <w:rPr>
          <w:rFonts w:hint="default" w:ascii="Times New Roman" w:hAnsi="Times New Roman" w:eastAsia="仿宋_GB2312" w:cs="Times New Roman"/>
          <w:bCs/>
          <w:color w:val="000000"/>
          <w:sz w:val="32"/>
          <w:szCs w:val="32"/>
          <w:highlight w:val="none"/>
          <w:u w:val="none"/>
        </w:rPr>
        <w:t>加强对《优化营商环境条例》等政策法规的宣传，</w:t>
      </w:r>
      <w:r>
        <w:rPr>
          <w:rFonts w:hint="default" w:ascii="Times New Roman" w:hAnsi="Times New Roman" w:eastAsia="仿宋_GB2312" w:cs="Times New Roman"/>
          <w:color w:val="000000"/>
          <w:sz w:val="32"/>
          <w:szCs w:val="32"/>
          <w:highlight w:val="none"/>
          <w:u w:val="none"/>
        </w:rPr>
        <w:t>健全整顿作风优化营商环境长效机制，对标先进地区和国际标准，加快推进“数字政府”“诚信政府”建设，</w:t>
      </w:r>
      <w:r>
        <w:rPr>
          <w:rFonts w:hint="default" w:ascii="Times New Roman" w:hAnsi="Times New Roman" w:eastAsia="仿宋_GB2312" w:cs="Times New Roman"/>
          <w:bCs/>
          <w:color w:val="000000"/>
          <w:sz w:val="32"/>
          <w:szCs w:val="32"/>
          <w:highlight w:val="none"/>
          <w:u w:val="none"/>
        </w:rPr>
        <w:t>提高政务服务网上办、掌上办、移动办、就近办的知晓率和使用率，使广大党员干部不断增强革新意识、服务意识、自我突破意识，主动优环境、强服务、促发展。</w:t>
      </w:r>
    </w:p>
    <w:p w14:paraId="00CAF032">
      <w:pPr>
        <w:spacing w:line="600" w:lineRule="exact"/>
        <w:ind w:firstLine="643" w:firstLineChars="200"/>
        <w:rPr>
          <w:rFonts w:hint="default" w:ascii="Times New Roman" w:hAnsi="Times New Roman" w:eastAsia="仿宋_GB2312" w:cs="Times New Roman"/>
          <w:b/>
          <w:bCs/>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持续优化服务环境。</w:t>
      </w:r>
      <w:r>
        <w:rPr>
          <w:rFonts w:hint="default" w:ascii="Times New Roman" w:hAnsi="Times New Roman" w:eastAsia="仿宋_GB2312" w:cs="Times New Roman"/>
          <w:bCs/>
          <w:color w:val="000000"/>
          <w:sz w:val="32"/>
          <w:szCs w:val="32"/>
          <w:highlight w:val="none"/>
          <w:u w:val="none"/>
        </w:rPr>
        <w:t>深化“放管服”改革，提高政务服务智能化、规范化、法制化、便利化水平。加快推动县乡政务服务大厅设施设备配置和服务人员配备标准。逐步实现所有政务服务事项在综合窗口无差别受理，实现92%以上的事项网上办理。将高频事项办理向乡（镇）、社区等服务网点延伸，探索自助服务和“24小时不打烊”服务、“大篷车”流动服务，积极打造指尖上、家门口、县乡村一体化的政务服务网络。</w:t>
      </w:r>
    </w:p>
    <w:p w14:paraId="782D3672">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持续优化市场环境。</w:t>
      </w:r>
      <w:r>
        <w:rPr>
          <w:rFonts w:hint="default" w:ascii="Times New Roman" w:hAnsi="Times New Roman" w:eastAsia="仿宋_GB2312" w:cs="Times New Roman"/>
          <w:color w:val="000000"/>
          <w:sz w:val="32"/>
          <w:szCs w:val="32"/>
          <w:highlight w:val="none"/>
          <w:u w:val="none"/>
        </w:rPr>
        <w:t>紧紧围绕简政放权、放管结合、优化服务，深入落实“告知承诺制”，进一步厘清政府与市场关系，持续深化商事制度改革、审批制度改革，精简涉企证照，加强事中事后监管。创新政府管理方式，大力推进“照后减证”，通过实施审批直接取消、审批改备案、告知承诺、优化服务四种方式，加快推进许可审批事项改革，实现“证照分离”改革再推进。</w:t>
      </w:r>
    </w:p>
    <w:p w14:paraId="71144DD4">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持续优化法治环境。</w:t>
      </w:r>
      <w:r>
        <w:rPr>
          <w:rFonts w:hint="default" w:ascii="Times New Roman" w:hAnsi="Times New Roman" w:eastAsia="仿宋_GB2312" w:cs="Times New Roman"/>
          <w:color w:val="000000"/>
          <w:sz w:val="32"/>
          <w:szCs w:val="32"/>
          <w:highlight w:val="none"/>
          <w:u w:val="none"/>
        </w:rPr>
        <w:t>着力打造柔性执法标尺，实行包容审慎监管，探索制定轻微违法行为不予行政处罚和一般违法行为减轻行政处罚事项清单，实行差异化执法监管，严禁行政执法“一刀切”。完善“接诉即办”机制，建立“一把手”负责制，压缩办理时限，强化考核奖惩，着力提升“接诉即办”时效。完善诉调衔接机制，建成覆盖县、乡、村三级的知识产权仲裁受理服务网络，全面保护企业合法权益。</w:t>
      </w:r>
    </w:p>
    <w:p w14:paraId="171C3DD8">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持续优化人文环境。</w:t>
      </w:r>
      <w:r>
        <w:rPr>
          <w:rFonts w:hint="default" w:ascii="Times New Roman" w:hAnsi="Times New Roman" w:eastAsia="仿宋_GB2312" w:cs="Times New Roman"/>
          <w:color w:val="000000"/>
          <w:sz w:val="32"/>
          <w:szCs w:val="32"/>
          <w:highlight w:val="none"/>
          <w:u w:val="none"/>
        </w:rPr>
        <w:t>深化亲清新型政商关系，建立规范化、机制化政企沟通渠道，营造“亲商”“安商”“富商”文化氛围。探索设立重点企业服务专员制度，全力打造不叫不到、随叫随到、服务周到“三到精神”品牌。实施企业家素质提升工程，培育理念新、眼界宽、善打拼、懂合作、会经营的优秀企业家队伍。</w:t>
      </w:r>
    </w:p>
    <w:p w14:paraId="171877C7">
      <w:pPr>
        <w:spacing w:line="600" w:lineRule="exact"/>
        <w:ind w:firstLine="643" w:firstLineChars="200"/>
        <w:rPr>
          <w:rFonts w:hint="default" w:ascii="Times New Roman" w:hAnsi="Times New Roman" w:eastAsia="仿宋_GB2312" w:cs="Times New Roman"/>
          <w:color w:val="000000"/>
          <w:highlight w:val="none"/>
          <w:u w:val="none"/>
        </w:rPr>
      </w:pPr>
      <w:r>
        <w:rPr>
          <w:rFonts w:hint="default" w:ascii="Times New Roman" w:hAnsi="Times New Roman" w:eastAsia="仿宋_GB2312" w:cs="Times New Roman"/>
          <w:b/>
          <w:color w:val="000000"/>
          <w:sz w:val="32"/>
          <w:szCs w:val="32"/>
          <w:highlight w:val="none"/>
          <w:u w:val="none"/>
        </w:rPr>
        <w:t>持续优化信用环境。</w:t>
      </w:r>
      <w:r>
        <w:rPr>
          <w:rFonts w:hint="default" w:ascii="Times New Roman" w:hAnsi="Times New Roman" w:eastAsia="仿宋_GB2312" w:cs="Times New Roman"/>
          <w:color w:val="000000"/>
          <w:sz w:val="32"/>
          <w:szCs w:val="32"/>
          <w:highlight w:val="none"/>
          <w:u w:val="none"/>
        </w:rPr>
        <w:t>加强涉企信用体系建设，探索建立企业经营异常名录管理制度，实施更加有力有效的事中事后监管，形成更加规范有序的法治市场；加强公民信用体系建设，构建“信用桦南”信息共享平台，实现与“信用佳木斯”“信用黑龙江”平台对接，</w:t>
      </w:r>
      <w:r>
        <w:rPr>
          <w:rFonts w:hint="default" w:ascii="Times New Roman" w:hAnsi="Times New Roman" w:eastAsia="仿宋_GB2312" w:cs="Times New Roman"/>
          <w:color w:val="000000"/>
          <w:kern w:val="0"/>
          <w:sz w:val="32"/>
          <w:szCs w:val="32"/>
          <w:highlight w:val="none"/>
          <w:u w:val="none"/>
        </w:rPr>
        <w:t>建立政务诚信、商务诚信、社会诚信和司法公信的协同长效机制，</w:t>
      </w:r>
      <w:r>
        <w:rPr>
          <w:rFonts w:hint="default" w:ascii="Times New Roman" w:hAnsi="Times New Roman" w:eastAsia="仿宋_GB2312" w:cs="Times New Roman"/>
          <w:color w:val="000000"/>
          <w:sz w:val="32"/>
          <w:szCs w:val="32"/>
          <w:highlight w:val="none"/>
          <w:u w:val="none"/>
        </w:rPr>
        <w:t>推动政务信用监管信息公开，让守信者“一路绿灯”，让失信者“处处受限”。</w:t>
      </w:r>
    </w:p>
    <w:p w14:paraId="21546A69">
      <w:pPr>
        <w:pStyle w:val="4"/>
        <w:rPr>
          <w:rFonts w:hint="default" w:ascii="Times New Roman" w:hAnsi="Times New Roman" w:cs="Times New Roman"/>
          <w:color w:val="000000"/>
          <w:highlight w:val="none"/>
          <w:u w:val="none"/>
        </w:rPr>
      </w:pPr>
      <w:bookmarkStart w:id="62" w:name="_Toc61268204"/>
      <w:r>
        <w:rPr>
          <w:rFonts w:hint="default" w:ascii="Times New Roman" w:hAnsi="Times New Roman" w:cs="Times New Roman"/>
          <w:color w:val="000000"/>
          <w:highlight w:val="none"/>
          <w:u w:val="none"/>
        </w:rPr>
        <w:t>第二节  坚持创新驱动</w:t>
      </w:r>
      <w:bookmarkEnd w:id="62"/>
    </w:p>
    <w:p w14:paraId="1D3F37C8">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打造开放便捷众创空间。</w:t>
      </w:r>
      <w:r>
        <w:rPr>
          <w:rFonts w:hint="default" w:ascii="Times New Roman" w:hAnsi="Times New Roman" w:eastAsia="仿宋_GB2312" w:cs="Times New Roman"/>
          <w:color w:val="000000"/>
          <w:sz w:val="32"/>
          <w:szCs w:val="32"/>
          <w:highlight w:val="none"/>
          <w:u w:val="none"/>
        </w:rPr>
        <w:t>建立众创空间联席会议制度，充分利用省级经济开发区、科技企业孵化器、中小企业创业基地等平台，构建一批低成本、便利化、全要素、开放式的众创空间。健全和完善众创空间企业入驻、退出及扶持机制，为广大创新创业者提供良好的工作空间、网络空间、社交空间和资源共享空间。</w:t>
      </w:r>
    </w:p>
    <w:p w14:paraId="366601C3">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提升企业技术创新能力。</w:t>
      </w:r>
      <w:r>
        <w:rPr>
          <w:rFonts w:hint="default" w:ascii="Times New Roman" w:hAnsi="Times New Roman" w:eastAsia="仿宋_GB2312" w:cs="Times New Roman"/>
          <w:color w:val="000000"/>
          <w:sz w:val="32"/>
          <w:szCs w:val="32"/>
          <w:highlight w:val="none"/>
          <w:u w:val="none"/>
        </w:rPr>
        <w:t>完善和落实激励企业自主创新相关政策，引导企业进一步加大研发投入，落实好各项科技政策，提高企业自主创新能力，培育建设数字车间、智能工厂。建设一批面向企业的技术创新服务平台，帮助企业开发产品、创新管理和开拓市场。落实全省高新技术企业倍增行动和科技小巨人企业培育计划，建立高新技术企业培育库和科技型中小企业培育库，加大幼稚产业、产品政策扶持保护，孵化和培育一批科技型创业团队和初创企业，不断在增量上实现新突破、在存量上实现新提升。鼓励企业与大学科研机构共建研究开发机构，支持企业研发能力建设。</w:t>
      </w:r>
    </w:p>
    <w:p w14:paraId="4E651E84">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完善科技创新体制机制。</w:t>
      </w:r>
      <w:r>
        <w:rPr>
          <w:rFonts w:hint="default" w:ascii="Times New Roman" w:hAnsi="Times New Roman" w:eastAsia="仿宋_GB2312" w:cs="Times New Roman"/>
          <w:color w:val="000000"/>
          <w:sz w:val="32"/>
          <w:szCs w:val="32"/>
          <w:highlight w:val="none"/>
          <w:u w:val="none"/>
        </w:rPr>
        <w:t>落实科技强国行动纲要，面向科技前沿、面向经济主战场、面向发展重大需求、面向人民生命健康，深入实施创新驱动发展战略，持续深化科技体制改革、科技领域“放管服”改革和知识产权领域改革，建立以企业为主体、市场为导向、产学研深度融合的技术创新体系，健全符合科研规律的科技管理体制和政策体系，让敢创新、会创新、能创新的人受到尊重。充分发挥市场在资源配置中的决定性作用，更好发挥政府作用，集中力量抓重大、抓尖端、抓基本，完善科技人才发现、培养、激励机制，实现科技资源优化配置。</w:t>
      </w:r>
    </w:p>
    <w:p w14:paraId="0D2BB795">
      <w:pPr>
        <w:widowControl/>
        <w:spacing w:line="600" w:lineRule="exact"/>
        <w:ind w:firstLine="643" w:firstLineChars="200"/>
        <w:jc w:val="left"/>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提高科技成果转化水平。</w:t>
      </w:r>
      <w:r>
        <w:rPr>
          <w:rFonts w:hint="default" w:ascii="Times New Roman" w:hAnsi="Times New Roman" w:eastAsia="仿宋_GB2312" w:cs="Times New Roman"/>
          <w:color w:val="000000"/>
          <w:sz w:val="32"/>
          <w:szCs w:val="32"/>
          <w:highlight w:val="none"/>
          <w:u w:val="none"/>
        </w:rPr>
        <w:t>牢固树立“经科教联动、产学研结合、校所企共赢”理念，推进落实“十大基地”建设，依托桦南县省级农业科技园区和经济开发区创业服务中心省级科技企业孵化器，推广新技术、新产品，支持高校、科研院所和龙头企业联合组建产业技术创新中心等新型研发机构，依托江南大学国家技术转移中心桦南分中心、桦南县谷物食品联合研究中心，提升功能性代餐粉行业科技含量，支持申报代餐粉生产标准；加快研发黑木耳多糖提取技术，建立水稻育种专家院士站，建设浆果加工生产基地，全力打造科技成果转化、高新项目孵化和创新人才培养基地。</w:t>
      </w:r>
    </w:p>
    <w:p w14:paraId="10E9AF1C">
      <w:pPr>
        <w:pStyle w:val="4"/>
        <w:rPr>
          <w:rFonts w:hint="default" w:ascii="Times New Roman" w:hAnsi="Times New Roman" w:cs="Times New Roman"/>
          <w:color w:val="000000"/>
          <w:highlight w:val="none"/>
          <w:u w:val="none"/>
        </w:rPr>
      </w:pPr>
      <w:bookmarkStart w:id="63" w:name="_Toc61268205"/>
      <w:r>
        <w:rPr>
          <w:rFonts w:hint="default" w:ascii="Times New Roman" w:hAnsi="Times New Roman" w:cs="Times New Roman"/>
          <w:color w:val="000000"/>
          <w:highlight w:val="none"/>
          <w:u w:val="none"/>
        </w:rPr>
        <w:t>第三节  完善人才发展体制机制</w:t>
      </w:r>
      <w:bookmarkEnd w:id="63"/>
    </w:p>
    <w:p w14:paraId="558DB449">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完善人才集聚机制。</w:t>
      </w:r>
      <w:r>
        <w:rPr>
          <w:rFonts w:hint="default" w:ascii="Times New Roman" w:hAnsi="Times New Roman" w:eastAsia="仿宋_GB2312" w:cs="Times New Roman"/>
          <w:color w:val="000000"/>
          <w:sz w:val="32"/>
          <w:szCs w:val="32"/>
          <w:highlight w:val="none"/>
          <w:u w:val="none"/>
        </w:rPr>
        <w:t>健全人才引进机制，完善人才引进政策，加大柔性人才引进力度，积极引导鼓励各类企事业单位通过挂职、兼职、担任顾问、首席专家等柔性方式集聚优秀人才。坚持高端引领原则，对急需紧缺的特殊人才，开辟专门渠道，实施特殊政策，实行精准引进，坚决破除“唯论文、唯职称、唯学历、唯奖项”。完善引进配套政策，落实关心关爱举措，帮助人才解决后顾之忧，着力构建一支专业精通、带动面广、实用性强的拔尖人才队伍。</w:t>
      </w:r>
    </w:p>
    <w:p w14:paraId="63A055E8">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创新人才引育模式。</w:t>
      </w:r>
      <w:r>
        <w:rPr>
          <w:rFonts w:hint="default" w:ascii="Times New Roman" w:hAnsi="Times New Roman" w:eastAsia="仿宋_GB2312" w:cs="Times New Roman"/>
          <w:color w:val="000000"/>
          <w:sz w:val="32"/>
          <w:szCs w:val="32"/>
          <w:highlight w:val="none"/>
          <w:u w:val="none"/>
        </w:rPr>
        <w:t>建立本土人才开发投入机制，将人才队伍建设资金纳入人才专项资金管理。建立高级研修和实践锻炼相结合的开放式培养体系，鼓励人才到基层一线、产业一线、服务一线壮筋骨、长才干。广泛宣传表彰爱岗敬业、对全县发展作出突出贡献的优秀人才，在全社会形成尊重人才、珍惜人才、爱护人才、善待人才的浓厚氛围。</w:t>
      </w:r>
    </w:p>
    <w:p w14:paraId="7091C35B">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优化人才服务环境。</w:t>
      </w:r>
      <w:r>
        <w:rPr>
          <w:rFonts w:hint="default" w:ascii="Times New Roman" w:hAnsi="Times New Roman" w:eastAsia="仿宋_GB2312" w:cs="Times New Roman"/>
          <w:color w:val="000000"/>
          <w:sz w:val="32"/>
          <w:szCs w:val="32"/>
          <w:highlight w:val="none"/>
          <w:u w:val="none"/>
        </w:rPr>
        <w:t>健全完善党委政府联系人才制度，实行“保姆式”“店小二式”服务，提高人才服务精准度。坚持当好人才工作的“后勤部长”，通过真金白银向人才投入、真心实意为人才服务，最大限度地释放各类人才活力和红利，推动人才凝神聚力、心无旁骛地干事创业，助力县域经济高质量发展。</w:t>
      </w:r>
    </w:p>
    <w:p w14:paraId="4B40042B">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激发人才潜在动能。</w:t>
      </w:r>
      <w:r>
        <w:rPr>
          <w:rFonts w:hint="default" w:ascii="Times New Roman" w:hAnsi="Times New Roman" w:eastAsia="仿宋_GB2312" w:cs="Times New Roman"/>
          <w:color w:val="000000"/>
          <w:sz w:val="32"/>
          <w:szCs w:val="32"/>
          <w:highlight w:val="none"/>
          <w:u w:val="none"/>
        </w:rPr>
        <w:t>严格落实人才激励政策，健全以创新能力、质量、实效、贡献为导向的科技人才评价体系，综合运用荣誉激励、物质奖励、政策鼓励等手段，大力弘扬科学家精神和工匠精神，打造高水平创新人才队伍。倡导百家争鸣的学术研讨氛围，建立健全鼓励创新、宽容失败的容错纠错机制，推动形成崇尚创新创业、勇于创新创业、激励创新创业的价值导向和文化氛围。</w:t>
      </w:r>
    </w:p>
    <w:p w14:paraId="10D56708">
      <w:pPr>
        <w:pStyle w:val="4"/>
        <w:rPr>
          <w:rFonts w:hint="default" w:ascii="Times New Roman" w:hAnsi="Times New Roman" w:cs="Times New Roman"/>
          <w:color w:val="000000"/>
          <w:highlight w:val="none"/>
          <w:u w:val="none"/>
        </w:rPr>
      </w:pPr>
      <w:bookmarkStart w:id="64" w:name="_Toc61268206"/>
      <w:r>
        <w:rPr>
          <w:rFonts w:hint="default" w:ascii="Times New Roman" w:hAnsi="Times New Roman" w:cs="Times New Roman"/>
          <w:color w:val="000000"/>
          <w:highlight w:val="none"/>
          <w:u w:val="none"/>
        </w:rPr>
        <w:t>第四节 激发民营经济活力</w:t>
      </w:r>
      <w:bookmarkEnd w:id="64"/>
    </w:p>
    <w:p w14:paraId="7DCF26BD">
      <w:pPr>
        <w:spacing w:line="600" w:lineRule="exact"/>
        <w:ind w:firstLine="630" w:firstLineChars="197"/>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坚持“两个毫不动摇”，鼓励民间资本进入县域主导产业和基础产业，</w:t>
      </w:r>
      <w:r>
        <w:rPr>
          <w:rFonts w:hint="default" w:ascii="Times New Roman" w:hAnsi="Times New Roman" w:eastAsia="仿宋_GB2312" w:cs="Times New Roman"/>
          <w:snapToGrid w:val="0"/>
          <w:color w:val="000000"/>
          <w:sz w:val="32"/>
          <w:szCs w:val="32"/>
          <w:highlight w:val="none"/>
          <w:u w:val="none"/>
        </w:rPr>
        <w:t>引导民营企业在增总量、上规模、拓市场、提质效上下功夫，</w:t>
      </w:r>
      <w:r>
        <w:rPr>
          <w:rFonts w:hint="default" w:ascii="Times New Roman" w:hAnsi="Times New Roman" w:eastAsia="仿宋_GB2312" w:cs="Times New Roman"/>
          <w:color w:val="000000"/>
          <w:sz w:val="32"/>
          <w:szCs w:val="32"/>
          <w:highlight w:val="none"/>
          <w:u w:val="none"/>
        </w:rPr>
        <w:t>全力推动民营经济持续健康发展。</w:t>
      </w:r>
    </w:p>
    <w:p w14:paraId="00037F70">
      <w:pPr>
        <w:spacing w:line="600" w:lineRule="exact"/>
        <w:ind w:firstLine="633" w:firstLineChars="197"/>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提升民营经济综合实力。</w:t>
      </w:r>
      <w:r>
        <w:rPr>
          <w:rFonts w:hint="default" w:ascii="Times New Roman" w:hAnsi="Times New Roman" w:eastAsia="仿宋_GB2312" w:cs="Times New Roman"/>
          <w:color w:val="000000"/>
          <w:sz w:val="32"/>
          <w:szCs w:val="32"/>
          <w:highlight w:val="none"/>
          <w:u w:val="none"/>
        </w:rPr>
        <w:t>按照“实施一批、带动一批、储备一批”原则，分类建立培育库，细划近、中、远期培育对象，鼓励和支持个体工商户做大做强，引导个体工商户向现代企业转型。聚焦主责主业，注重扶优扶强，优选一批“专精特新”“隐形冠军”“瞪羚”“独角兽”等高成长企业实施重点培育，加快恒源食品、万丰德肥料公司上市进程，全力推动“个转企”“小升规”“规改股”“股上市”，实现工业经济扩量提质。到2025年，培育“个转企”60户，“小升规”60户，“规改股”20户，“股上市”5户。</w:t>
      </w:r>
    </w:p>
    <w:p w14:paraId="7629C540">
      <w:pPr>
        <w:widowControl/>
        <w:spacing w:line="600" w:lineRule="exact"/>
        <w:ind w:firstLine="703" w:firstLineChars="200"/>
        <w:jc w:val="left"/>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pacing w:val="15"/>
          <w:sz w:val="32"/>
          <w:szCs w:val="32"/>
          <w:highlight w:val="none"/>
          <w:u w:val="none"/>
        </w:rPr>
        <w:t>推动民营企业创新发展。</w:t>
      </w:r>
      <w:r>
        <w:rPr>
          <w:rFonts w:hint="default" w:ascii="Times New Roman" w:hAnsi="Times New Roman" w:eastAsia="仿宋_GB2312" w:cs="Times New Roman"/>
          <w:color w:val="000000"/>
          <w:sz w:val="32"/>
          <w:szCs w:val="32"/>
          <w:highlight w:val="none"/>
          <w:u w:val="none"/>
        </w:rPr>
        <w:t>坚持思想发动、精神启动、园区带动、市场联动、体制变动、政策驱动和管理推动，实施中小企业成长工程，鼓励支持民营企业科技创新，推进技术改造，强化人才支撑，实现民营经济体制创新、管理创新、技术创新、营销创新，推动产业链全面优化升级。坚持把发展民营经济同新型工业化、信息化、城镇化相结合，同农业现代化相结合，同对内对外开放相结合，建好用好创新创业孵化基地，让成长性好、创新力强、市场前景大的中小企业加快发展，推动更多小微企业上规模。</w:t>
      </w:r>
    </w:p>
    <w:p w14:paraId="4C29A87F">
      <w:pPr>
        <w:widowControl/>
        <w:spacing w:line="600" w:lineRule="exact"/>
        <w:ind w:firstLine="6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鼓励引导企业家扎根桦南、深耕市场。</w:t>
      </w:r>
      <w:r>
        <w:rPr>
          <w:rFonts w:hint="default" w:ascii="Times New Roman" w:hAnsi="Times New Roman" w:eastAsia="仿宋_GB2312" w:cs="Times New Roman"/>
          <w:color w:val="000000"/>
          <w:sz w:val="32"/>
          <w:szCs w:val="32"/>
          <w:highlight w:val="none"/>
          <w:u w:val="none"/>
        </w:rPr>
        <w:t>严格落实市场准入负面清单制度和公平竞争审查制度，对新产业、新模式、新业态实施包容审慎监管，鼓励更多市场主体和社会主体投身创新创业。严厉打击不正当竞争行为，加强反垄断执法和垄断行业监管，探索建立侵权投诉督办（转办）制度，依法保护民营企业合法权益。大力弘扬企业家工匠精神、创新精神、诚信精神，引导全社会形成尊重民营企业、尊重民营企业家的良好氛围。</w:t>
      </w:r>
    </w:p>
    <w:p w14:paraId="5EF9A847">
      <w:pPr>
        <w:pStyle w:val="15"/>
        <w:spacing w:before="0" w:beforeLines="0" w:after="0" w:afterLines="0" w:line="600" w:lineRule="exact"/>
        <w:rPr>
          <w:rFonts w:hint="default" w:ascii="Times New Roman" w:hAnsi="Times New Roman" w:cs="Times New Roman"/>
          <w:color w:val="000000"/>
          <w:highlight w:val="none"/>
          <w:u w:val="none"/>
        </w:rPr>
      </w:pPr>
    </w:p>
    <w:p w14:paraId="191B696A">
      <w:pPr>
        <w:pStyle w:val="3"/>
        <w:rPr>
          <w:rFonts w:hint="default" w:ascii="Times New Roman" w:hAnsi="Times New Roman" w:cs="Times New Roman"/>
          <w:b/>
          <w:color w:val="000000"/>
          <w:highlight w:val="none"/>
          <w:u w:val="none"/>
        </w:rPr>
      </w:pPr>
      <w:bookmarkStart w:id="65" w:name="_Toc61268207"/>
      <w:bookmarkStart w:id="66" w:name="_Toc17866"/>
      <w:bookmarkStart w:id="67" w:name="_Toc29503"/>
      <w:r>
        <w:rPr>
          <w:rFonts w:hint="default" w:ascii="Times New Roman" w:hAnsi="Times New Roman" w:cs="Times New Roman"/>
          <w:b/>
          <w:color w:val="000000"/>
          <w:highlight w:val="none"/>
          <w:u w:val="none"/>
        </w:rPr>
        <w:t>第八章  建设生态文明，促进人与自然和谐共生</w:t>
      </w:r>
      <w:bookmarkEnd w:id="65"/>
      <w:bookmarkEnd w:id="66"/>
      <w:bookmarkEnd w:id="67"/>
    </w:p>
    <w:p w14:paraId="3219C936">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绿水青山就是金山银山、冰天雪地也是金山银山理念，坚持尊重自然、顺应自然、保护自然，坚持节约优先、保护优先、自然恢复为主，深入实施可持续发展战略，持续改善环境质量，构建生态文明体系，促进经济社会发展全面绿色转型，建设人与自然和谐共生的美好桦南。</w:t>
      </w:r>
    </w:p>
    <w:p w14:paraId="0F982404">
      <w:pPr>
        <w:pStyle w:val="4"/>
        <w:rPr>
          <w:rFonts w:hint="default" w:ascii="Times New Roman" w:hAnsi="Times New Roman" w:cs="Times New Roman"/>
          <w:color w:val="000000"/>
          <w:highlight w:val="none"/>
          <w:u w:val="none"/>
        </w:rPr>
      </w:pPr>
      <w:bookmarkStart w:id="68" w:name="_Toc61268208"/>
      <w:bookmarkStart w:id="69" w:name="_Toc57252320"/>
      <w:r>
        <w:rPr>
          <w:rFonts w:hint="default" w:ascii="Times New Roman" w:hAnsi="Times New Roman" w:cs="Times New Roman"/>
          <w:color w:val="000000"/>
          <w:highlight w:val="none"/>
          <w:u w:val="none"/>
        </w:rPr>
        <w:t>第一节  加快形成绿色发展方式</w:t>
      </w:r>
      <w:bookmarkEnd w:id="68"/>
      <w:bookmarkEnd w:id="69"/>
    </w:p>
    <w:p w14:paraId="2F136E11">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大力发展循环经济，以绿色、低碳、循环为核心加快推动生产方式、生活方式转型，有效降低发展的资源环境代价，努力创造人与自然和谐共生良好局面。</w:t>
      </w:r>
    </w:p>
    <w:p w14:paraId="7D47E5C6">
      <w:pPr>
        <w:spacing w:line="600" w:lineRule="exact"/>
        <w:ind w:firstLine="482" w:firstLineChars="15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大力发展循环农业。</w:t>
      </w:r>
      <w:r>
        <w:rPr>
          <w:rFonts w:hint="default" w:ascii="Times New Roman" w:hAnsi="Times New Roman" w:eastAsia="仿宋_GB2312" w:cs="Times New Roman"/>
          <w:color w:val="000000"/>
          <w:sz w:val="32"/>
          <w:szCs w:val="32"/>
          <w:highlight w:val="none"/>
          <w:u w:val="none"/>
        </w:rPr>
        <w:t>推动农业生产资源利用节约化、生产过程清洁化、废物处理资源化和无害化，持续推进农业清洁生产，有效提升有机肥使用率，大力降低农药使用量，推行农业废弃物资源化利用，综合建设高效生态循环的绿色农业生产模式。</w:t>
      </w:r>
    </w:p>
    <w:p w14:paraId="16407BAE">
      <w:pPr>
        <w:spacing w:line="600" w:lineRule="exact"/>
        <w:ind w:firstLine="643" w:firstLineChars="200"/>
        <w:rPr>
          <w:rFonts w:hint="default" w:ascii="Times New Roman" w:hAnsi="Times New Roman" w:eastAsia="仿宋_GB2312" w:cs="Times New Roman"/>
          <w:color w:val="000000"/>
          <w:highlight w:val="none"/>
          <w:u w:val="none"/>
        </w:rPr>
      </w:pPr>
      <w:r>
        <w:rPr>
          <w:rFonts w:hint="default" w:ascii="Times New Roman" w:hAnsi="Times New Roman" w:eastAsia="仿宋_GB2312" w:cs="Times New Roman"/>
          <w:b/>
          <w:bCs/>
          <w:color w:val="000000"/>
          <w:sz w:val="32"/>
          <w:szCs w:val="32"/>
          <w:highlight w:val="none"/>
          <w:u w:val="none"/>
        </w:rPr>
        <w:t>着力打造绿色园区。</w:t>
      </w:r>
      <w:r>
        <w:rPr>
          <w:rFonts w:hint="default" w:ascii="Times New Roman" w:hAnsi="Times New Roman" w:eastAsia="仿宋_GB2312" w:cs="Times New Roman"/>
          <w:bCs/>
          <w:color w:val="000000"/>
          <w:sz w:val="32"/>
          <w:szCs w:val="32"/>
          <w:highlight w:val="none"/>
          <w:u w:val="none"/>
        </w:rPr>
        <w:t>促</w:t>
      </w:r>
      <w:r>
        <w:rPr>
          <w:rFonts w:hint="default" w:ascii="Times New Roman" w:hAnsi="Times New Roman" w:eastAsia="仿宋_GB2312" w:cs="Times New Roman"/>
          <w:color w:val="000000"/>
          <w:sz w:val="32"/>
          <w:szCs w:val="32"/>
          <w:highlight w:val="none"/>
          <w:u w:val="none"/>
        </w:rPr>
        <w:t>进产业园区向生产绿色化转型，推广先进适用的清洁生产技术，依法依规淘汰落后生产工艺技术和产能，大力发展绿色制造业，鼓励企业参与绿色“一带一路”建设，支持循环经济重大工程、重点项目及能力建设，重点推动节能技术装备和循环再利用技术装备的应用、升级、换代，培育壮大节能环保产业，创建绿色工厂、绿色园区。推行生产者责任延伸制度，探索采取押金制、政府补贴等方式，回收处置废旧汽车、废弃电子产品、铅酸蓄电池、锂电池、农药包装等固体废物。</w:t>
      </w:r>
    </w:p>
    <w:p w14:paraId="64075EFF">
      <w:pPr>
        <w:spacing w:line="600" w:lineRule="exact"/>
        <w:ind w:firstLine="643" w:firstLineChars="200"/>
        <w:rPr>
          <w:rFonts w:hint="default" w:ascii="Times New Roman" w:hAnsi="Times New Roman" w:eastAsia="仿宋_GB2312" w:cs="Times New Roman"/>
          <w:color w:val="000000"/>
          <w:highlight w:val="none"/>
          <w:u w:val="none"/>
        </w:rPr>
      </w:pPr>
      <w:r>
        <w:rPr>
          <w:rFonts w:hint="default" w:ascii="Times New Roman" w:hAnsi="Times New Roman" w:eastAsia="仿宋_GB2312" w:cs="Times New Roman"/>
          <w:b/>
          <w:color w:val="000000"/>
          <w:sz w:val="32"/>
          <w:szCs w:val="32"/>
          <w:highlight w:val="none"/>
          <w:u w:val="none"/>
        </w:rPr>
        <w:t>积极</w:t>
      </w:r>
      <w:r>
        <w:rPr>
          <w:rFonts w:hint="default" w:ascii="Times New Roman" w:hAnsi="Times New Roman" w:eastAsia="仿宋_GB2312" w:cs="Times New Roman"/>
          <w:b/>
          <w:bCs/>
          <w:color w:val="000000"/>
          <w:sz w:val="32"/>
          <w:szCs w:val="32"/>
          <w:highlight w:val="none"/>
          <w:u w:val="none"/>
        </w:rPr>
        <w:t>倡导绿色生活。</w:t>
      </w:r>
      <w:r>
        <w:rPr>
          <w:rFonts w:hint="default" w:ascii="Times New Roman" w:hAnsi="Times New Roman" w:eastAsia="仿宋_GB2312" w:cs="Times New Roman"/>
          <w:bCs/>
          <w:color w:val="000000"/>
          <w:sz w:val="32"/>
          <w:szCs w:val="32"/>
          <w:highlight w:val="none"/>
          <w:u w:val="none"/>
        </w:rPr>
        <w:t>坚持把生态环境保护纳入国民教育、党政领导干部培训体系，推进生态环境保护宣传教育进学校、进家庭、进社区、进工厂、进机关、进农村，不断提高公民环保素养。</w:t>
      </w:r>
      <w:r>
        <w:rPr>
          <w:rFonts w:hint="default" w:ascii="Times New Roman" w:hAnsi="Times New Roman" w:eastAsia="仿宋_GB2312" w:cs="Times New Roman"/>
          <w:color w:val="000000"/>
          <w:sz w:val="32"/>
          <w:szCs w:val="32"/>
          <w:highlight w:val="none"/>
          <w:u w:val="none"/>
        </w:rPr>
        <w:t>开展低碳生活全民行动，推行“光盘行动”、禁止“过度包装”、治理快递垃圾，普遍推行垃圾分类和资源化利用，倡导绿色出行，实行公交优先，推动形成节约适度、绿色低碳、文明健康的生活方式和消费模式，培育民众的生态意识、低碳意识、节约意识、环保意识，让绿色生活理念深入人心。</w:t>
      </w:r>
    </w:p>
    <w:p w14:paraId="7A05114A">
      <w:pPr>
        <w:pStyle w:val="4"/>
        <w:rPr>
          <w:rFonts w:hint="default" w:ascii="Times New Roman" w:hAnsi="Times New Roman" w:cs="Times New Roman"/>
          <w:color w:val="000000"/>
          <w:highlight w:val="none"/>
          <w:u w:val="none"/>
        </w:rPr>
      </w:pPr>
      <w:bookmarkStart w:id="70" w:name="_Toc61268209"/>
      <w:r>
        <w:rPr>
          <w:rFonts w:hint="default" w:ascii="Times New Roman" w:hAnsi="Times New Roman" w:cs="Times New Roman"/>
          <w:color w:val="000000"/>
          <w:highlight w:val="none"/>
          <w:u w:val="none"/>
        </w:rPr>
        <w:t>第二节  提升生态系统质量和稳定性</w:t>
      </w:r>
      <w:bookmarkEnd w:id="70"/>
    </w:p>
    <w:p w14:paraId="4741A0B8">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打赢蓝天保卫战。</w:t>
      </w:r>
      <w:r>
        <w:rPr>
          <w:rFonts w:hint="default" w:ascii="Times New Roman" w:hAnsi="Times New Roman" w:eastAsia="仿宋_GB2312" w:cs="Times New Roman"/>
          <w:color w:val="000000"/>
          <w:sz w:val="32"/>
          <w:szCs w:val="32"/>
          <w:highlight w:val="none"/>
          <w:u w:val="none"/>
        </w:rPr>
        <w:t>全面落实《大气污染防治行动计划》，建立以空气质量目标为导向的精准防控体系，重点做好“控煤、控气、控车、控尘、控烧”，加快调整产业结构，严把环境准入关口，推动环保设施建设，综合改善全县大气环境质量，坚决打好大气污染防治攻坚战，还百姓蓝天白云繁星闪烁。到2025年，实现全县二氧化硫、氮氧化物排放量逐年消减。</w:t>
      </w:r>
    </w:p>
    <w:p w14:paraId="2032AE3E">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专栏12：大气防控任务</w:t>
      </w:r>
    </w:p>
    <w:tbl>
      <w:tblPr>
        <w:tblStyle w:val="17"/>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2020"/>
        <w:gridCol w:w="6608"/>
      </w:tblGrid>
      <w:tr w14:paraId="1310CA7A">
        <w:trPr>
          <w:trHeight w:val="542" w:hRule="atLeast"/>
        </w:trPr>
        <w:tc>
          <w:tcPr>
            <w:tcW w:w="2020" w:type="dxa"/>
            <w:tcBorders>
              <w:top w:val="single" w:color="auto" w:sz="4" w:space="0"/>
              <w:left w:val="nil"/>
              <w:bottom w:val="single" w:color="auto" w:sz="4" w:space="0"/>
              <w:right w:val="single" w:color="auto" w:sz="4" w:space="0"/>
            </w:tcBorders>
            <w:noWrap w:val="0"/>
            <w:vAlign w:val="center"/>
          </w:tcPr>
          <w:p w14:paraId="6D505CB4">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608" w:type="dxa"/>
            <w:tcBorders>
              <w:top w:val="single" w:color="auto" w:sz="4" w:space="0"/>
              <w:left w:val="nil"/>
              <w:bottom w:val="single" w:color="auto" w:sz="4" w:space="0"/>
              <w:right w:val="nil"/>
            </w:tcBorders>
            <w:noWrap w:val="0"/>
            <w:vAlign w:val="center"/>
          </w:tcPr>
          <w:p w14:paraId="34DB8BA2">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主要内容</w:t>
            </w:r>
          </w:p>
        </w:tc>
      </w:tr>
      <w:tr w14:paraId="58D1BD6E">
        <w:tblPrEx>
          <w:tblCellMar>
            <w:top w:w="0" w:type="dxa"/>
            <w:left w:w="108" w:type="dxa"/>
            <w:bottom w:w="0" w:type="dxa"/>
            <w:right w:w="108" w:type="dxa"/>
          </w:tblCellMar>
        </w:tblPrEx>
        <w:trPr>
          <w:trHeight w:val="794" w:hRule="atLeast"/>
        </w:trPr>
        <w:tc>
          <w:tcPr>
            <w:tcW w:w="2020" w:type="dxa"/>
            <w:tcBorders>
              <w:top w:val="single" w:color="auto" w:sz="4" w:space="0"/>
              <w:left w:val="nil"/>
              <w:bottom w:val="single" w:color="auto" w:sz="4" w:space="0"/>
              <w:right w:val="single" w:color="auto" w:sz="4" w:space="0"/>
            </w:tcBorders>
            <w:noWrap w:val="0"/>
            <w:vAlign w:val="center"/>
          </w:tcPr>
          <w:p w14:paraId="3C23710C">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燃煤设施改造</w:t>
            </w:r>
          </w:p>
        </w:tc>
        <w:tc>
          <w:tcPr>
            <w:tcW w:w="6608" w:type="dxa"/>
            <w:tcBorders>
              <w:top w:val="single" w:color="auto" w:sz="4" w:space="0"/>
              <w:left w:val="nil"/>
              <w:bottom w:val="single" w:color="auto" w:sz="4" w:space="0"/>
              <w:right w:val="nil"/>
            </w:tcBorders>
            <w:noWrap w:val="0"/>
            <w:vAlign w:val="center"/>
          </w:tcPr>
          <w:p w14:paraId="46C3B146">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改造20蒸吨以下燃煤锅炉，推广清洁能源锅炉，改造10蒸吨以上污染防治设施，清洁生产。</w:t>
            </w:r>
          </w:p>
        </w:tc>
      </w:tr>
      <w:tr w14:paraId="7130539A">
        <w:tblPrEx>
          <w:tblCellMar>
            <w:top w:w="0" w:type="dxa"/>
            <w:left w:w="108" w:type="dxa"/>
            <w:bottom w:w="0" w:type="dxa"/>
            <w:right w:w="108" w:type="dxa"/>
          </w:tblCellMar>
        </w:tblPrEx>
        <w:trPr>
          <w:trHeight w:val="939" w:hRule="atLeast"/>
        </w:trPr>
        <w:tc>
          <w:tcPr>
            <w:tcW w:w="2020" w:type="dxa"/>
            <w:tcBorders>
              <w:top w:val="single" w:color="auto" w:sz="4" w:space="0"/>
              <w:left w:val="nil"/>
              <w:bottom w:val="single" w:color="auto" w:sz="4" w:space="0"/>
              <w:right w:val="single" w:color="auto" w:sz="4" w:space="0"/>
            </w:tcBorders>
            <w:noWrap w:val="0"/>
            <w:vAlign w:val="center"/>
          </w:tcPr>
          <w:p w14:paraId="2A515DD7">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秸秆禁烧监控系统平台</w:t>
            </w:r>
          </w:p>
        </w:tc>
        <w:tc>
          <w:tcPr>
            <w:tcW w:w="6608" w:type="dxa"/>
            <w:tcBorders>
              <w:top w:val="single" w:color="auto" w:sz="4" w:space="0"/>
              <w:left w:val="nil"/>
              <w:bottom w:val="single" w:color="auto" w:sz="4" w:space="0"/>
              <w:right w:val="nil"/>
            </w:tcBorders>
            <w:noWrap w:val="0"/>
            <w:vAlign w:val="center"/>
          </w:tcPr>
          <w:p w14:paraId="148F7B71">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依托网通、电信信号塔基安装63个远红外摄像头连接中央处理平台系统。</w:t>
            </w:r>
          </w:p>
        </w:tc>
      </w:tr>
    </w:tbl>
    <w:p w14:paraId="7F07CA9C">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打赢碧水保卫战。</w:t>
      </w:r>
      <w:r>
        <w:rPr>
          <w:rFonts w:hint="default" w:ascii="Times New Roman" w:hAnsi="Times New Roman" w:eastAsia="仿宋_GB2312" w:cs="Times New Roman"/>
          <w:color w:val="000000"/>
          <w:sz w:val="32"/>
          <w:szCs w:val="32"/>
          <w:highlight w:val="none"/>
          <w:u w:val="none"/>
        </w:rPr>
        <w:t>全面落实河湖长制，形成河库管理保护合力。积极推进城镇污水设施向农村延伸，鼓励有条件的村庄实现生活污水与城镇管网并网收集，大力推广低成本、低能耗、易维护、高效率的污水处理技术，有效管控农村生活污水乱排乱放。科学划定集中式饮用水水源地保护区和分散式饮用水水源地保护范围，开展水资源环境状况评估，确保居民饮水安全。大力推进农村重点河流整治和河塘沟渠清淤疏浚，促进流域水质整体改善，还百姓清水绿岸鱼翔浅底。到2025年，城镇集中式饮用水源地水质达标率达到100%，县城污水集中处理率（一级A）达到95%以上。</w:t>
      </w:r>
    </w:p>
    <w:p w14:paraId="34B62B47">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专栏13：河库管理工程</w:t>
      </w:r>
    </w:p>
    <w:tbl>
      <w:tblPr>
        <w:tblStyle w:val="17"/>
        <w:tblpPr w:leftFromText="180" w:rightFromText="180" w:vertAnchor="text" w:tblpXSpec="center" w:tblpY="1"/>
        <w:tblOverlap w:val="never"/>
        <w:tblW w:w="0" w:type="auto"/>
        <w:jc w:val="center"/>
        <w:tblLayout w:type="fixed"/>
        <w:tblCellMar>
          <w:top w:w="0" w:type="dxa"/>
          <w:left w:w="108" w:type="dxa"/>
          <w:bottom w:w="0" w:type="dxa"/>
          <w:right w:w="108" w:type="dxa"/>
        </w:tblCellMar>
      </w:tblPr>
      <w:tblGrid>
        <w:gridCol w:w="2020"/>
        <w:gridCol w:w="6593"/>
      </w:tblGrid>
      <w:tr w14:paraId="799A1BFB">
        <w:tblPrEx>
          <w:tblCellMar>
            <w:top w:w="0" w:type="dxa"/>
            <w:left w:w="108" w:type="dxa"/>
            <w:bottom w:w="0" w:type="dxa"/>
            <w:right w:w="108" w:type="dxa"/>
          </w:tblCellMar>
        </w:tblPrEx>
        <w:trPr>
          <w:trHeight w:val="497" w:hRule="atLeast"/>
          <w:jc w:val="center"/>
        </w:trPr>
        <w:tc>
          <w:tcPr>
            <w:tcW w:w="2020" w:type="dxa"/>
            <w:tcBorders>
              <w:top w:val="single" w:color="auto" w:sz="4" w:space="0"/>
              <w:left w:val="nil"/>
              <w:bottom w:val="single" w:color="auto" w:sz="4" w:space="0"/>
              <w:right w:val="single" w:color="auto" w:sz="4" w:space="0"/>
            </w:tcBorders>
            <w:noWrap w:val="0"/>
            <w:vAlign w:val="center"/>
          </w:tcPr>
          <w:p w14:paraId="3E392668">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593" w:type="dxa"/>
            <w:tcBorders>
              <w:top w:val="single" w:color="auto" w:sz="4" w:space="0"/>
              <w:left w:val="nil"/>
              <w:bottom w:val="single" w:color="auto" w:sz="4" w:space="0"/>
              <w:right w:val="nil"/>
            </w:tcBorders>
            <w:noWrap w:val="0"/>
            <w:vAlign w:val="center"/>
          </w:tcPr>
          <w:p w14:paraId="172D1D24">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2C1A36CC">
        <w:tblPrEx>
          <w:tblCellMar>
            <w:top w:w="0" w:type="dxa"/>
            <w:left w:w="108" w:type="dxa"/>
            <w:bottom w:w="0" w:type="dxa"/>
            <w:right w:w="108" w:type="dxa"/>
          </w:tblCellMar>
        </w:tblPrEx>
        <w:trPr>
          <w:trHeight w:val="2280" w:hRule="atLeast"/>
          <w:jc w:val="center"/>
        </w:trPr>
        <w:tc>
          <w:tcPr>
            <w:tcW w:w="2020" w:type="dxa"/>
            <w:tcBorders>
              <w:top w:val="single" w:color="auto" w:sz="4" w:space="0"/>
              <w:left w:val="nil"/>
              <w:bottom w:val="single" w:color="auto" w:sz="4" w:space="0"/>
              <w:right w:val="single" w:color="auto" w:sz="4" w:space="0"/>
            </w:tcBorders>
            <w:noWrap w:val="0"/>
            <w:vAlign w:val="center"/>
          </w:tcPr>
          <w:p w14:paraId="1A39B9AB">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河流整治</w:t>
            </w:r>
          </w:p>
        </w:tc>
        <w:tc>
          <w:tcPr>
            <w:tcW w:w="6593" w:type="dxa"/>
            <w:tcBorders>
              <w:top w:val="single" w:color="auto" w:sz="4" w:space="0"/>
              <w:left w:val="nil"/>
              <w:bottom w:val="single" w:color="auto" w:sz="4" w:space="0"/>
              <w:right w:val="nil"/>
            </w:tcBorders>
            <w:noWrap w:val="0"/>
            <w:vAlign w:val="center"/>
          </w:tcPr>
          <w:p w14:paraId="6644D3C9">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两河两库水体功能改良工程，桦南县八虎力河驼腰子段二期治理工程，桦南县闫家镇闫家侵蚀沟二期综合治理工程，桦南县复兴沟治理工程，桦南县小八虎力河左岸治理工程，桦南县小八虎力河右岸治理工程，桦南县向阳湖水库生态恢复综合治理工程项目，桦南县倭肯治理工程（二期）项目，桦南县山洪沟治理工程，桦南县明义项目区侵蚀沟综合治理工程，桦南县双鸭子小流域综合治理工程。</w:t>
            </w:r>
          </w:p>
        </w:tc>
      </w:tr>
      <w:tr w14:paraId="65C3FC63">
        <w:tblPrEx>
          <w:tblCellMar>
            <w:top w:w="0" w:type="dxa"/>
            <w:left w:w="108" w:type="dxa"/>
            <w:bottom w:w="0" w:type="dxa"/>
            <w:right w:w="108" w:type="dxa"/>
          </w:tblCellMar>
        </w:tblPrEx>
        <w:trPr>
          <w:trHeight w:val="922" w:hRule="atLeast"/>
          <w:jc w:val="center"/>
        </w:trPr>
        <w:tc>
          <w:tcPr>
            <w:tcW w:w="2020" w:type="dxa"/>
            <w:tcBorders>
              <w:top w:val="single" w:color="auto" w:sz="4" w:space="0"/>
              <w:left w:val="nil"/>
              <w:bottom w:val="single" w:color="auto" w:sz="4" w:space="0"/>
              <w:right w:val="single" w:color="auto" w:sz="4" w:space="0"/>
            </w:tcBorders>
            <w:noWrap w:val="0"/>
            <w:vAlign w:val="center"/>
          </w:tcPr>
          <w:p w14:paraId="4D8F2C1D">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加固防洪</w:t>
            </w:r>
          </w:p>
        </w:tc>
        <w:tc>
          <w:tcPr>
            <w:tcW w:w="6593" w:type="dxa"/>
            <w:tcBorders>
              <w:top w:val="single" w:color="auto" w:sz="4" w:space="0"/>
              <w:left w:val="nil"/>
              <w:bottom w:val="single" w:color="auto" w:sz="4" w:space="0"/>
              <w:right w:val="nil"/>
            </w:tcBorders>
            <w:noWrap w:val="0"/>
            <w:vAlign w:val="center"/>
          </w:tcPr>
          <w:p w14:paraId="06D7990E">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桦南县松木河护岸工程、桦南县共和水库除险加固工程项目、桦南县病险水闸除险加固工程、桦南县大鲜渠首改造工程、桦南县向阳山水库除险加固工程(Ⅱ期）。</w:t>
            </w:r>
          </w:p>
        </w:tc>
      </w:tr>
      <w:tr w14:paraId="1870DF87">
        <w:tblPrEx>
          <w:tblCellMar>
            <w:top w:w="0" w:type="dxa"/>
            <w:left w:w="108" w:type="dxa"/>
            <w:bottom w:w="0" w:type="dxa"/>
            <w:right w:w="108" w:type="dxa"/>
          </w:tblCellMar>
        </w:tblPrEx>
        <w:trPr>
          <w:trHeight w:val="2369" w:hRule="atLeast"/>
          <w:jc w:val="center"/>
        </w:trPr>
        <w:tc>
          <w:tcPr>
            <w:tcW w:w="2020" w:type="dxa"/>
            <w:tcBorders>
              <w:top w:val="single" w:color="auto" w:sz="4" w:space="0"/>
              <w:left w:val="nil"/>
              <w:bottom w:val="single" w:color="auto" w:sz="4" w:space="0"/>
              <w:right w:val="single" w:color="auto" w:sz="4" w:space="0"/>
            </w:tcBorders>
            <w:noWrap w:val="0"/>
            <w:vAlign w:val="center"/>
          </w:tcPr>
          <w:p w14:paraId="7799A52A">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乡镇污水处理</w:t>
            </w:r>
          </w:p>
        </w:tc>
        <w:tc>
          <w:tcPr>
            <w:tcW w:w="6593" w:type="dxa"/>
            <w:tcBorders>
              <w:top w:val="single" w:color="auto" w:sz="4" w:space="0"/>
              <w:left w:val="nil"/>
              <w:bottom w:val="single" w:color="auto" w:sz="4" w:space="0"/>
              <w:right w:val="nil"/>
            </w:tcBorders>
            <w:noWrap w:val="0"/>
            <w:vAlign w:val="center"/>
          </w:tcPr>
          <w:p w14:paraId="47EA132E">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乡镇新增生活污水集中处置工程（建设日处理500吨以下的生活污水集中处理设施），桦南县大八浪乡污水处理站，桦南县金沙乡污水处理站，桦南县五道岗乡污水处理站，桦南县明义乡污水处理站，桦南县梨树乡污水处理站，桦南县驼腰子镇污水处理厂，桦南县石头河子镇污水处理工程项目，桦南县孟家岗镇污水处理工程项目，桦南县闫家镇污水处理工程项目，完成25%的建制村农村生活污水治理工程。</w:t>
            </w:r>
          </w:p>
        </w:tc>
      </w:tr>
      <w:tr w14:paraId="45BBCB92">
        <w:tblPrEx>
          <w:tblCellMar>
            <w:top w:w="0" w:type="dxa"/>
            <w:left w:w="108" w:type="dxa"/>
            <w:bottom w:w="0" w:type="dxa"/>
            <w:right w:w="108" w:type="dxa"/>
          </w:tblCellMar>
        </w:tblPrEx>
        <w:trPr>
          <w:trHeight w:val="567" w:hRule="atLeast"/>
          <w:jc w:val="center"/>
        </w:trPr>
        <w:tc>
          <w:tcPr>
            <w:tcW w:w="2020" w:type="dxa"/>
            <w:tcBorders>
              <w:top w:val="single" w:color="auto" w:sz="4" w:space="0"/>
              <w:left w:val="nil"/>
              <w:bottom w:val="single" w:color="auto" w:sz="4" w:space="0"/>
              <w:right w:val="single" w:color="auto" w:sz="4" w:space="0"/>
            </w:tcBorders>
            <w:noWrap w:val="0"/>
            <w:vAlign w:val="center"/>
          </w:tcPr>
          <w:p w14:paraId="269D8FAA">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饮用水</w:t>
            </w:r>
          </w:p>
        </w:tc>
        <w:tc>
          <w:tcPr>
            <w:tcW w:w="6593" w:type="dxa"/>
            <w:tcBorders>
              <w:top w:val="single" w:color="auto" w:sz="4" w:space="0"/>
              <w:left w:val="nil"/>
              <w:bottom w:val="single" w:color="auto" w:sz="4" w:space="0"/>
              <w:right w:val="nil"/>
            </w:tcBorders>
            <w:noWrap w:val="0"/>
            <w:vAlign w:val="center"/>
          </w:tcPr>
          <w:p w14:paraId="2EF28F53">
            <w:pPr>
              <w:widowControl/>
              <w:tabs>
                <w:tab w:val="left" w:pos="1052"/>
              </w:tabs>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桦南县城镇应急供水工程。</w:t>
            </w:r>
          </w:p>
        </w:tc>
      </w:tr>
    </w:tbl>
    <w:p w14:paraId="04EAE747">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打赢净土保卫战。</w:t>
      </w:r>
      <w:r>
        <w:rPr>
          <w:rFonts w:hint="default" w:ascii="Times New Roman" w:hAnsi="Times New Roman" w:eastAsia="仿宋_GB2312" w:cs="Times New Roman"/>
          <w:color w:val="000000"/>
          <w:sz w:val="32"/>
          <w:szCs w:val="32"/>
          <w:highlight w:val="none"/>
          <w:u w:val="none"/>
        </w:rPr>
        <w:t>落实土壤污染防治行动计划和工业污染源全面达标排放计划，开展重点区域土壤监测和重点行业企业调查工作。加强危险废物和辐射安全监督管理工作，集中处置危险废物，防治固体废物污染环境。到2025年，危险废物、医疗废物和放射性废物基本得到安全处理处置；城镇生活垃圾无害化处理率达到100%以上，工业固体废物综合利用率达到75%以上。</w:t>
      </w:r>
    </w:p>
    <w:p w14:paraId="6ACB1180">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专栏14：垃圾处理项目</w:t>
      </w:r>
    </w:p>
    <w:tbl>
      <w:tblPr>
        <w:tblStyle w:val="17"/>
        <w:tblpPr w:leftFromText="180" w:rightFromText="180" w:vertAnchor="text" w:tblpXSpec="center" w:tblpY="1"/>
        <w:tblOverlap w:val="never"/>
        <w:tblW w:w="0" w:type="auto"/>
        <w:jc w:val="center"/>
        <w:tblLayout w:type="fixed"/>
        <w:tblCellMar>
          <w:top w:w="0" w:type="dxa"/>
          <w:left w:w="108" w:type="dxa"/>
          <w:bottom w:w="0" w:type="dxa"/>
          <w:right w:w="108" w:type="dxa"/>
        </w:tblCellMar>
      </w:tblPr>
      <w:tblGrid>
        <w:gridCol w:w="2020"/>
        <w:gridCol w:w="6563"/>
      </w:tblGrid>
      <w:tr w14:paraId="4ABC8BFB">
        <w:tblPrEx>
          <w:tblCellMar>
            <w:top w:w="0" w:type="dxa"/>
            <w:left w:w="108" w:type="dxa"/>
            <w:bottom w:w="0" w:type="dxa"/>
            <w:right w:w="108" w:type="dxa"/>
          </w:tblCellMar>
        </w:tblPrEx>
        <w:trPr>
          <w:trHeight w:val="512" w:hRule="atLeast"/>
          <w:jc w:val="center"/>
        </w:trPr>
        <w:tc>
          <w:tcPr>
            <w:tcW w:w="2020" w:type="dxa"/>
            <w:tcBorders>
              <w:top w:val="single" w:color="auto" w:sz="4" w:space="0"/>
              <w:left w:val="nil"/>
              <w:bottom w:val="single" w:color="auto" w:sz="4" w:space="0"/>
              <w:right w:val="single" w:color="auto" w:sz="4" w:space="0"/>
            </w:tcBorders>
            <w:noWrap w:val="0"/>
            <w:vAlign w:val="center"/>
          </w:tcPr>
          <w:p w14:paraId="02DBE500">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563" w:type="dxa"/>
            <w:tcBorders>
              <w:top w:val="single" w:color="auto" w:sz="4" w:space="0"/>
              <w:left w:val="nil"/>
              <w:bottom w:val="single" w:color="auto" w:sz="4" w:space="0"/>
              <w:right w:val="nil"/>
            </w:tcBorders>
            <w:noWrap w:val="0"/>
            <w:vAlign w:val="center"/>
          </w:tcPr>
          <w:p w14:paraId="16F86317">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475D02A2">
        <w:tblPrEx>
          <w:tblCellMar>
            <w:top w:w="0" w:type="dxa"/>
            <w:left w:w="108" w:type="dxa"/>
            <w:bottom w:w="0" w:type="dxa"/>
            <w:right w:w="108" w:type="dxa"/>
          </w:tblCellMar>
        </w:tblPrEx>
        <w:trPr>
          <w:trHeight w:val="597" w:hRule="atLeast"/>
          <w:jc w:val="center"/>
        </w:trPr>
        <w:tc>
          <w:tcPr>
            <w:tcW w:w="2020" w:type="dxa"/>
            <w:tcBorders>
              <w:top w:val="single" w:color="auto" w:sz="4" w:space="0"/>
              <w:left w:val="nil"/>
              <w:bottom w:val="single" w:color="auto" w:sz="4" w:space="0"/>
              <w:right w:val="single" w:color="auto" w:sz="4" w:space="0"/>
            </w:tcBorders>
            <w:noWrap w:val="0"/>
            <w:vAlign w:val="center"/>
          </w:tcPr>
          <w:p w14:paraId="2F0EB453">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垃圾处理</w:t>
            </w:r>
          </w:p>
        </w:tc>
        <w:tc>
          <w:tcPr>
            <w:tcW w:w="6563" w:type="dxa"/>
            <w:tcBorders>
              <w:top w:val="single" w:color="auto" w:sz="4" w:space="0"/>
              <w:left w:val="nil"/>
              <w:bottom w:val="single" w:color="auto" w:sz="4" w:space="0"/>
              <w:right w:val="nil"/>
            </w:tcBorders>
            <w:noWrap w:val="0"/>
            <w:vAlign w:val="center"/>
          </w:tcPr>
          <w:p w14:paraId="28E3B31B">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桦南县300吨/日垃圾、污泥焚烧发电（一期）项目。</w:t>
            </w:r>
          </w:p>
        </w:tc>
      </w:tr>
    </w:tbl>
    <w:p w14:paraId="28D6E28E">
      <w:pPr>
        <w:spacing w:line="600" w:lineRule="exact"/>
        <w:ind w:firstLine="482" w:firstLineChars="15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打赢美丽乡村保卫战。</w:t>
      </w:r>
      <w:r>
        <w:rPr>
          <w:rFonts w:hint="default" w:ascii="Times New Roman" w:hAnsi="Times New Roman" w:eastAsia="仿宋_GB2312" w:cs="Times New Roman"/>
          <w:color w:val="000000"/>
          <w:sz w:val="32"/>
          <w:szCs w:val="32"/>
          <w:highlight w:val="none"/>
          <w:u w:val="none"/>
        </w:rPr>
        <w:t>坚持把农村环境保护与产业结构调整、节能减排结合起来，实施“换药械、降药量、减药害”行动，力争到2025年肥料利用率达到42%，农药利用率达到45%以上。着力推动畜禽粪污与厕所粪污一并资源化利用，重点开展G11、S307沿线、倭肯河、七虎力河、八虎力河两侧、向阳湖风景区、共河湖自然保护区周边规模养殖场及行政村污染整治，到2025年全县畜禽粪污综合利用率达到90％以上，规模养殖场粪污处理设施装备配套率达到100％以上。积极推进秸秆综合利用，围绕人造板、可降解一次性餐具等项目，引进2-3家龙头企业，到2025年秸秆综合利用率稳定在95%以上。加强农业废弃物治理与利用，逐步建立农业废弃物回收制度，落实使用者妥善收集、生产者和经营者回收处理责任，为百姓留住鸟语花香田园风光。到2025年废旧农膜回收率达到85%以上。</w:t>
      </w:r>
    </w:p>
    <w:p w14:paraId="2852B541">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专栏15：粪污治理任务</w:t>
      </w:r>
    </w:p>
    <w:tbl>
      <w:tblPr>
        <w:tblStyle w:val="17"/>
        <w:tblpPr w:leftFromText="180" w:rightFromText="180" w:vertAnchor="text" w:tblpXSpec="center" w:tblpY="1"/>
        <w:tblOverlap w:val="never"/>
        <w:tblW w:w="0" w:type="auto"/>
        <w:jc w:val="center"/>
        <w:tblLayout w:type="fixed"/>
        <w:tblCellMar>
          <w:top w:w="0" w:type="dxa"/>
          <w:left w:w="108" w:type="dxa"/>
          <w:bottom w:w="0" w:type="dxa"/>
          <w:right w:w="108" w:type="dxa"/>
        </w:tblCellMar>
      </w:tblPr>
      <w:tblGrid>
        <w:gridCol w:w="2020"/>
        <w:gridCol w:w="6578"/>
      </w:tblGrid>
      <w:tr w14:paraId="29DBC232">
        <w:tblPrEx>
          <w:tblCellMar>
            <w:top w:w="0" w:type="dxa"/>
            <w:left w:w="108" w:type="dxa"/>
            <w:bottom w:w="0" w:type="dxa"/>
            <w:right w:w="108" w:type="dxa"/>
          </w:tblCellMar>
        </w:tblPrEx>
        <w:trPr>
          <w:trHeight w:val="467" w:hRule="atLeast"/>
          <w:jc w:val="center"/>
        </w:trPr>
        <w:tc>
          <w:tcPr>
            <w:tcW w:w="2020" w:type="dxa"/>
            <w:tcBorders>
              <w:top w:val="single" w:color="auto" w:sz="4" w:space="0"/>
              <w:left w:val="nil"/>
              <w:bottom w:val="single" w:color="auto" w:sz="4" w:space="0"/>
              <w:right w:val="single" w:color="auto" w:sz="4" w:space="0"/>
            </w:tcBorders>
            <w:noWrap w:val="0"/>
            <w:vAlign w:val="center"/>
          </w:tcPr>
          <w:p w14:paraId="5D0A8581">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578" w:type="dxa"/>
            <w:tcBorders>
              <w:top w:val="single" w:color="auto" w:sz="4" w:space="0"/>
              <w:left w:val="nil"/>
              <w:bottom w:val="single" w:color="auto" w:sz="4" w:space="0"/>
              <w:right w:val="nil"/>
            </w:tcBorders>
            <w:noWrap w:val="0"/>
            <w:vAlign w:val="center"/>
          </w:tcPr>
          <w:p w14:paraId="0B5FC253">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62635541">
        <w:tblPrEx>
          <w:tblCellMar>
            <w:top w:w="0" w:type="dxa"/>
            <w:left w:w="108" w:type="dxa"/>
            <w:bottom w:w="0" w:type="dxa"/>
            <w:right w:w="108" w:type="dxa"/>
          </w:tblCellMar>
        </w:tblPrEx>
        <w:trPr>
          <w:trHeight w:val="1278" w:hRule="atLeast"/>
          <w:jc w:val="center"/>
        </w:trPr>
        <w:tc>
          <w:tcPr>
            <w:tcW w:w="2020" w:type="dxa"/>
            <w:tcBorders>
              <w:top w:val="single" w:color="auto" w:sz="4" w:space="0"/>
              <w:left w:val="nil"/>
              <w:bottom w:val="single" w:color="auto" w:sz="4" w:space="0"/>
              <w:right w:val="single" w:color="auto" w:sz="4" w:space="0"/>
            </w:tcBorders>
            <w:noWrap w:val="0"/>
            <w:vAlign w:val="center"/>
          </w:tcPr>
          <w:p w14:paraId="463E6941">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人畜粪污资源化利用</w:t>
            </w:r>
          </w:p>
        </w:tc>
        <w:tc>
          <w:tcPr>
            <w:tcW w:w="6578" w:type="dxa"/>
            <w:tcBorders>
              <w:top w:val="single" w:color="auto" w:sz="4" w:space="0"/>
              <w:left w:val="nil"/>
              <w:bottom w:val="single" w:color="auto" w:sz="4" w:space="0"/>
              <w:right w:val="nil"/>
            </w:tcBorders>
            <w:noWrap w:val="0"/>
            <w:vAlign w:val="center"/>
          </w:tcPr>
          <w:p w14:paraId="0BD9AC33">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丘陵地貌村屯人畜粪便离村资源化利用项目，30个规模化养殖场粪污处理项目，桦南县农村室内户厕改造项目，桦南县居民生活粪污和排水管网污泥处置场项目（日处理居民生活粪污和排水管网污泥20吨），畜禽粪便秸秆综合利用项目。</w:t>
            </w:r>
          </w:p>
        </w:tc>
      </w:tr>
    </w:tbl>
    <w:p w14:paraId="26C50356">
      <w:pPr>
        <w:jc w:val="center"/>
        <w:rPr>
          <w:rFonts w:hint="default" w:ascii="Times New Roman" w:hAnsi="Times New Roman" w:eastAsia="黑体" w:cs="Times New Roman"/>
          <w:bCs/>
          <w:color w:val="000000"/>
          <w:sz w:val="28"/>
          <w:szCs w:val="28"/>
          <w:highlight w:val="none"/>
          <w:u w:val="none"/>
        </w:rPr>
      </w:pPr>
      <w:r>
        <w:rPr>
          <w:rFonts w:hint="default" w:ascii="Times New Roman" w:hAnsi="Times New Roman" w:eastAsia="黑体" w:cs="Times New Roman"/>
          <w:bCs/>
          <w:color w:val="000000"/>
          <w:sz w:val="28"/>
          <w:szCs w:val="28"/>
          <w:highlight w:val="none"/>
          <w:u w:val="none"/>
        </w:rPr>
        <w:t>专栏16：秸秆产业项目</w:t>
      </w:r>
    </w:p>
    <w:tbl>
      <w:tblPr>
        <w:tblStyle w:val="17"/>
        <w:tblW w:w="0" w:type="auto"/>
        <w:jc w:val="center"/>
        <w:tblLayout w:type="fixed"/>
        <w:tblCellMar>
          <w:top w:w="0" w:type="dxa"/>
          <w:left w:w="108" w:type="dxa"/>
          <w:bottom w:w="0" w:type="dxa"/>
          <w:right w:w="108" w:type="dxa"/>
        </w:tblCellMar>
      </w:tblPr>
      <w:tblGrid>
        <w:gridCol w:w="2020"/>
        <w:gridCol w:w="6576"/>
      </w:tblGrid>
      <w:tr w14:paraId="49F3266B">
        <w:tblPrEx>
          <w:tblCellMar>
            <w:top w:w="0" w:type="dxa"/>
            <w:left w:w="108" w:type="dxa"/>
            <w:bottom w:w="0" w:type="dxa"/>
            <w:right w:w="108" w:type="dxa"/>
          </w:tblCellMar>
        </w:tblPrEx>
        <w:trPr>
          <w:trHeight w:val="482" w:hRule="atLeast"/>
          <w:jc w:val="center"/>
        </w:trPr>
        <w:tc>
          <w:tcPr>
            <w:tcW w:w="2020" w:type="dxa"/>
            <w:tcBorders>
              <w:top w:val="single" w:color="auto" w:sz="4" w:space="0"/>
              <w:left w:val="nil"/>
              <w:bottom w:val="single" w:color="auto" w:sz="4" w:space="0"/>
              <w:right w:val="single" w:color="auto" w:sz="4" w:space="0"/>
            </w:tcBorders>
            <w:noWrap w:val="0"/>
            <w:vAlign w:val="center"/>
          </w:tcPr>
          <w:p w14:paraId="3B65EA9C">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576" w:type="dxa"/>
            <w:tcBorders>
              <w:top w:val="single" w:color="auto" w:sz="4" w:space="0"/>
              <w:left w:val="nil"/>
              <w:bottom w:val="single" w:color="auto" w:sz="4" w:space="0"/>
              <w:right w:val="nil"/>
            </w:tcBorders>
            <w:noWrap w:val="0"/>
            <w:vAlign w:val="center"/>
          </w:tcPr>
          <w:p w14:paraId="58435A1A">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091DA985">
        <w:tblPrEx>
          <w:tblCellMar>
            <w:top w:w="0" w:type="dxa"/>
            <w:left w:w="108" w:type="dxa"/>
            <w:bottom w:w="0" w:type="dxa"/>
            <w:right w:w="108" w:type="dxa"/>
          </w:tblCellMar>
        </w:tblPrEx>
        <w:trPr>
          <w:trHeight w:val="482" w:hRule="atLeast"/>
          <w:jc w:val="center"/>
        </w:trPr>
        <w:tc>
          <w:tcPr>
            <w:tcW w:w="2020" w:type="dxa"/>
            <w:tcBorders>
              <w:top w:val="single" w:color="auto" w:sz="4" w:space="0"/>
              <w:left w:val="nil"/>
              <w:bottom w:val="single" w:color="auto" w:sz="4" w:space="0"/>
              <w:right w:val="single" w:color="auto" w:sz="4" w:space="0"/>
            </w:tcBorders>
            <w:noWrap w:val="0"/>
            <w:vAlign w:val="center"/>
          </w:tcPr>
          <w:p w14:paraId="5DC69E5B">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循环农业</w:t>
            </w:r>
          </w:p>
        </w:tc>
        <w:tc>
          <w:tcPr>
            <w:tcW w:w="6576" w:type="dxa"/>
            <w:tcBorders>
              <w:top w:val="single" w:color="auto" w:sz="4" w:space="0"/>
              <w:left w:val="nil"/>
              <w:bottom w:val="single" w:color="auto" w:sz="4" w:space="0"/>
              <w:right w:val="nil"/>
            </w:tcBorders>
            <w:noWrap w:val="0"/>
            <w:vAlign w:val="center"/>
          </w:tcPr>
          <w:p w14:paraId="39659C19">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color w:val="000000"/>
                <w:kern w:val="0"/>
                <w:sz w:val="24"/>
                <w:highlight w:val="none"/>
                <w:u w:val="none"/>
              </w:rPr>
              <w:t>长彦家庭农场生态循环一体化示范项目。</w:t>
            </w:r>
          </w:p>
        </w:tc>
      </w:tr>
      <w:tr w14:paraId="4E42A14B">
        <w:tblPrEx>
          <w:tblCellMar>
            <w:top w:w="0" w:type="dxa"/>
            <w:left w:w="108" w:type="dxa"/>
            <w:bottom w:w="0" w:type="dxa"/>
            <w:right w:w="108" w:type="dxa"/>
          </w:tblCellMar>
        </w:tblPrEx>
        <w:trPr>
          <w:trHeight w:val="809" w:hRule="atLeast"/>
          <w:jc w:val="center"/>
        </w:trPr>
        <w:tc>
          <w:tcPr>
            <w:tcW w:w="2020" w:type="dxa"/>
            <w:tcBorders>
              <w:top w:val="single" w:color="auto" w:sz="4" w:space="0"/>
              <w:left w:val="nil"/>
              <w:bottom w:val="single" w:color="auto" w:sz="4" w:space="0"/>
              <w:right w:val="single" w:color="auto" w:sz="4" w:space="0"/>
            </w:tcBorders>
            <w:noWrap w:val="0"/>
            <w:vAlign w:val="center"/>
          </w:tcPr>
          <w:p w14:paraId="7C464200">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秸秆转运</w:t>
            </w:r>
          </w:p>
        </w:tc>
        <w:tc>
          <w:tcPr>
            <w:tcW w:w="6576" w:type="dxa"/>
            <w:tcBorders>
              <w:top w:val="single" w:color="auto" w:sz="4" w:space="0"/>
              <w:left w:val="nil"/>
              <w:bottom w:val="single" w:color="auto" w:sz="4" w:space="0"/>
              <w:right w:val="nil"/>
            </w:tcBorders>
            <w:noWrap w:val="0"/>
            <w:vAlign w:val="center"/>
          </w:tcPr>
          <w:p w14:paraId="113917B2">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孟家岗镇废弃菌袋，梨树乡、大八浪乡等废弃水稻育苗秧盘收集初加工转运，收集车9辆，破碎压块机9台。</w:t>
            </w:r>
          </w:p>
        </w:tc>
      </w:tr>
      <w:tr w14:paraId="184ECC3D">
        <w:tblPrEx>
          <w:tblCellMar>
            <w:top w:w="0" w:type="dxa"/>
            <w:left w:w="108" w:type="dxa"/>
            <w:bottom w:w="0" w:type="dxa"/>
            <w:right w:w="108" w:type="dxa"/>
          </w:tblCellMar>
        </w:tblPrEx>
        <w:trPr>
          <w:trHeight w:val="1533" w:hRule="atLeast"/>
          <w:jc w:val="center"/>
        </w:trPr>
        <w:tc>
          <w:tcPr>
            <w:tcW w:w="2020" w:type="dxa"/>
            <w:tcBorders>
              <w:top w:val="single" w:color="auto" w:sz="4" w:space="0"/>
              <w:left w:val="nil"/>
              <w:bottom w:val="single" w:color="auto" w:sz="4" w:space="0"/>
              <w:right w:val="single" w:color="auto" w:sz="4" w:space="0"/>
            </w:tcBorders>
            <w:noWrap w:val="0"/>
            <w:vAlign w:val="center"/>
          </w:tcPr>
          <w:p w14:paraId="444E9A0E">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秸秆综合利用</w:t>
            </w:r>
          </w:p>
        </w:tc>
        <w:tc>
          <w:tcPr>
            <w:tcW w:w="6576" w:type="dxa"/>
            <w:tcBorders>
              <w:top w:val="single" w:color="auto" w:sz="4" w:space="0"/>
              <w:left w:val="nil"/>
              <w:bottom w:val="single" w:color="auto" w:sz="4" w:space="0"/>
              <w:right w:val="nil"/>
            </w:tcBorders>
            <w:noWrap w:val="0"/>
            <w:vAlign w:val="center"/>
          </w:tcPr>
          <w:p w14:paraId="3FEDDC37">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年产100万套餐具项目、年产30万吨生物饲料项目、年产80万套秸秆纸浆模具项目、植物“三素分离”生态利用项目、生物有机肥生产项目，农作物秸秆综合利用（11个秸秆生物质炭肥厂，20个生物质固化压块站，大型秸秆打捆机20台）。</w:t>
            </w:r>
          </w:p>
        </w:tc>
      </w:tr>
    </w:tbl>
    <w:p w14:paraId="5E67F4C0">
      <w:pPr>
        <w:jc w:val="center"/>
        <w:rPr>
          <w:rFonts w:hint="default" w:ascii="Times New Roman" w:hAnsi="Times New Roman" w:cs="Times New Roman"/>
          <w:bCs/>
          <w:color w:val="000000"/>
          <w:sz w:val="28"/>
          <w:szCs w:val="28"/>
          <w:highlight w:val="none"/>
          <w:u w:val="none"/>
        </w:rPr>
      </w:pPr>
    </w:p>
    <w:p w14:paraId="13C56320">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打赢原生态保卫战。</w:t>
      </w:r>
      <w:r>
        <w:rPr>
          <w:rFonts w:hint="default" w:ascii="Times New Roman" w:hAnsi="Times New Roman" w:eastAsia="仿宋_GB2312" w:cs="Times New Roman"/>
          <w:color w:val="000000"/>
          <w:sz w:val="32"/>
          <w:szCs w:val="32"/>
          <w:highlight w:val="none"/>
          <w:u w:val="none"/>
        </w:rPr>
        <w:t>完善生态廊道和生物多样性保护网络，大力推行林长制，加大植树造林、封山育林和低产低效林改造力度，加大现有湿地和草原保护力度，努力构建布局科学、结构合理、功能齐全、效益显著的林业生态体系。加强野生动植物资源保护，开展重点保护野生动物资源调查，建立资源档案，坚决打击非法捕猎、交易野生动植物，保护野生动植物。坚决打击乱砍滥伐森林、乱垦滥占林地等违法犯罪行为，严格林地征占用审批及林地用途管制。完善古树名木保护体系，建立健全配套基础设施及自然教育体验网络，让百姓享有惬意生活休闲空间。</w:t>
      </w:r>
    </w:p>
    <w:p w14:paraId="3FDF36B5">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专栏17：森林资源保护工程</w:t>
      </w:r>
    </w:p>
    <w:tbl>
      <w:tblPr>
        <w:tblStyle w:val="17"/>
        <w:tblW w:w="0" w:type="auto"/>
        <w:jc w:val="center"/>
        <w:tblLayout w:type="fixed"/>
        <w:tblCellMar>
          <w:top w:w="0" w:type="dxa"/>
          <w:left w:w="108" w:type="dxa"/>
          <w:bottom w:w="0" w:type="dxa"/>
          <w:right w:w="108" w:type="dxa"/>
        </w:tblCellMar>
      </w:tblPr>
      <w:tblGrid>
        <w:gridCol w:w="2020"/>
        <w:gridCol w:w="6621"/>
      </w:tblGrid>
      <w:tr w14:paraId="201ADE37">
        <w:tblPrEx>
          <w:tblCellMar>
            <w:top w:w="0" w:type="dxa"/>
            <w:left w:w="108" w:type="dxa"/>
            <w:bottom w:w="0" w:type="dxa"/>
            <w:right w:w="108" w:type="dxa"/>
          </w:tblCellMar>
        </w:tblPrEx>
        <w:trPr>
          <w:trHeight w:val="407" w:hRule="atLeast"/>
          <w:jc w:val="center"/>
        </w:trPr>
        <w:tc>
          <w:tcPr>
            <w:tcW w:w="2020" w:type="dxa"/>
            <w:tcBorders>
              <w:top w:val="single" w:color="auto" w:sz="4" w:space="0"/>
              <w:left w:val="nil"/>
              <w:bottom w:val="single" w:color="auto" w:sz="4" w:space="0"/>
              <w:right w:val="single" w:color="auto" w:sz="4" w:space="0"/>
            </w:tcBorders>
            <w:noWrap w:val="0"/>
            <w:vAlign w:val="center"/>
          </w:tcPr>
          <w:p w14:paraId="46F81F97">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621" w:type="dxa"/>
            <w:tcBorders>
              <w:top w:val="single" w:color="auto" w:sz="4" w:space="0"/>
              <w:left w:val="nil"/>
              <w:bottom w:val="single" w:color="auto" w:sz="4" w:space="0"/>
              <w:right w:val="nil"/>
            </w:tcBorders>
            <w:noWrap w:val="0"/>
            <w:vAlign w:val="center"/>
          </w:tcPr>
          <w:p w14:paraId="6E1CA0D7">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391809AE">
        <w:tblPrEx>
          <w:tblCellMar>
            <w:top w:w="0" w:type="dxa"/>
            <w:left w:w="108" w:type="dxa"/>
            <w:bottom w:w="0" w:type="dxa"/>
            <w:right w:w="108" w:type="dxa"/>
          </w:tblCellMar>
        </w:tblPrEx>
        <w:trPr>
          <w:trHeight w:val="422" w:hRule="atLeast"/>
          <w:jc w:val="center"/>
        </w:trPr>
        <w:tc>
          <w:tcPr>
            <w:tcW w:w="2020" w:type="dxa"/>
            <w:tcBorders>
              <w:top w:val="single" w:color="auto" w:sz="4" w:space="0"/>
              <w:left w:val="nil"/>
              <w:bottom w:val="single" w:color="auto" w:sz="4" w:space="0"/>
              <w:right w:val="single" w:color="auto" w:sz="4" w:space="0"/>
            </w:tcBorders>
            <w:noWrap w:val="0"/>
            <w:vAlign w:val="center"/>
          </w:tcPr>
          <w:p w14:paraId="53D6F9D3">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公益林管护</w:t>
            </w:r>
          </w:p>
        </w:tc>
        <w:tc>
          <w:tcPr>
            <w:tcW w:w="6621" w:type="dxa"/>
            <w:tcBorders>
              <w:top w:val="single" w:color="auto" w:sz="4" w:space="0"/>
              <w:left w:val="nil"/>
              <w:bottom w:val="single" w:color="auto" w:sz="4" w:space="0"/>
              <w:right w:val="nil"/>
            </w:tcBorders>
            <w:noWrap w:val="0"/>
            <w:vAlign w:val="center"/>
          </w:tcPr>
          <w:p w14:paraId="0489E63F">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国家级公益林年管护26.77万亩；省级公益林年管护9.78万亩。</w:t>
            </w:r>
          </w:p>
        </w:tc>
      </w:tr>
      <w:tr w14:paraId="5919A33E">
        <w:tblPrEx>
          <w:tblCellMar>
            <w:top w:w="0" w:type="dxa"/>
            <w:left w:w="108" w:type="dxa"/>
            <w:bottom w:w="0" w:type="dxa"/>
            <w:right w:w="108" w:type="dxa"/>
          </w:tblCellMar>
        </w:tblPrEx>
        <w:trPr>
          <w:trHeight w:val="739" w:hRule="atLeast"/>
          <w:jc w:val="center"/>
        </w:trPr>
        <w:tc>
          <w:tcPr>
            <w:tcW w:w="2020" w:type="dxa"/>
            <w:tcBorders>
              <w:top w:val="single" w:color="auto" w:sz="4" w:space="0"/>
              <w:left w:val="nil"/>
              <w:bottom w:val="single" w:color="auto" w:sz="4" w:space="0"/>
              <w:right w:val="single" w:color="auto" w:sz="4" w:space="0"/>
            </w:tcBorders>
            <w:noWrap w:val="0"/>
            <w:vAlign w:val="center"/>
          </w:tcPr>
          <w:p w14:paraId="3A0A8B16">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营林造林/改培</w:t>
            </w:r>
          </w:p>
        </w:tc>
        <w:tc>
          <w:tcPr>
            <w:tcW w:w="6621" w:type="dxa"/>
            <w:tcBorders>
              <w:top w:val="single" w:color="auto" w:sz="4" w:space="0"/>
              <w:left w:val="nil"/>
              <w:bottom w:val="single" w:color="auto" w:sz="4" w:space="0"/>
              <w:right w:val="nil"/>
            </w:tcBorders>
            <w:noWrap w:val="0"/>
            <w:vAlign w:val="center"/>
          </w:tcPr>
          <w:p w14:paraId="4F86A91D">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三北防护林人工造乔木林2000亩；中、幼龄林抚育0.3万亩/年，国家储备林现有林改培0.3万亩/年。</w:t>
            </w:r>
          </w:p>
        </w:tc>
      </w:tr>
      <w:tr w14:paraId="72D986A1">
        <w:tblPrEx>
          <w:tblCellMar>
            <w:top w:w="0" w:type="dxa"/>
            <w:left w:w="108" w:type="dxa"/>
            <w:bottom w:w="0" w:type="dxa"/>
            <w:right w:w="108" w:type="dxa"/>
          </w:tblCellMar>
        </w:tblPrEx>
        <w:trPr>
          <w:trHeight w:val="1016" w:hRule="atLeast"/>
          <w:jc w:val="center"/>
        </w:trPr>
        <w:tc>
          <w:tcPr>
            <w:tcW w:w="2020" w:type="dxa"/>
            <w:tcBorders>
              <w:top w:val="single" w:color="auto" w:sz="4" w:space="0"/>
              <w:left w:val="nil"/>
              <w:bottom w:val="single" w:color="auto" w:sz="4" w:space="0"/>
              <w:right w:val="single" w:color="auto" w:sz="4" w:space="0"/>
            </w:tcBorders>
            <w:noWrap w:val="0"/>
            <w:vAlign w:val="center"/>
          </w:tcPr>
          <w:p w14:paraId="03F81121">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基础设施</w:t>
            </w:r>
          </w:p>
        </w:tc>
        <w:tc>
          <w:tcPr>
            <w:tcW w:w="6621" w:type="dxa"/>
            <w:tcBorders>
              <w:top w:val="single" w:color="auto" w:sz="4" w:space="0"/>
              <w:left w:val="nil"/>
              <w:bottom w:val="single" w:color="auto" w:sz="4" w:space="0"/>
              <w:right w:val="nil"/>
            </w:tcBorders>
            <w:noWrap w:val="0"/>
            <w:vAlign w:val="center"/>
          </w:tcPr>
          <w:p w14:paraId="0924A56A">
            <w:pP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sz w:val="24"/>
                <w:highlight w:val="none"/>
                <w:u w:val="none"/>
              </w:rPr>
              <w:t>20个生态管护站改造，通讯设备购置，林火监测瞭望系统，防扑火设备，林木种质资源收集保存基地，营林生产防火道路硬化项目。</w:t>
            </w:r>
          </w:p>
        </w:tc>
      </w:tr>
      <w:tr w14:paraId="7BE4643D">
        <w:tblPrEx>
          <w:tblCellMar>
            <w:top w:w="0" w:type="dxa"/>
            <w:left w:w="108" w:type="dxa"/>
            <w:bottom w:w="0" w:type="dxa"/>
            <w:right w:w="108" w:type="dxa"/>
          </w:tblCellMar>
        </w:tblPrEx>
        <w:trPr>
          <w:trHeight w:val="699" w:hRule="atLeast"/>
          <w:jc w:val="center"/>
        </w:trPr>
        <w:tc>
          <w:tcPr>
            <w:tcW w:w="2020" w:type="dxa"/>
            <w:tcBorders>
              <w:top w:val="single" w:color="auto" w:sz="4" w:space="0"/>
              <w:left w:val="nil"/>
              <w:bottom w:val="single" w:color="auto" w:sz="4" w:space="0"/>
              <w:right w:val="single" w:color="auto" w:sz="4" w:space="0"/>
            </w:tcBorders>
            <w:noWrap w:val="0"/>
            <w:vAlign w:val="center"/>
          </w:tcPr>
          <w:p w14:paraId="6CFE48FE">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*其他</w:t>
            </w:r>
          </w:p>
        </w:tc>
        <w:tc>
          <w:tcPr>
            <w:tcW w:w="6621" w:type="dxa"/>
            <w:tcBorders>
              <w:top w:val="single" w:color="auto" w:sz="4" w:space="0"/>
              <w:left w:val="nil"/>
              <w:bottom w:val="single" w:color="auto" w:sz="4" w:space="0"/>
              <w:right w:val="nil"/>
            </w:tcBorders>
            <w:noWrap w:val="0"/>
            <w:vAlign w:val="center"/>
          </w:tcPr>
          <w:p w14:paraId="34B91B20">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退耕还湿项目，植被恢复项目，林业有害生物防控基础设施建设项目，国家级林业有害生物中心测报点建设项目。</w:t>
            </w:r>
          </w:p>
        </w:tc>
      </w:tr>
    </w:tbl>
    <w:p w14:paraId="7ADB0898">
      <w:pPr>
        <w:pStyle w:val="4"/>
        <w:rPr>
          <w:rFonts w:hint="default" w:ascii="Times New Roman" w:hAnsi="Times New Roman" w:cs="Times New Roman"/>
          <w:color w:val="000000"/>
          <w:highlight w:val="none"/>
          <w:u w:val="none"/>
        </w:rPr>
      </w:pPr>
      <w:bookmarkStart w:id="71" w:name="_Toc61268210"/>
      <w:bookmarkStart w:id="72" w:name="_Toc57252322"/>
      <w:bookmarkStart w:id="73" w:name="_Toc54616047"/>
      <w:bookmarkStart w:id="74" w:name="_Toc22726"/>
      <w:bookmarkStart w:id="75" w:name="_Toc9229"/>
      <w:r>
        <w:rPr>
          <w:rFonts w:hint="default" w:ascii="Times New Roman" w:hAnsi="Times New Roman" w:cs="Times New Roman"/>
          <w:color w:val="000000"/>
          <w:highlight w:val="none"/>
          <w:u w:val="none"/>
        </w:rPr>
        <w:t>第三节  积极推进生态价值转换</w:t>
      </w:r>
      <w:bookmarkEnd w:id="71"/>
      <w:bookmarkEnd w:id="72"/>
    </w:p>
    <w:bookmarkEnd w:id="73"/>
    <w:bookmarkEnd w:id="74"/>
    <w:bookmarkEnd w:id="75"/>
    <w:p w14:paraId="49768FAF">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充分发挥林业在生态系统中的基础性作用，努力构建布局科学、结构合理、功能齐全、效益显著的林业生态体系。大力培育和发展森林资源，着力保护和建设好森林生态系统；积极开展生态补水工程、退耕还湿工程、野生动植物保护工程。坚决打击乱砍滥伐森林、乱垦滥占林地等违法犯罪行为，严格林地征占用审批及林地用途管制，依法保护森林资源。建立健全防控长效机制，重点抓好森林防火和林业有害生物防治工作。积极推进市场化生态补偿机制建设，夯实碳汇交易根基。培育建设融绿色农业、养生度假一体的生态经济价值链。</w:t>
      </w:r>
    </w:p>
    <w:p w14:paraId="7B4C4030">
      <w:pPr>
        <w:pStyle w:val="4"/>
        <w:rPr>
          <w:rFonts w:hint="default" w:ascii="Times New Roman" w:hAnsi="Times New Roman" w:cs="Times New Roman"/>
          <w:color w:val="000000"/>
          <w:highlight w:val="none"/>
          <w:u w:val="none"/>
        </w:rPr>
      </w:pPr>
      <w:bookmarkStart w:id="76" w:name="_Toc61268211"/>
      <w:r>
        <w:rPr>
          <w:rFonts w:hint="default" w:ascii="Times New Roman" w:hAnsi="Times New Roman" w:cs="Times New Roman"/>
          <w:color w:val="000000"/>
          <w:highlight w:val="none"/>
          <w:u w:val="none"/>
        </w:rPr>
        <w:t>第四节 建设生态文明制度体系</w:t>
      </w:r>
      <w:bookmarkEnd w:id="76"/>
    </w:p>
    <w:p w14:paraId="63F75FD4">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完善生态文明管理体系</w:t>
      </w:r>
      <w:r>
        <w:rPr>
          <w:rFonts w:hint="default" w:ascii="Times New Roman" w:hAnsi="Times New Roman" w:eastAsia="仿宋_GB2312" w:cs="Times New Roman"/>
          <w:color w:val="000000"/>
          <w:sz w:val="32"/>
          <w:szCs w:val="32"/>
          <w:highlight w:val="none"/>
          <w:u w:val="none"/>
        </w:rPr>
        <w:t>。健全环境治理责任体系，依法依规落实地方主体责任；建立企业环境治理责任制度，依法实行排污许可管理制度；健全举报反馈、听证、舆论监督等公众参与机制，强化社会监督，完善环保志愿者参与机制。健全监管执法机制，实施以排污许可证为核心的“一证式”执法监管模式，完善环境监管网格化责任体系，推动生态环境保护执法和司法有效衔接；健全环境治理市场体系，提升生态文明建设水平。</w:t>
      </w:r>
    </w:p>
    <w:p w14:paraId="5B32ED53">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健全生态补偿机制。</w:t>
      </w:r>
      <w:r>
        <w:rPr>
          <w:rFonts w:hint="default" w:ascii="Times New Roman" w:hAnsi="Times New Roman" w:eastAsia="仿宋_GB2312" w:cs="Times New Roman"/>
          <w:color w:val="000000"/>
          <w:sz w:val="32"/>
          <w:szCs w:val="32"/>
          <w:highlight w:val="none"/>
          <w:u w:val="none"/>
        </w:rPr>
        <w:t>严格落实“谁污染、谁付费”政策导向，建立水源地保护补偿机制，推动饮用水水源地重大生态保护项目、水资源面源污染控制示范推广项目高质量落地。完善森林保护补偿机制，积极引导企业资金、社会资金投入林业建设。建立耕地保护补偿机制，按照粮食生产功能区、高标准基本农田和千万亩标准农田提升区种植情况，实行普惠特惠相结合补偿。探索推进耕地保护责任与经济补偿相挂钩制度，对非法占地、破坏耕地的农村集体组织，取消或扣减当年经济补偿，并追究相关单位和人员责任。</w:t>
      </w:r>
    </w:p>
    <w:p w14:paraId="5D955DF1">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统筹山水林田湖草系统治理。</w:t>
      </w:r>
      <w:r>
        <w:rPr>
          <w:rFonts w:hint="default" w:ascii="Times New Roman" w:hAnsi="Times New Roman" w:eastAsia="仿宋_GB2312" w:cs="Times New Roman"/>
          <w:color w:val="000000"/>
          <w:sz w:val="32"/>
          <w:szCs w:val="32"/>
          <w:highlight w:val="none"/>
          <w:u w:val="none"/>
        </w:rPr>
        <w:t>积极推进生态治理和修复，加强水土流失、土地沙化治理，持续推进退耕还林还草还湿，针对不同的草地、林地退化状况采取不同的恢复性保护措施，推动重点流域水土保持和综合治理，做好荒山绿化造林、坡耕地退耕还林、村屯和城镇绿化项目，加快落实耕地红线保护制度，将省级以上禁止开发区、生态环境敏感脆弱区和生态功能区设立统一的生态红线标识。积极开展生态补水工程、退耕还湿工程，扎实做好八一水库湿地、明义金达莱花山、幸福湿地保护工作，重点做好七虎力河、八虎力河、共和水库、向阳山水库、松木河的综合治理。</w:t>
      </w:r>
    </w:p>
    <w:p w14:paraId="4109ED16">
      <w:pPr>
        <w:pStyle w:val="2"/>
        <w:ind w:firstLine="480"/>
        <w:rPr>
          <w:rFonts w:hint="default" w:ascii="Times New Roman" w:hAnsi="Times New Roman" w:cs="Times New Roman"/>
          <w:color w:val="000000"/>
          <w:highlight w:val="none"/>
          <w:u w:val="none"/>
        </w:rPr>
      </w:pPr>
    </w:p>
    <w:p w14:paraId="3E640793">
      <w:pPr>
        <w:pStyle w:val="3"/>
        <w:rPr>
          <w:rFonts w:hint="default" w:ascii="Times New Roman" w:hAnsi="Times New Roman" w:eastAsia="仿宋_GB2312" w:cs="Times New Roman"/>
          <w:color w:val="000000"/>
          <w:szCs w:val="32"/>
          <w:highlight w:val="none"/>
          <w:u w:val="none"/>
        </w:rPr>
      </w:pPr>
      <w:bookmarkStart w:id="77" w:name="_Toc57252330"/>
      <w:bookmarkStart w:id="78" w:name="_Toc61268212"/>
      <w:r>
        <w:rPr>
          <w:rFonts w:hint="default" w:ascii="Times New Roman" w:hAnsi="Times New Roman" w:cs="Times New Roman"/>
          <w:b/>
          <w:color w:val="000000"/>
          <w:highlight w:val="none"/>
          <w:u w:val="none"/>
        </w:rPr>
        <w:t>第九章  注重文旅融合，</w:t>
      </w:r>
      <w:bookmarkEnd w:id="77"/>
      <w:bookmarkStart w:id="79" w:name="_Toc57252331"/>
      <w:r>
        <w:rPr>
          <w:rFonts w:hint="default" w:ascii="Times New Roman" w:hAnsi="Times New Roman" w:cs="Times New Roman"/>
          <w:b/>
          <w:color w:val="000000"/>
          <w:highlight w:val="none"/>
          <w:u w:val="none"/>
        </w:rPr>
        <w:t>推动文化产业高质量发展</w:t>
      </w:r>
      <w:bookmarkEnd w:id="78"/>
    </w:p>
    <w:p w14:paraId="089E9A42">
      <w:pPr>
        <w:pStyle w:val="13"/>
        <w:tabs>
          <w:tab w:val="right" w:leader="dot" w:pos="8296"/>
        </w:tabs>
        <w:spacing w:line="600" w:lineRule="exact"/>
        <w:ind w:left="0" w:leftChars="0" w:firstLine="640" w:firstLineChars="200"/>
        <w:jc w:val="left"/>
        <w:outlineLvl w:val="1"/>
        <w:rPr>
          <w:rFonts w:hint="default" w:ascii="Times New Roman" w:hAnsi="Times New Roman" w:eastAsia="仿宋_GB2312" w:cs="Times New Roman"/>
          <w:bCs/>
          <w:color w:val="000000"/>
          <w:sz w:val="32"/>
          <w:szCs w:val="32"/>
          <w:highlight w:val="none"/>
          <w:u w:val="none"/>
        </w:rPr>
      </w:pPr>
      <w:bookmarkStart w:id="80" w:name="_Toc60645244"/>
      <w:bookmarkStart w:id="81" w:name="_Toc61268213"/>
      <w:r>
        <w:rPr>
          <w:rFonts w:hint="default" w:ascii="Times New Roman" w:hAnsi="Times New Roman" w:eastAsia="仿宋_GB2312" w:cs="Times New Roman"/>
          <w:bCs/>
          <w:color w:val="000000"/>
          <w:sz w:val="32"/>
          <w:szCs w:val="32"/>
          <w:highlight w:val="none"/>
          <w:u w:val="none"/>
        </w:rPr>
        <w:t>坚持马克思主义在意识形态领域的指导地位，以社会主义核心价值观为统领，全面提升全县文明程度，充分挖掘地域文化内涵，推动文化产业向纵深发展，全面提升桦南县文旅产业发展水平。</w:t>
      </w:r>
      <w:bookmarkEnd w:id="80"/>
      <w:bookmarkEnd w:id="81"/>
    </w:p>
    <w:p w14:paraId="21A3A9CB">
      <w:pPr>
        <w:pStyle w:val="4"/>
        <w:rPr>
          <w:rFonts w:hint="default" w:ascii="Times New Roman" w:hAnsi="Times New Roman" w:cs="Times New Roman"/>
          <w:color w:val="000000"/>
          <w:highlight w:val="none"/>
          <w:u w:val="none"/>
        </w:rPr>
      </w:pPr>
      <w:bookmarkStart w:id="82" w:name="_Toc61268214"/>
      <w:r>
        <w:rPr>
          <w:rFonts w:hint="default" w:ascii="Times New Roman" w:hAnsi="Times New Roman" w:cs="Times New Roman"/>
          <w:color w:val="000000"/>
          <w:highlight w:val="none"/>
          <w:u w:val="none"/>
        </w:rPr>
        <w:t>第一节  提高社会文明程度</w:t>
      </w:r>
      <w:bookmarkEnd w:id="79"/>
      <w:bookmarkEnd w:id="82"/>
    </w:p>
    <w:p w14:paraId="09C90BFF">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坚持以群众共享城市发展成果为目标，以提高市民文明素质为重点，以文明创建引导人、提升人、发展人，举全县之力、聚全民之智、倾全城之情，加快推动新时代文明实践工作取得实效。</w:t>
      </w:r>
    </w:p>
    <w:p w14:paraId="4DD45042">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深入培育和践行社会主义核心价值观。</w:t>
      </w:r>
      <w:r>
        <w:rPr>
          <w:rFonts w:hint="default" w:ascii="Times New Roman" w:hAnsi="Times New Roman" w:eastAsia="仿宋_GB2312" w:cs="Times New Roman"/>
          <w:color w:val="000000"/>
          <w:sz w:val="32"/>
          <w:szCs w:val="32"/>
          <w:highlight w:val="none"/>
          <w:u w:val="none"/>
        </w:rPr>
        <w:t>把社会主义核心价值观贯穿于社会生活方方面面，广泛开展教育引导、舆论宣传、文化熏陶、制度保障和红色传承、国学浸润、全民读书、志愿服务等实践养成活动，进一步在落细、落小、落实上下功夫，引导人们在实践中深化认同理解、感悟真谛要义，内化为精神追求、外化为自觉行动，培育全社会知荣耻、讲义气、做奉献、促和谐的良好风尚。</w:t>
      </w:r>
    </w:p>
    <w:p w14:paraId="15D3D9FB">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深化群众性精神文明创建。</w:t>
      </w:r>
      <w:r>
        <w:rPr>
          <w:rFonts w:hint="default" w:ascii="Times New Roman" w:hAnsi="Times New Roman" w:eastAsia="仿宋_GB2312" w:cs="Times New Roman"/>
          <w:color w:val="000000"/>
          <w:sz w:val="32"/>
          <w:szCs w:val="32"/>
          <w:highlight w:val="none"/>
          <w:u w:val="none"/>
        </w:rPr>
        <w:t>广泛开展文明村镇、文明单位、文明校园、文明家庭以及“好媳妇 好婆婆”“好邻居”“好妯娌”“好夫妻”等群众精神文明创建评比活动，县级以上文明村创建率达到75%以上，文明单位、文明校园、文明家庭创建参与率达到20%以上，促进城乡文明程度整体提升。</w:t>
      </w:r>
    </w:p>
    <w:p w14:paraId="7BEE9D02">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提高市民文明素养和社会文明程度。</w:t>
      </w:r>
      <w:r>
        <w:rPr>
          <w:rFonts w:hint="default" w:ascii="Times New Roman" w:hAnsi="Times New Roman" w:eastAsia="仿宋_GB2312" w:cs="Times New Roman"/>
          <w:color w:val="000000"/>
          <w:sz w:val="32"/>
          <w:szCs w:val="32"/>
          <w:highlight w:val="none"/>
          <w:u w:val="none"/>
        </w:rPr>
        <w:t>巩固拓展全国文明城市为创建成果，发挥好新时代文明实践中心（所站）作用，广泛开展思想道德教育、文明行为劝导和文明创建实践系列活动，扎实推进新时代公民思想道德建设和爱国主义教育，全力打造“志愿服务之城”，促进市民文明素质养成和社会文明程度攀升</w:t>
      </w:r>
    </w:p>
    <w:p w14:paraId="3688B737">
      <w:pPr>
        <w:pStyle w:val="4"/>
        <w:rPr>
          <w:rFonts w:hint="default" w:ascii="Times New Roman" w:hAnsi="Times New Roman" w:cs="Times New Roman"/>
          <w:color w:val="000000"/>
          <w:highlight w:val="none"/>
          <w:u w:val="none"/>
        </w:rPr>
      </w:pPr>
      <w:bookmarkStart w:id="83" w:name="_Toc61268215"/>
      <w:r>
        <w:rPr>
          <w:rFonts w:hint="default" w:ascii="Times New Roman" w:hAnsi="Times New Roman" w:cs="Times New Roman"/>
          <w:color w:val="000000"/>
          <w:highlight w:val="none"/>
          <w:u w:val="none"/>
        </w:rPr>
        <w:t>第二节  优化全域旅游布局</w:t>
      </w:r>
      <w:bookmarkEnd w:id="83"/>
    </w:p>
    <w:p w14:paraId="267222C6">
      <w:pPr>
        <w:spacing w:line="600" w:lineRule="exact"/>
        <w:ind w:firstLine="640" w:firstLineChars="200"/>
        <w:rPr>
          <w:rFonts w:hint="default" w:ascii="Times New Roman" w:hAnsi="Times New Roman" w:cs="Times New Roman"/>
          <w:color w:val="000000"/>
          <w:highlight w:val="none"/>
          <w:u w:val="none"/>
        </w:rPr>
      </w:pPr>
      <w:r>
        <w:rPr>
          <w:rFonts w:hint="default" w:ascii="Times New Roman" w:hAnsi="Times New Roman" w:eastAsia="仿宋_GB2312" w:cs="Times New Roman"/>
          <w:color w:val="000000"/>
          <w:sz w:val="32"/>
          <w:szCs w:val="32"/>
          <w:highlight w:val="none"/>
          <w:u w:val="none"/>
        </w:rPr>
        <w:t>充分发挥旅游“一业兴百业”的带动作用，深入挖掘桦南旅游资源特点，大力推进“旅游+”，围绕全域统筹规划、全域合理布局、全域服务提升、全域系统营销，推动旅游业与文化产业、农业、工业、城镇建设、科技、体育赛事深度融合。全力打造全省首选的全域旅游目的地、房车营地和网红打卡地。</w:t>
      </w:r>
    </w:p>
    <w:p w14:paraId="25774CC8">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提升旅游区品位品质。</w:t>
      </w:r>
      <w:r>
        <w:rPr>
          <w:rFonts w:hint="default" w:ascii="Times New Roman" w:hAnsi="Times New Roman" w:eastAsia="仿宋_GB2312" w:cs="Times New Roman"/>
          <w:bCs/>
          <w:color w:val="000000"/>
          <w:sz w:val="32"/>
          <w:szCs w:val="32"/>
          <w:highlight w:val="none"/>
          <w:u w:val="none"/>
        </w:rPr>
        <w:t>加快完善向阳湖景区功能提升，</w:t>
      </w:r>
      <w:r>
        <w:rPr>
          <w:rFonts w:hint="default" w:ascii="Times New Roman" w:hAnsi="Times New Roman" w:eastAsia="仿宋_GB2312" w:cs="Times New Roman"/>
          <w:color w:val="000000"/>
          <w:sz w:val="32"/>
          <w:szCs w:val="32"/>
          <w:highlight w:val="none"/>
          <w:u w:val="none"/>
        </w:rPr>
        <w:t>打造一处集都市农业、休闲、旅游、养老、康居为一体的桦南县康养地，满足日益扩大的养老市场需求，规划建设以候鸟式养老、社区养老为主体的养老社区，面向具有品质居住需求的高端人群，建设山水湖墅康居生态区，满足供给侧和需求侧双向发展的现实需要。</w:t>
      </w:r>
    </w:p>
    <w:p w14:paraId="52A3E4E7">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加快打造高端旅游商业业态。</w:t>
      </w:r>
      <w:r>
        <w:rPr>
          <w:rFonts w:hint="default" w:ascii="Times New Roman" w:hAnsi="Times New Roman" w:eastAsia="仿宋_GB2312" w:cs="Times New Roman"/>
          <w:bCs/>
          <w:color w:val="000000"/>
          <w:sz w:val="32"/>
          <w:szCs w:val="32"/>
          <w:highlight w:val="none"/>
          <w:u w:val="none"/>
        </w:rPr>
        <w:t>优化城北片区开发布局，加快打造</w:t>
      </w:r>
      <w:r>
        <w:rPr>
          <w:rFonts w:hint="default" w:ascii="Times New Roman" w:hAnsi="Times New Roman" w:eastAsia="仿宋_GB2312" w:cs="Times New Roman"/>
          <w:color w:val="000000"/>
          <w:sz w:val="32"/>
          <w:szCs w:val="32"/>
          <w:highlight w:val="none"/>
          <w:u w:val="none"/>
        </w:rPr>
        <w:t>集采摘、观光、休闲、住宿、餐饮、婚宴、垂钓、文化活动于一体的现代农业旅游区，建成集居住、休闲、旅游、健身、娱乐于一体的城市休闲区，建设集商贸、特色餐饮、娱乐于一体的城市综合体。</w:t>
      </w:r>
    </w:p>
    <w:p w14:paraId="3529FC3E">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大力发展现代旅游文化产业。</w:t>
      </w:r>
      <w:r>
        <w:rPr>
          <w:rFonts w:hint="default" w:ascii="Times New Roman" w:hAnsi="Times New Roman" w:eastAsia="仿宋_GB2312" w:cs="Times New Roman"/>
          <w:color w:val="000000"/>
          <w:sz w:val="32"/>
          <w:szCs w:val="32"/>
          <w:highlight w:val="none"/>
          <w:u w:val="none"/>
        </w:rPr>
        <w:t>坚持“城旅同步、文旅融合、体旅结合、工旅联动、农旅牵手、商旅联姻”，坚持多规合一、全季发展，优化完善旅游总体规划，围绕“吃、住、行、游、购、娱、商、养、学、闲、情、奇”，打造一批精品旅游线路，加快建设3A级、4A级、5A级景区。</w:t>
      </w:r>
    </w:p>
    <w:p w14:paraId="3D9AABDA">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 w:cs="Times New Roman"/>
          <w:color w:val="000000"/>
          <w:sz w:val="32"/>
          <w:szCs w:val="32"/>
          <w:highlight w:val="none"/>
          <w:u w:val="none"/>
        </w:rPr>
        <w:t>——加快发展冰雪旅游产业，</w:t>
      </w:r>
      <w:r>
        <w:rPr>
          <w:rFonts w:hint="default" w:ascii="Times New Roman" w:hAnsi="Times New Roman" w:eastAsia="仿宋_GB2312" w:cs="Times New Roman"/>
          <w:bCs/>
          <w:color w:val="000000"/>
          <w:sz w:val="32"/>
          <w:szCs w:val="32"/>
          <w:highlight w:val="none"/>
          <w:u w:val="none"/>
        </w:rPr>
        <w:t>探索建立多元化的冰雪资源价值实现路径机制，</w:t>
      </w:r>
      <w:r>
        <w:rPr>
          <w:rFonts w:hint="default" w:ascii="Times New Roman" w:hAnsi="Times New Roman" w:eastAsia="仿宋_GB2312" w:cs="Times New Roman"/>
          <w:color w:val="000000"/>
          <w:sz w:val="32"/>
          <w:szCs w:val="32"/>
          <w:highlight w:val="none"/>
          <w:u w:val="none"/>
        </w:rPr>
        <w:t>构建大冰雪产业体系，开发向阳湖冰雪游乐场（园）、冰雕雪雕及滑冰滑雪等大众型游乐项目，举办冬捕文化旅游节、冰上汽车场地赛等活动，开展“冰天雪地、美好生活”系列群众文化活动和“百万青少年上冰雪”等活动，打造冰雪节庆、冰雪民俗等文化产品，促进冰雪旅游、冰雪运动、冰雪文化、冰雪艺术、冰雪装备、冰雪教育培训等协同创新发展，推动“冷资源”转化成“热经济”。</w:t>
      </w:r>
    </w:p>
    <w:p w14:paraId="2BDF8D5C">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 w:cs="Times New Roman"/>
          <w:color w:val="000000"/>
          <w:sz w:val="32"/>
          <w:szCs w:val="32"/>
          <w:highlight w:val="none"/>
          <w:u w:val="none"/>
        </w:rPr>
        <w:t>——加快发展文化旅游产业，</w:t>
      </w:r>
      <w:r>
        <w:rPr>
          <w:rFonts w:hint="default" w:ascii="Times New Roman" w:hAnsi="Times New Roman" w:eastAsia="仿宋_GB2312" w:cs="Times New Roman"/>
          <w:color w:val="000000"/>
          <w:sz w:val="32"/>
          <w:szCs w:val="32"/>
          <w:highlight w:val="none"/>
          <w:u w:val="none"/>
        </w:rPr>
        <w:t>做大做强桦南映山红音乐节文化品牌，积极推进幸福湿地时尚文化创意产业园项目建设，着力打造一批国家级省级历史民宿乡村。积极承接冰球、滑冰、半程马拉松、自行车、皮划艇等国家级体育赛事，开展全面健身徒步行、全面运动会、农民丰收节等活动。</w:t>
      </w:r>
    </w:p>
    <w:p w14:paraId="005FFE26">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 w:cs="Times New Roman"/>
          <w:color w:val="000000"/>
          <w:sz w:val="32"/>
          <w:szCs w:val="32"/>
          <w:highlight w:val="none"/>
          <w:u w:val="none"/>
        </w:rPr>
        <w:t>——加快发展红色旅游产业，</w:t>
      </w:r>
      <w:r>
        <w:rPr>
          <w:rFonts w:hint="default" w:ascii="Times New Roman" w:hAnsi="Times New Roman" w:eastAsia="仿宋_GB2312" w:cs="Times New Roman"/>
          <w:color w:val="000000"/>
          <w:sz w:val="32"/>
          <w:szCs w:val="32"/>
          <w:highlight w:val="none"/>
          <w:u w:val="none"/>
        </w:rPr>
        <w:t>重点打造土龙山-致中大街-博物馆-森工特色大院-七星峰红色旅游精品线路，稳步推进土龙山农民抗日武装暴动纪念馆、侵华日军飞机堡遗址公园项目建设。</w:t>
      </w:r>
    </w:p>
    <w:p w14:paraId="7984300A">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 w:cs="Times New Roman"/>
          <w:color w:val="000000"/>
          <w:sz w:val="32"/>
          <w:szCs w:val="32"/>
          <w:highlight w:val="none"/>
          <w:u w:val="none"/>
        </w:rPr>
        <w:t>——加快发展休闲旅游产业，</w:t>
      </w:r>
      <w:r>
        <w:rPr>
          <w:rFonts w:hint="default" w:ascii="Times New Roman" w:hAnsi="Times New Roman" w:eastAsia="仿宋_GB2312" w:cs="Times New Roman"/>
          <w:color w:val="000000"/>
          <w:sz w:val="32"/>
          <w:szCs w:val="32"/>
          <w:highlight w:val="none"/>
          <w:u w:val="none"/>
        </w:rPr>
        <w:t>重点抓好国家级休闲农业重点县创建工作，积极推进向阳湖家属区特色民宿项目建设，谋划推进少数民族旅游村及基础设施建设，抓好“桦南关药基地特色小镇”和明义旅游村项目建设。</w:t>
      </w:r>
    </w:p>
    <w:p w14:paraId="7AB16159">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 w:cs="Times New Roman"/>
          <w:color w:val="000000"/>
          <w:sz w:val="32"/>
          <w:szCs w:val="32"/>
          <w:highlight w:val="none"/>
          <w:u w:val="none"/>
        </w:rPr>
        <w:t>——加快发展观光旅游产业，</w:t>
      </w:r>
      <w:r>
        <w:rPr>
          <w:rFonts w:hint="default" w:ascii="Times New Roman" w:hAnsi="Times New Roman" w:eastAsia="仿宋_GB2312" w:cs="Times New Roman"/>
          <w:color w:val="000000"/>
          <w:sz w:val="32"/>
          <w:szCs w:val="32"/>
          <w:highlight w:val="none"/>
          <w:u w:val="none"/>
        </w:rPr>
        <w:t>重点打造两条森林蒸汽小火车旅游精品线路，做好铁路沿线观光带和花海站等项目建设，加快建设桦南站至红光站旅游线路。</w:t>
      </w:r>
    </w:p>
    <w:p w14:paraId="5E2191CE">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楷体" w:cs="Times New Roman"/>
          <w:color w:val="000000"/>
          <w:sz w:val="32"/>
          <w:szCs w:val="32"/>
          <w:highlight w:val="none"/>
          <w:u w:val="none"/>
        </w:rPr>
        <w:t>——加快发展商贸旅游产业，</w:t>
      </w:r>
      <w:r>
        <w:rPr>
          <w:rFonts w:hint="default" w:ascii="Times New Roman" w:hAnsi="Times New Roman" w:eastAsia="仿宋_GB2312" w:cs="Times New Roman"/>
          <w:color w:val="000000"/>
          <w:sz w:val="32"/>
          <w:szCs w:val="32"/>
          <w:highlight w:val="none"/>
          <w:u w:val="none"/>
        </w:rPr>
        <w:t>重点建设现代商贸旅游经济圈，抓好桦南招远皮草旅游小镇项目前期规划设计，打造黑龙江东部商贸综合旅游重要板块，推动桦南旅游特色化、精品化、规范化、产业化发展。</w:t>
      </w:r>
    </w:p>
    <w:tbl>
      <w:tblPr>
        <w:tblStyle w:val="17"/>
        <w:tblpPr w:leftFromText="180" w:rightFromText="180" w:vertAnchor="text" w:horzAnchor="page" w:tblpX="1620" w:tblpY="370"/>
        <w:tblOverlap w:val="never"/>
        <w:tblW w:w="0" w:type="auto"/>
        <w:tblInd w:w="0" w:type="dxa"/>
        <w:tblLayout w:type="fixed"/>
        <w:tblCellMar>
          <w:top w:w="0" w:type="dxa"/>
          <w:left w:w="0" w:type="dxa"/>
          <w:bottom w:w="0" w:type="dxa"/>
          <w:right w:w="0" w:type="dxa"/>
        </w:tblCellMar>
      </w:tblPr>
      <w:tblGrid>
        <w:gridCol w:w="1762"/>
        <w:gridCol w:w="7313"/>
      </w:tblGrid>
      <w:tr w14:paraId="4BB232C7">
        <w:tblPrEx>
          <w:tblCellMar>
            <w:top w:w="0" w:type="dxa"/>
            <w:left w:w="0" w:type="dxa"/>
            <w:bottom w:w="0" w:type="dxa"/>
            <w:right w:w="0" w:type="dxa"/>
          </w:tblCellMar>
        </w:tblPrEx>
        <w:trPr>
          <w:trHeight w:val="624" w:hRule="atLeast"/>
        </w:trPr>
        <w:tc>
          <w:tcPr>
            <w:tcW w:w="9075" w:type="dxa"/>
            <w:gridSpan w:val="2"/>
            <w:tcBorders>
              <w:top w:val="nil"/>
              <w:left w:val="nil"/>
              <w:bottom w:val="nil"/>
              <w:right w:val="nil"/>
            </w:tcBorders>
            <w:noWrap w:val="0"/>
            <w:tcMar>
              <w:top w:w="15" w:type="dxa"/>
              <w:left w:w="15" w:type="dxa"/>
              <w:right w:w="15" w:type="dxa"/>
            </w:tcMar>
            <w:vAlign w:val="center"/>
          </w:tcPr>
          <w:p w14:paraId="3DA253AA">
            <w:pPr>
              <w:widowControl/>
              <w:jc w:val="center"/>
              <w:textAlignment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kern w:val="0"/>
                <w:sz w:val="28"/>
                <w:szCs w:val="28"/>
                <w:highlight w:val="none"/>
                <w:u w:val="none"/>
              </w:rPr>
              <w:t>专栏18:六大旅游文化产业带建设提升项目</w:t>
            </w:r>
          </w:p>
        </w:tc>
      </w:tr>
      <w:tr w14:paraId="326FA66F">
        <w:tblPrEx>
          <w:tblCellMar>
            <w:top w:w="0" w:type="dxa"/>
            <w:left w:w="0" w:type="dxa"/>
            <w:bottom w:w="0" w:type="dxa"/>
            <w:right w:w="0" w:type="dxa"/>
          </w:tblCellMar>
        </w:tblPrEx>
        <w:trPr>
          <w:trHeight w:val="585" w:hRule="atLeast"/>
        </w:trPr>
        <w:tc>
          <w:tcPr>
            <w:tcW w:w="1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AFE25">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7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24B35">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w:t>
            </w:r>
          </w:p>
        </w:tc>
      </w:tr>
      <w:tr w14:paraId="1733043E">
        <w:tblPrEx>
          <w:tblCellMar>
            <w:top w:w="0" w:type="dxa"/>
            <w:left w:w="0" w:type="dxa"/>
            <w:bottom w:w="0" w:type="dxa"/>
            <w:right w:w="0" w:type="dxa"/>
          </w:tblCellMar>
        </w:tblPrEx>
        <w:trPr>
          <w:trHeight w:val="1121" w:hRule="atLeast"/>
        </w:trPr>
        <w:tc>
          <w:tcPr>
            <w:tcW w:w="176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56ADE86">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冰雪旅游</w:t>
            </w:r>
          </w:p>
        </w:tc>
        <w:tc>
          <w:tcPr>
            <w:tcW w:w="7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87E83">
            <w:pPr>
              <w:rPr>
                <w:rFonts w:hint="default" w:ascii="Times New Roman" w:hAnsi="Times New Roman" w:cs="Times New Roman"/>
                <w:color w:val="000000"/>
                <w:sz w:val="24"/>
                <w:highlight w:val="none"/>
                <w:u w:val="none"/>
              </w:rPr>
            </w:pPr>
            <w:r>
              <w:rPr>
                <w:rFonts w:hint="default" w:ascii="Times New Roman" w:hAnsi="Times New Roman" w:cs="Times New Roman"/>
                <w:color w:val="000000"/>
                <w:sz w:val="24"/>
                <w:highlight w:val="none"/>
                <w:u w:val="none"/>
              </w:rPr>
              <w:t>向阳湖冰雪游乐园项目，桦南县向阳湖杯冰上汽车场地赛项目</w:t>
            </w:r>
            <w:r>
              <w:rPr>
                <w:rFonts w:hint="default" w:ascii="Times New Roman" w:hAnsi="Times New Roman" w:cs="Times New Roman"/>
                <w:bCs/>
                <w:color w:val="000000"/>
                <w:sz w:val="24"/>
                <w:highlight w:val="none"/>
                <w:u w:val="none"/>
                <w:lang w:bidi="ar"/>
              </w:rPr>
              <w:t>，桦西湖冰雪嘉年华项目，桦南县向阳湖和团结湖冬捕文化旅游节项目，冰上龙舟赛项目，建设冰雕雪雕项目。</w:t>
            </w:r>
          </w:p>
        </w:tc>
      </w:tr>
      <w:tr w14:paraId="39E9E218">
        <w:tblPrEx>
          <w:tblCellMar>
            <w:top w:w="0" w:type="dxa"/>
            <w:left w:w="0" w:type="dxa"/>
            <w:bottom w:w="0" w:type="dxa"/>
            <w:right w:w="0" w:type="dxa"/>
          </w:tblCellMar>
        </w:tblPrEx>
        <w:trPr>
          <w:trHeight w:val="1448" w:hRule="atLeast"/>
        </w:trPr>
        <w:tc>
          <w:tcPr>
            <w:tcW w:w="176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2D7D6CF">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文化旅游</w:t>
            </w:r>
          </w:p>
        </w:tc>
        <w:tc>
          <w:tcPr>
            <w:tcW w:w="7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C0B24">
            <w:pPr>
              <w:widowControl/>
              <w:textAlignment w:val="cente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水泥工业博物馆建设项目，“美术馆、青少年宫、规划馆”三馆建设项目，向阳山全域旅游及康养项目，皮草小镇建设项目，中国关药特色小镇建设项目，森林蒸汽观光小火车开发项目，现代农业生态休闲观光园建设项目，自驾车营地建设项目，老街里民宿影视基地项目。</w:t>
            </w:r>
          </w:p>
        </w:tc>
      </w:tr>
      <w:tr w14:paraId="6EE6B839">
        <w:tblPrEx>
          <w:tblCellMar>
            <w:top w:w="0" w:type="dxa"/>
            <w:left w:w="0" w:type="dxa"/>
            <w:bottom w:w="0" w:type="dxa"/>
            <w:right w:w="0" w:type="dxa"/>
          </w:tblCellMar>
        </w:tblPrEx>
        <w:trPr>
          <w:trHeight w:val="600" w:hRule="atLeast"/>
        </w:trPr>
        <w:tc>
          <w:tcPr>
            <w:tcW w:w="1762"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14:paraId="5BD5EBFB">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红色旅游</w:t>
            </w:r>
          </w:p>
        </w:tc>
        <w:tc>
          <w:tcPr>
            <w:tcW w:w="7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D9CCF">
            <w:pPr>
              <w:widowControl/>
              <w:textAlignment w:val="cente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土龙山农民抗日武装暴动展馆，土龙山飞机堡抗日遗址公园，驼腰子金矿遗址恢复等红色旅游基地项目。抗联英雄祁致中纪念馆，祁致中大街项目。</w:t>
            </w:r>
          </w:p>
        </w:tc>
      </w:tr>
      <w:tr w14:paraId="709A3A22">
        <w:tblPrEx>
          <w:tblCellMar>
            <w:top w:w="0" w:type="dxa"/>
            <w:left w:w="0" w:type="dxa"/>
            <w:bottom w:w="0" w:type="dxa"/>
            <w:right w:w="0" w:type="dxa"/>
          </w:tblCellMar>
        </w:tblPrEx>
        <w:trPr>
          <w:trHeight w:val="600" w:hRule="atLeast"/>
        </w:trPr>
        <w:tc>
          <w:tcPr>
            <w:tcW w:w="1762"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14:paraId="07C2FEF4">
            <w:pPr>
              <w:widowControl/>
              <w:rPr>
                <w:rFonts w:hint="default" w:ascii="Times New Roman" w:hAnsi="Times New Roman" w:cs="Times New Roman"/>
                <w:b/>
                <w:bCs/>
                <w:color w:val="000000"/>
                <w:kern w:val="0"/>
                <w:sz w:val="24"/>
                <w:highlight w:val="none"/>
                <w:u w:val="none"/>
              </w:rPr>
            </w:pPr>
          </w:p>
        </w:tc>
        <w:tc>
          <w:tcPr>
            <w:tcW w:w="7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D51E6">
            <w:pPr>
              <w:widowControl/>
              <w:textAlignment w:val="center"/>
              <w:rPr>
                <w:rFonts w:hint="default" w:ascii="Times New Roman" w:hAnsi="Times New Roman" w:cs="Times New Roman"/>
                <w:color w:val="000000"/>
                <w:kern w:val="0"/>
                <w:sz w:val="24"/>
                <w:highlight w:val="none"/>
                <w:u w:val="none"/>
              </w:rPr>
            </w:pPr>
          </w:p>
        </w:tc>
      </w:tr>
      <w:tr w14:paraId="067BA245">
        <w:tblPrEx>
          <w:tblCellMar>
            <w:top w:w="0" w:type="dxa"/>
            <w:left w:w="0" w:type="dxa"/>
            <w:bottom w:w="0" w:type="dxa"/>
            <w:right w:w="0" w:type="dxa"/>
          </w:tblCellMar>
        </w:tblPrEx>
        <w:trPr>
          <w:trHeight w:val="600" w:hRule="atLeast"/>
        </w:trPr>
        <w:tc>
          <w:tcPr>
            <w:tcW w:w="1762"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BF22E22">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生态休闲旅游</w:t>
            </w:r>
          </w:p>
        </w:tc>
        <w:tc>
          <w:tcPr>
            <w:tcW w:w="7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CD4B0">
            <w:pPr>
              <w:widowControl/>
              <w:textAlignment w:val="cente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桦南县中国关药基地特色小镇项目，明义乡明义村提升改造“旅游村”项目，向阳湖风景区基础设施新建及改造升级项目。向阳湖冷水渔村文化旅游项目。</w:t>
            </w:r>
          </w:p>
        </w:tc>
      </w:tr>
      <w:tr w14:paraId="6D0EC55B">
        <w:tblPrEx>
          <w:tblCellMar>
            <w:top w:w="0" w:type="dxa"/>
            <w:left w:w="0" w:type="dxa"/>
            <w:bottom w:w="0" w:type="dxa"/>
            <w:right w:w="0" w:type="dxa"/>
          </w:tblCellMar>
        </w:tblPrEx>
        <w:trPr>
          <w:trHeight w:val="600" w:hRule="atLeast"/>
        </w:trPr>
        <w:tc>
          <w:tcPr>
            <w:tcW w:w="1762"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29B0539">
            <w:pPr>
              <w:widowControl/>
              <w:rPr>
                <w:rFonts w:hint="default" w:ascii="Times New Roman" w:hAnsi="Times New Roman" w:cs="Times New Roman"/>
                <w:b/>
                <w:bCs/>
                <w:color w:val="000000"/>
                <w:kern w:val="0"/>
                <w:sz w:val="24"/>
                <w:highlight w:val="none"/>
                <w:u w:val="none"/>
              </w:rPr>
            </w:pPr>
          </w:p>
        </w:tc>
        <w:tc>
          <w:tcPr>
            <w:tcW w:w="7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C2DD9">
            <w:pPr>
              <w:widowControl/>
              <w:textAlignment w:val="center"/>
              <w:rPr>
                <w:rFonts w:hint="default" w:ascii="Times New Roman" w:hAnsi="Times New Roman" w:cs="Times New Roman"/>
                <w:color w:val="000000"/>
                <w:kern w:val="0"/>
                <w:sz w:val="24"/>
                <w:highlight w:val="none"/>
                <w:u w:val="none"/>
              </w:rPr>
            </w:pPr>
          </w:p>
        </w:tc>
      </w:tr>
      <w:tr w14:paraId="0C27C873">
        <w:tblPrEx>
          <w:tblCellMar>
            <w:top w:w="0" w:type="dxa"/>
            <w:left w:w="0" w:type="dxa"/>
            <w:bottom w:w="0" w:type="dxa"/>
            <w:right w:w="0" w:type="dxa"/>
          </w:tblCellMar>
        </w:tblPrEx>
        <w:trPr>
          <w:trHeight w:val="615" w:hRule="atLeast"/>
        </w:trPr>
        <w:tc>
          <w:tcPr>
            <w:tcW w:w="1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4B095">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特色观光旅游</w:t>
            </w:r>
          </w:p>
        </w:tc>
        <w:tc>
          <w:tcPr>
            <w:tcW w:w="7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1DC25">
            <w:pPr>
              <w:widowControl/>
              <w:textAlignment w:val="cente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蒸汽小火车旅游基础设施项目。立新森林蒸汽小火车二期建设项目。</w:t>
            </w:r>
          </w:p>
        </w:tc>
      </w:tr>
      <w:tr w14:paraId="2033A845">
        <w:tblPrEx>
          <w:tblCellMar>
            <w:top w:w="0" w:type="dxa"/>
            <w:left w:w="0" w:type="dxa"/>
            <w:bottom w:w="0" w:type="dxa"/>
            <w:right w:w="0" w:type="dxa"/>
          </w:tblCellMar>
        </w:tblPrEx>
        <w:trPr>
          <w:trHeight w:val="570" w:hRule="atLeast"/>
        </w:trPr>
        <w:tc>
          <w:tcPr>
            <w:tcW w:w="1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813AA">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商贸综合旅游</w:t>
            </w:r>
          </w:p>
        </w:tc>
        <w:tc>
          <w:tcPr>
            <w:tcW w:w="7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C5B7F">
            <w:pPr>
              <w:widowControl/>
              <w:textAlignment w:val="cente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桦南县皮草旅游小镇项目，高档商业步行街项目。</w:t>
            </w:r>
          </w:p>
        </w:tc>
      </w:tr>
      <w:tr w14:paraId="47AD0C5C">
        <w:tblPrEx>
          <w:tblCellMar>
            <w:top w:w="0" w:type="dxa"/>
            <w:left w:w="0" w:type="dxa"/>
            <w:bottom w:w="0" w:type="dxa"/>
            <w:right w:w="0" w:type="dxa"/>
          </w:tblCellMar>
        </w:tblPrEx>
        <w:trPr>
          <w:trHeight w:val="600" w:hRule="atLeast"/>
        </w:trPr>
        <w:tc>
          <w:tcPr>
            <w:tcW w:w="17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B2AB4">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其他</w:t>
            </w:r>
          </w:p>
        </w:tc>
        <w:tc>
          <w:tcPr>
            <w:tcW w:w="7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8ADB4">
            <w:pPr>
              <w:widowControl/>
              <w:textAlignment w:val="center"/>
              <w:rPr>
                <w:rFonts w:hint="default" w:ascii="Times New Roman" w:hAnsi="Times New Roman" w:cs="Times New Roman"/>
                <w:color w:val="000000"/>
                <w:sz w:val="24"/>
                <w:highlight w:val="none"/>
                <w:u w:val="none"/>
              </w:rPr>
            </w:pPr>
            <w:r>
              <w:rPr>
                <w:rFonts w:hint="default" w:ascii="Times New Roman" w:hAnsi="Times New Roman" w:cs="Times New Roman"/>
                <w:color w:val="000000"/>
                <w:kern w:val="0"/>
                <w:sz w:val="24"/>
                <w:highlight w:val="none"/>
                <w:u w:val="none"/>
              </w:rPr>
              <w:t>桦西湖景区游客集散中心项目，全域旅游标识系统项目（土龙、向阳湖景区、桦西湖景区），各旅游景区厕所工程项目（新建、改建旅游厕所11座）。</w:t>
            </w:r>
          </w:p>
        </w:tc>
      </w:tr>
      <w:tr w14:paraId="69769B5B">
        <w:tblPrEx>
          <w:tblCellMar>
            <w:top w:w="0" w:type="dxa"/>
            <w:left w:w="0" w:type="dxa"/>
            <w:bottom w:w="0" w:type="dxa"/>
            <w:right w:w="0" w:type="dxa"/>
          </w:tblCellMar>
        </w:tblPrEx>
        <w:trPr>
          <w:trHeight w:val="600" w:hRule="atLeast"/>
        </w:trPr>
        <w:tc>
          <w:tcPr>
            <w:tcW w:w="1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5DE10">
            <w:pPr>
              <w:spacing w:line="600" w:lineRule="exact"/>
              <w:rPr>
                <w:rFonts w:hint="default" w:ascii="Times New Roman" w:hAnsi="Times New Roman" w:cs="Times New Roman"/>
                <w:color w:val="000000"/>
                <w:sz w:val="20"/>
                <w:szCs w:val="20"/>
                <w:highlight w:val="none"/>
                <w:u w:val="none"/>
              </w:rPr>
            </w:pPr>
          </w:p>
        </w:tc>
        <w:tc>
          <w:tcPr>
            <w:tcW w:w="7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488C8">
            <w:pPr>
              <w:spacing w:line="600" w:lineRule="exact"/>
              <w:rPr>
                <w:rFonts w:hint="default" w:ascii="Times New Roman" w:hAnsi="Times New Roman" w:cs="Times New Roman"/>
                <w:color w:val="000000"/>
                <w:sz w:val="20"/>
                <w:szCs w:val="20"/>
                <w:highlight w:val="none"/>
                <w:u w:val="none"/>
              </w:rPr>
            </w:pPr>
          </w:p>
        </w:tc>
      </w:tr>
    </w:tbl>
    <w:p w14:paraId="3B04CF8C">
      <w:pPr>
        <w:spacing w:line="600" w:lineRule="exact"/>
        <w:rPr>
          <w:rFonts w:hint="default" w:ascii="Times New Roman" w:hAnsi="Times New Roman" w:cs="Times New Roman"/>
          <w:b/>
          <w:color w:val="000000"/>
          <w:sz w:val="32"/>
          <w:szCs w:val="32"/>
          <w:highlight w:val="none"/>
          <w:u w:val="none"/>
        </w:rPr>
      </w:pPr>
      <w:bookmarkStart w:id="84" w:name="_Toc57252337"/>
    </w:p>
    <w:p w14:paraId="77E671FA">
      <w:pPr>
        <w:spacing w:line="600" w:lineRule="exact"/>
        <w:ind w:firstLine="643" w:firstLineChars="200"/>
        <w:rPr>
          <w:rFonts w:hint="default" w:ascii="Times New Roman" w:hAnsi="Times New Roman" w:eastAsia="仿宋_GB2312" w:cs="Times New Roman"/>
          <w:b/>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完善提升旅游基础设施</w:t>
      </w:r>
      <w:bookmarkEnd w:id="84"/>
      <w:r>
        <w:rPr>
          <w:rFonts w:hint="default" w:ascii="Times New Roman" w:hAnsi="Times New Roman" w:eastAsia="仿宋_GB2312" w:cs="Times New Roman"/>
          <w:b/>
          <w:color w:val="000000"/>
          <w:sz w:val="32"/>
          <w:szCs w:val="32"/>
          <w:highlight w:val="none"/>
          <w:u w:val="none"/>
        </w:rPr>
        <w:t>。</w:t>
      </w:r>
      <w:r>
        <w:rPr>
          <w:rFonts w:hint="default" w:ascii="Times New Roman" w:hAnsi="Times New Roman" w:eastAsia="仿宋_GB2312" w:cs="Times New Roman"/>
          <w:color w:val="000000"/>
          <w:sz w:val="32"/>
          <w:szCs w:val="32"/>
          <w:highlight w:val="none"/>
          <w:u w:val="none"/>
        </w:rPr>
        <w:t>加强旅游公路和景区交通提示设施，提高景区的通达性和集聚性。加强汽车营地建设，加强景区景点5G基站建设，积极发展智慧旅游。优化全域旅游标志标识系统，加强停车场、环保公厕、旅游标识、购物市场等景区配套设施建设，提高综合竞争能力。继续深入推进旅游强乡镇、旅游特色村和工农业旅游示范点的创建工作，有序保护修复生态环境、历史建筑、古村古居等旅游资源。</w:t>
      </w:r>
    </w:p>
    <w:p w14:paraId="1CA1AF53">
      <w:pPr>
        <w:pStyle w:val="4"/>
        <w:rPr>
          <w:rFonts w:hint="default" w:ascii="Times New Roman" w:hAnsi="Times New Roman" w:cs="Times New Roman"/>
          <w:color w:val="000000"/>
          <w:highlight w:val="none"/>
          <w:u w:val="none"/>
        </w:rPr>
      </w:pPr>
      <w:bookmarkStart w:id="85" w:name="_Toc61268216"/>
      <w:r>
        <w:rPr>
          <w:rFonts w:hint="default" w:ascii="Times New Roman" w:hAnsi="Times New Roman" w:cs="Times New Roman"/>
          <w:color w:val="000000"/>
          <w:highlight w:val="none"/>
          <w:u w:val="none"/>
        </w:rPr>
        <w:t>第三节  提高公共文化服务水平</w:t>
      </w:r>
      <w:bookmarkEnd w:id="85"/>
    </w:p>
    <w:p w14:paraId="3CBBE91C">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加强文化遗产保护和传承。</w:t>
      </w:r>
      <w:r>
        <w:rPr>
          <w:rFonts w:hint="default" w:ascii="Times New Roman" w:hAnsi="Times New Roman" w:eastAsia="仿宋_GB2312" w:cs="Times New Roman"/>
          <w:color w:val="000000"/>
          <w:sz w:val="32"/>
          <w:szCs w:val="32"/>
          <w:highlight w:val="none"/>
          <w:u w:val="none"/>
        </w:rPr>
        <w:t>依托爱国主义教育基地，全方位、多层次开展文化遗产保护传承活动，重点围绕农耕文化、淘金文化、抗联文化、知青文化，加大文化遗产知识普及，做好文物征集和保护，激励广大群众保护文化遗产、传承历史文脉，让桦南文化遗产展现出永久魅力和时代风采。</w:t>
      </w:r>
    </w:p>
    <w:p w14:paraId="25D9C684">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健全现代文化产业体系。</w:t>
      </w:r>
      <w:r>
        <w:rPr>
          <w:rFonts w:hint="default" w:ascii="Times New Roman" w:hAnsi="Times New Roman" w:eastAsia="仿宋_GB2312" w:cs="Times New Roman"/>
          <w:color w:val="000000"/>
          <w:sz w:val="32"/>
          <w:szCs w:val="32"/>
          <w:highlight w:val="none"/>
          <w:u w:val="none"/>
        </w:rPr>
        <w:t>持续推动文化与创意、科技、旅游等产业深度融合，培育新型文化业态和文化消费模式。加快发展具有地方特色的设计创意业、现代传媒业、文化旅游业、文化会展业等产业，积极扶持小微文化企业发展，构建特色鲜明、结构合理、技术先进、品牌名优的现代文化产业体系。</w:t>
      </w:r>
    </w:p>
    <w:p w14:paraId="446130F9">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繁荣文艺创作生产。</w:t>
      </w:r>
      <w:r>
        <w:rPr>
          <w:rFonts w:hint="default" w:ascii="Times New Roman" w:hAnsi="Times New Roman" w:eastAsia="仿宋_GB2312" w:cs="Times New Roman"/>
          <w:color w:val="000000"/>
          <w:sz w:val="32"/>
          <w:szCs w:val="32"/>
          <w:highlight w:val="none"/>
          <w:u w:val="none"/>
        </w:rPr>
        <w:t>实施文化精品工程，推进城乡公共文化服务体系一体化和数字化建设，认真组织制订全县文艺创作中长期规划，根据实际情况分年度编制题材规划，建立文艺作品创作题材库，加快推出一批有筋骨、有道德、有温度的精品力作，打造桦南文化品牌。</w:t>
      </w:r>
    </w:p>
    <w:p w14:paraId="1B2EFD7E">
      <w:pPr>
        <w:jc w:val="center"/>
        <w:rPr>
          <w:rFonts w:hint="default" w:ascii="Times New Roman" w:hAnsi="Times New Roman" w:cs="Times New Roman"/>
          <w:b/>
          <w:color w:val="000000"/>
          <w:sz w:val="28"/>
          <w:szCs w:val="28"/>
          <w:highlight w:val="none"/>
          <w:u w:val="none"/>
        </w:rPr>
      </w:pPr>
      <w:r>
        <w:rPr>
          <w:rFonts w:hint="default" w:ascii="Times New Roman" w:hAnsi="Times New Roman" w:cs="Times New Roman"/>
          <w:b/>
          <w:color w:val="000000"/>
          <w:kern w:val="0"/>
          <w:sz w:val="28"/>
          <w:szCs w:val="28"/>
          <w:highlight w:val="none"/>
          <w:u w:val="none"/>
        </w:rPr>
        <w:t>专栏19:文化惠民项目</w:t>
      </w:r>
    </w:p>
    <w:tbl>
      <w:tblPr>
        <w:tblStyle w:val="17"/>
        <w:tblW w:w="0" w:type="auto"/>
        <w:jc w:val="center"/>
        <w:tblLayout w:type="fixed"/>
        <w:tblCellMar>
          <w:top w:w="0" w:type="dxa"/>
          <w:left w:w="108" w:type="dxa"/>
          <w:bottom w:w="0" w:type="dxa"/>
          <w:right w:w="108" w:type="dxa"/>
        </w:tblCellMar>
      </w:tblPr>
      <w:tblGrid>
        <w:gridCol w:w="2020"/>
        <w:gridCol w:w="6518"/>
      </w:tblGrid>
      <w:tr w14:paraId="1F6D95ED">
        <w:tblPrEx>
          <w:tblCellMar>
            <w:top w:w="0" w:type="dxa"/>
            <w:left w:w="108" w:type="dxa"/>
            <w:bottom w:w="0" w:type="dxa"/>
            <w:right w:w="108" w:type="dxa"/>
          </w:tblCellMar>
        </w:tblPrEx>
        <w:trPr>
          <w:trHeight w:val="1296" w:hRule="atLeast"/>
          <w:jc w:val="center"/>
        </w:trPr>
        <w:tc>
          <w:tcPr>
            <w:tcW w:w="2020" w:type="dxa"/>
            <w:tcBorders>
              <w:top w:val="single" w:color="auto" w:sz="4" w:space="0"/>
              <w:left w:val="nil"/>
              <w:bottom w:val="single" w:color="auto" w:sz="4" w:space="0"/>
              <w:right w:val="single" w:color="auto" w:sz="4" w:space="0"/>
            </w:tcBorders>
            <w:noWrap w:val="0"/>
            <w:vAlign w:val="center"/>
          </w:tcPr>
          <w:p w14:paraId="46EEB933">
            <w:pP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文化惠民工程</w:t>
            </w:r>
          </w:p>
        </w:tc>
        <w:tc>
          <w:tcPr>
            <w:tcW w:w="6518" w:type="dxa"/>
            <w:tcBorders>
              <w:top w:val="single" w:color="auto" w:sz="4" w:space="0"/>
              <w:left w:val="nil"/>
              <w:bottom w:val="single" w:color="auto" w:sz="4" w:space="0"/>
              <w:right w:val="nil"/>
            </w:tcBorders>
            <w:noWrap w:val="0"/>
            <w:vAlign w:val="center"/>
          </w:tcPr>
          <w:p w14:paraId="52B86A93">
            <w:pP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文化馆数字化服务项目，乡镇文化站建设项目。广播电视制播能力建设工程项目，桦南县应急广播村村通工程项目。</w:t>
            </w:r>
          </w:p>
        </w:tc>
      </w:tr>
    </w:tbl>
    <w:p w14:paraId="7CB456B8">
      <w:pPr>
        <w:pStyle w:val="15"/>
        <w:spacing w:before="0" w:beforeLines="0" w:after="0" w:afterLines="0" w:line="600" w:lineRule="exact"/>
        <w:rPr>
          <w:rFonts w:hint="default" w:ascii="Times New Roman" w:hAnsi="Times New Roman" w:cs="Times New Roman"/>
          <w:color w:val="000000"/>
          <w:highlight w:val="none"/>
          <w:u w:val="none"/>
        </w:rPr>
      </w:pPr>
    </w:p>
    <w:p w14:paraId="0F223F41">
      <w:pPr>
        <w:pStyle w:val="3"/>
        <w:rPr>
          <w:rFonts w:hint="default" w:ascii="Times New Roman" w:hAnsi="Times New Roman" w:cs="Times New Roman"/>
          <w:b/>
          <w:color w:val="000000"/>
          <w:highlight w:val="none"/>
          <w:u w:val="none"/>
        </w:rPr>
      </w:pPr>
      <w:bookmarkStart w:id="86" w:name="_Toc4331"/>
      <w:bookmarkStart w:id="87" w:name="_Toc12432"/>
      <w:bookmarkStart w:id="88" w:name="_Toc61268217"/>
      <w:r>
        <w:rPr>
          <w:rFonts w:hint="default" w:ascii="Times New Roman" w:hAnsi="Times New Roman" w:cs="Times New Roman"/>
          <w:b/>
          <w:color w:val="000000"/>
          <w:highlight w:val="none"/>
          <w:u w:val="none"/>
        </w:rPr>
        <w:t>第十章  强化互联互通，增强基础设施保障能力</w:t>
      </w:r>
      <w:bookmarkEnd w:id="86"/>
      <w:bookmarkEnd w:id="87"/>
      <w:bookmarkEnd w:id="88"/>
    </w:p>
    <w:p w14:paraId="58F0438B">
      <w:pPr>
        <w:spacing w:line="600" w:lineRule="exact"/>
        <w:ind w:firstLine="640" w:firstLineChars="200"/>
        <w:rPr>
          <w:rFonts w:hint="default" w:ascii="Times New Roman" w:hAnsi="Times New Roman" w:eastAsia="仿宋_GB2312" w:cs="Times New Roman"/>
          <w:color w:val="000000"/>
          <w:sz w:val="32"/>
          <w:szCs w:val="32"/>
          <w:highlight w:val="none"/>
          <w:u w:val="none"/>
        </w:rPr>
      </w:pPr>
    </w:p>
    <w:p w14:paraId="49FE1AD1">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坚持服务发展、惠及民生、引领未来的目标导向，加快推进交通、市政、水利等重大基础设施建设，全面提高区域综合承载能力，为加快振兴发展提供有力支撑。</w:t>
      </w:r>
    </w:p>
    <w:p w14:paraId="544477FB">
      <w:pPr>
        <w:pStyle w:val="4"/>
        <w:rPr>
          <w:rFonts w:hint="default" w:ascii="Times New Roman" w:hAnsi="Times New Roman" w:cs="Times New Roman"/>
          <w:color w:val="000000"/>
          <w:highlight w:val="none"/>
          <w:u w:val="none"/>
        </w:rPr>
      </w:pPr>
      <w:bookmarkStart w:id="89" w:name="_Toc61268218"/>
      <w:r>
        <w:rPr>
          <w:rFonts w:hint="default" w:ascii="Times New Roman" w:hAnsi="Times New Roman" w:cs="Times New Roman"/>
          <w:color w:val="000000"/>
          <w:highlight w:val="none"/>
          <w:u w:val="none"/>
        </w:rPr>
        <w:t>第一节  加强综合交通运输网络建设</w:t>
      </w:r>
      <w:bookmarkEnd w:id="89"/>
    </w:p>
    <w:p w14:paraId="19B44405">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加强交通运输基础设施建设。</w:t>
      </w:r>
      <w:r>
        <w:rPr>
          <w:rFonts w:hint="default" w:ascii="Times New Roman" w:hAnsi="Times New Roman" w:eastAsia="仿宋_GB2312" w:cs="Times New Roman"/>
          <w:color w:val="000000"/>
          <w:sz w:val="32"/>
          <w:szCs w:val="32"/>
          <w:highlight w:val="none"/>
          <w:u w:val="none"/>
        </w:rPr>
        <w:t>构建“一纵、三横、五射、一环”交通路网格局，逐步提升公路基础设施规划设计、建造养护、运行管理等全要素全周期数字化水平。全面完成危桥改造。深化高速公路电子不停车收费系统（ETC）门架应用，推进车路协同等设施建设。推进综合客运枢纽智能化升级，推动售取票、检票、安检、换乘、停车等客运服务“一码通行”。高质量建设桦南客运东站（公铁联运），形成一体便捷的现代综合城市客运枢纽，实现旅客“零距离”便捷换乘。</w:t>
      </w:r>
    </w:p>
    <w:p w14:paraId="2CE88614">
      <w:pPr>
        <w:jc w:val="center"/>
        <w:rPr>
          <w:rFonts w:hint="default" w:ascii="Times New Roman" w:hAnsi="Times New Roman" w:eastAsia="黑体" w:cs="Times New Roman"/>
          <w:color w:val="000000"/>
          <w:sz w:val="28"/>
          <w:szCs w:val="28"/>
          <w:highlight w:val="none"/>
          <w:u w:val="none"/>
        </w:rPr>
      </w:pPr>
    </w:p>
    <w:p w14:paraId="75E5888A">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专栏20：交通运输网络建设养护管控项目</w:t>
      </w:r>
    </w:p>
    <w:tbl>
      <w:tblPr>
        <w:tblStyle w:val="17"/>
        <w:tblW w:w="0" w:type="auto"/>
        <w:tblInd w:w="2" w:type="dxa"/>
        <w:tblLayout w:type="fixed"/>
        <w:tblCellMar>
          <w:top w:w="0" w:type="dxa"/>
          <w:left w:w="108" w:type="dxa"/>
          <w:bottom w:w="0" w:type="dxa"/>
          <w:right w:w="108" w:type="dxa"/>
        </w:tblCellMar>
      </w:tblPr>
      <w:tblGrid>
        <w:gridCol w:w="2020"/>
        <w:gridCol w:w="7054"/>
      </w:tblGrid>
      <w:tr w14:paraId="2DC8BE47">
        <w:tblPrEx>
          <w:tblCellMar>
            <w:top w:w="0" w:type="dxa"/>
            <w:left w:w="108" w:type="dxa"/>
            <w:bottom w:w="0" w:type="dxa"/>
            <w:right w:w="108" w:type="dxa"/>
          </w:tblCellMar>
        </w:tblPrEx>
        <w:trPr>
          <w:trHeight w:val="592" w:hRule="atLeast"/>
        </w:trPr>
        <w:tc>
          <w:tcPr>
            <w:tcW w:w="2020" w:type="dxa"/>
            <w:tcBorders>
              <w:top w:val="single" w:color="auto" w:sz="4" w:space="0"/>
              <w:left w:val="nil"/>
              <w:bottom w:val="single" w:color="auto" w:sz="4" w:space="0"/>
              <w:right w:val="single" w:color="auto" w:sz="4" w:space="0"/>
            </w:tcBorders>
            <w:noWrap w:val="0"/>
            <w:vAlign w:val="center"/>
          </w:tcPr>
          <w:p w14:paraId="3EF8A098">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任务</w:t>
            </w:r>
          </w:p>
        </w:tc>
        <w:tc>
          <w:tcPr>
            <w:tcW w:w="7054" w:type="dxa"/>
            <w:tcBorders>
              <w:top w:val="single" w:color="auto" w:sz="4" w:space="0"/>
              <w:left w:val="nil"/>
              <w:bottom w:val="single" w:color="auto" w:sz="4" w:space="0"/>
              <w:right w:val="nil"/>
            </w:tcBorders>
            <w:noWrap w:val="0"/>
            <w:vAlign w:val="center"/>
          </w:tcPr>
          <w:p w14:paraId="7A12AD49">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建设内容</w:t>
            </w:r>
          </w:p>
        </w:tc>
      </w:tr>
      <w:tr w14:paraId="568D6FBD">
        <w:tblPrEx>
          <w:tblCellMar>
            <w:top w:w="0" w:type="dxa"/>
            <w:left w:w="108" w:type="dxa"/>
            <w:bottom w:w="0" w:type="dxa"/>
            <w:right w:w="108" w:type="dxa"/>
          </w:tblCellMar>
        </w:tblPrEx>
        <w:trPr>
          <w:trHeight w:val="467" w:hRule="atLeast"/>
        </w:trPr>
        <w:tc>
          <w:tcPr>
            <w:tcW w:w="2020" w:type="dxa"/>
            <w:tcBorders>
              <w:top w:val="single" w:color="auto" w:sz="4" w:space="0"/>
              <w:left w:val="nil"/>
              <w:bottom w:val="single" w:color="auto" w:sz="4" w:space="0"/>
              <w:right w:val="single" w:color="auto" w:sz="4" w:space="0"/>
            </w:tcBorders>
            <w:noWrap w:val="0"/>
            <w:vAlign w:val="center"/>
          </w:tcPr>
          <w:p w14:paraId="2E3CAAF1">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农村公路</w:t>
            </w:r>
          </w:p>
        </w:tc>
        <w:tc>
          <w:tcPr>
            <w:tcW w:w="7054" w:type="dxa"/>
            <w:tcBorders>
              <w:top w:val="single" w:color="auto" w:sz="4" w:space="0"/>
              <w:left w:val="nil"/>
              <w:bottom w:val="single" w:color="auto" w:sz="4" w:space="0"/>
              <w:right w:val="nil"/>
            </w:tcBorders>
            <w:noWrap w:val="0"/>
            <w:vAlign w:val="center"/>
          </w:tcPr>
          <w:p w14:paraId="3E7EC946">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192个行政村道路基础设施，192个行政村边沟围栏项目建设。</w:t>
            </w:r>
          </w:p>
        </w:tc>
      </w:tr>
      <w:tr w14:paraId="36EC0805">
        <w:tblPrEx>
          <w:tblCellMar>
            <w:top w:w="0" w:type="dxa"/>
            <w:left w:w="108" w:type="dxa"/>
            <w:bottom w:w="0" w:type="dxa"/>
            <w:right w:w="108" w:type="dxa"/>
          </w:tblCellMar>
        </w:tblPrEx>
        <w:trPr>
          <w:trHeight w:val="3305" w:hRule="atLeast"/>
        </w:trPr>
        <w:tc>
          <w:tcPr>
            <w:tcW w:w="2020" w:type="dxa"/>
            <w:tcBorders>
              <w:top w:val="single" w:color="auto" w:sz="4" w:space="0"/>
              <w:left w:val="nil"/>
              <w:bottom w:val="single" w:color="auto" w:sz="4" w:space="0"/>
              <w:right w:val="single" w:color="auto" w:sz="4" w:space="0"/>
            </w:tcBorders>
            <w:noWrap w:val="0"/>
            <w:vAlign w:val="center"/>
          </w:tcPr>
          <w:p w14:paraId="114EDAF0">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县域交通网络改扩建工程</w:t>
            </w:r>
          </w:p>
        </w:tc>
        <w:tc>
          <w:tcPr>
            <w:tcW w:w="7054" w:type="dxa"/>
            <w:tcBorders>
              <w:top w:val="single" w:color="auto" w:sz="4" w:space="0"/>
              <w:left w:val="nil"/>
              <w:bottom w:val="single" w:color="auto" w:sz="4" w:space="0"/>
              <w:right w:val="nil"/>
            </w:tcBorders>
            <w:noWrap w:val="0"/>
            <w:vAlign w:val="center"/>
          </w:tcPr>
          <w:p w14:paraId="5B64B427">
            <w:pP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国道鹤岗至大连公路佳桦界至桦南勃利界段改扩建项目、省道南岔至孟家岗公桦依界至孟家岗段改扩建项目、省道佳木斯至桦南公路佳桦界至桦南段改扩建项目、省道同江至汪清公路桦南至桦勃界段改扩建项目，县级公路升级改造工程（9项），乡级、村级公路改扩建工程，省级、县级、乡级、村级公路危桥改造工程，省道、县道、乡道、村道涵改桥工程，图佳线K494+038道口平改立工程，图佳线K490+995道口平改立工程，图佳线K484+518、图佳线K485+816、图佳线K486+948道口平改立工程、图佳线K481+983道口平改立工程、图佳线K480+442道口平改立工程。</w:t>
            </w:r>
          </w:p>
        </w:tc>
      </w:tr>
      <w:tr w14:paraId="36898F15">
        <w:tblPrEx>
          <w:tblCellMar>
            <w:top w:w="0" w:type="dxa"/>
            <w:left w:w="108" w:type="dxa"/>
            <w:bottom w:w="0" w:type="dxa"/>
            <w:right w:w="108" w:type="dxa"/>
          </w:tblCellMar>
        </w:tblPrEx>
        <w:trPr>
          <w:trHeight w:val="804" w:hRule="atLeast"/>
        </w:trPr>
        <w:tc>
          <w:tcPr>
            <w:tcW w:w="2020" w:type="dxa"/>
            <w:tcBorders>
              <w:top w:val="single" w:color="auto" w:sz="4" w:space="0"/>
              <w:left w:val="nil"/>
              <w:bottom w:val="single" w:color="auto" w:sz="4" w:space="0"/>
              <w:right w:val="single" w:color="auto" w:sz="4" w:space="0"/>
            </w:tcBorders>
            <w:noWrap w:val="0"/>
            <w:vAlign w:val="center"/>
          </w:tcPr>
          <w:p w14:paraId="301EE8FB">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城市客运枢纽及物流配套</w:t>
            </w:r>
          </w:p>
        </w:tc>
        <w:tc>
          <w:tcPr>
            <w:tcW w:w="7054" w:type="dxa"/>
            <w:tcBorders>
              <w:top w:val="single" w:color="auto" w:sz="4" w:space="0"/>
              <w:left w:val="nil"/>
              <w:bottom w:val="single" w:color="auto" w:sz="4" w:space="0"/>
              <w:right w:val="nil"/>
            </w:tcBorders>
            <w:noWrap w:val="0"/>
            <w:vAlign w:val="center"/>
          </w:tcPr>
          <w:p w14:paraId="229C56D3">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桦南客运东站（桦南高铁站配套设施），桦南县客运总站国运物流配送园项目。</w:t>
            </w:r>
          </w:p>
        </w:tc>
      </w:tr>
    </w:tbl>
    <w:p w14:paraId="7F679975">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推动城市公共交通优先发展。</w:t>
      </w:r>
      <w:r>
        <w:rPr>
          <w:rFonts w:hint="default" w:ascii="Times New Roman" w:hAnsi="Times New Roman" w:eastAsia="仿宋_GB2312" w:cs="Times New Roman"/>
          <w:color w:val="000000"/>
          <w:sz w:val="32"/>
          <w:szCs w:val="32"/>
          <w:highlight w:val="none"/>
          <w:u w:val="none"/>
        </w:rPr>
        <w:t>优化城市公共交通站点布局，城区新建5个公交首末班站场，构建高效、综合、完善的公共交通体系。对中心城区线路做“减法”，对郊区线路做“加法”，加快推进公交专用道、快速线建设，积极发展社区公交、接驳公交、通勤班车、定制公交等特色化运营服务模式，努力形成“快、干、普、支”的四级线网结构和“城优郊进”的战略发展格局。</w:t>
      </w:r>
    </w:p>
    <w:p w14:paraId="74DE6694">
      <w:pPr>
        <w:pStyle w:val="14"/>
        <w:widowControl w:val="0"/>
        <w:spacing w:before="0" w:beforeLines="0" w:beforeAutospacing="0" w:after="0" w:afterLines="0" w:afterAutospacing="0" w:line="600" w:lineRule="exact"/>
        <w:ind w:firstLine="643" w:firstLineChars="200"/>
        <w:jc w:val="both"/>
        <w:textAlignment w:val="baseline"/>
        <w:rPr>
          <w:rFonts w:hint="default" w:ascii="Times New Roman" w:hAnsi="Times New Roman" w:eastAsia="仿宋_GB2312" w:cs="Times New Roman"/>
          <w:color w:val="000000"/>
          <w:kern w:val="2"/>
          <w:sz w:val="32"/>
          <w:szCs w:val="32"/>
          <w:highlight w:val="none"/>
          <w:u w:val="none"/>
        </w:rPr>
      </w:pPr>
      <w:r>
        <w:rPr>
          <w:rFonts w:hint="default" w:ascii="Times New Roman" w:hAnsi="Times New Roman" w:eastAsia="仿宋_GB2312" w:cs="Times New Roman"/>
          <w:b/>
          <w:color w:val="000000"/>
          <w:sz w:val="32"/>
          <w:szCs w:val="32"/>
          <w:highlight w:val="none"/>
          <w:u w:val="none"/>
        </w:rPr>
        <w:t>加快物流设施建设。</w:t>
      </w:r>
      <w:r>
        <w:rPr>
          <w:rFonts w:hint="default" w:ascii="Times New Roman" w:hAnsi="Times New Roman" w:eastAsia="仿宋_GB2312" w:cs="Times New Roman"/>
          <w:color w:val="000000"/>
          <w:sz w:val="32"/>
          <w:szCs w:val="32"/>
          <w:highlight w:val="none"/>
          <w:u w:val="none"/>
        </w:rPr>
        <w:t>加大对物流基础设施投资的扶持力度，对符合条件的重点物流企业给予资金扶持。支持大型优势物流企业对分散物流设施资源进行整合，鼓励中小物流企业加强联盟合作，优化资源配置，提高服务水平。有序推进国运物流园项目建设，积极发展集中仓储、共同配送、仓配一体等消费物流新模式</w:t>
      </w:r>
      <w:r>
        <w:rPr>
          <w:rFonts w:hint="default" w:ascii="Times New Roman" w:hAnsi="Times New Roman" w:eastAsia="仿宋_GB2312" w:cs="Times New Roman"/>
          <w:color w:val="000000"/>
          <w:kern w:val="2"/>
          <w:sz w:val="32"/>
          <w:szCs w:val="32"/>
          <w:highlight w:val="none"/>
          <w:u w:val="none"/>
        </w:rPr>
        <w:t>。鼓励和支持社会力量参与交通物流和信息服务市场开发，缩短物流成本，减少中间环节，做到集中配送降低物流成本。</w:t>
      </w:r>
    </w:p>
    <w:p w14:paraId="017D2623">
      <w:pPr>
        <w:pStyle w:val="4"/>
        <w:rPr>
          <w:rFonts w:hint="default" w:ascii="Times New Roman" w:hAnsi="Times New Roman" w:cs="Times New Roman"/>
          <w:color w:val="000000"/>
          <w:highlight w:val="none"/>
          <w:u w:val="none"/>
        </w:rPr>
      </w:pPr>
      <w:bookmarkStart w:id="90" w:name="_Toc61268219"/>
      <w:bookmarkStart w:id="91" w:name="_Toc54616091"/>
      <w:bookmarkStart w:id="92" w:name="_Toc55763733"/>
      <w:r>
        <w:rPr>
          <w:rFonts w:hint="default" w:ascii="Times New Roman" w:hAnsi="Times New Roman" w:cs="Times New Roman"/>
          <w:color w:val="000000"/>
          <w:highlight w:val="none"/>
          <w:u w:val="none"/>
        </w:rPr>
        <w:t>第二节  加强新一代信息技术建设</w:t>
      </w:r>
      <w:bookmarkEnd w:id="90"/>
      <w:bookmarkEnd w:id="91"/>
      <w:bookmarkEnd w:id="92"/>
    </w:p>
    <w:p w14:paraId="579CC573">
      <w:pPr>
        <w:spacing w:line="600" w:lineRule="exact"/>
        <w:rPr>
          <w:rFonts w:hint="default" w:ascii="Times New Roman" w:hAnsi="Times New Roman" w:eastAsia="仿宋_GB2312" w:cs="Times New Roman"/>
          <w:b/>
          <w:color w:val="000000"/>
          <w:sz w:val="32"/>
          <w:szCs w:val="32"/>
          <w:highlight w:val="none"/>
          <w:u w:val="none"/>
        </w:rPr>
      </w:pPr>
      <w:r>
        <w:rPr>
          <w:rFonts w:hint="default" w:ascii="Times New Roman" w:hAnsi="Times New Roman" w:cs="Times New Roman"/>
          <w:color w:val="000000"/>
          <w:highlight w:val="none"/>
          <w:u w:val="none"/>
        </w:rPr>
        <w:t xml:space="preserve">  </w:t>
      </w:r>
      <w:r>
        <w:rPr>
          <w:rFonts w:hint="default" w:ascii="Times New Roman" w:hAnsi="Times New Roman" w:eastAsia="仿宋_GB2312" w:cs="Times New Roman"/>
          <w:color w:val="000000"/>
          <w:highlight w:val="none"/>
          <w:u w:val="none"/>
        </w:rPr>
        <w:t xml:space="preserve">  </w:t>
      </w:r>
      <w:r>
        <w:rPr>
          <w:rFonts w:hint="default" w:ascii="Times New Roman" w:hAnsi="Times New Roman" w:eastAsia="仿宋_GB2312" w:cs="Times New Roman"/>
          <w:color w:val="000000"/>
          <w:sz w:val="32"/>
          <w:szCs w:val="32"/>
          <w:highlight w:val="none"/>
          <w:u w:val="none"/>
        </w:rPr>
        <w:t>面向高质量发展需要，系统布局新型基础设施，加快第五代移动通信（5G）基站建设和商用步伐,充电桩等建设。坚持以推进数字化基础设施建设为基础，建设“网络强县”，开展“互联网+”和“数字桦南”行动计划，深度应用互联网、大数据、人工智能等技术，加快推动传统基础设施转型升级，推动新一代数字技术与实体经济深度融合。加快数字政府建设，结合智慧城市系统，拓展政务、教育、交通、医疗、治安、消防、环保、气象、应急等重点行业的数字化应用，打造“智慧桦南”。建立健全数据资产登记制度和数据资产交易规则，完善数据采集、数据管理、数据安全、数据开放共享等标准体系，加快构建关键信息基础设施安全保障体系，强化数据隐私保护，提升网络安全水平。</w:t>
      </w:r>
    </w:p>
    <w:p w14:paraId="43DC5528">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专栏21：信息技术建设项目</w:t>
      </w:r>
    </w:p>
    <w:tbl>
      <w:tblPr>
        <w:tblStyle w:val="17"/>
        <w:tblW w:w="0" w:type="auto"/>
        <w:jc w:val="center"/>
        <w:tblLayout w:type="fixed"/>
        <w:tblCellMar>
          <w:top w:w="0" w:type="dxa"/>
          <w:left w:w="108" w:type="dxa"/>
          <w:bottom w:w="0" w:type="dxa"/>
          <w:right w:w="108" w:type="dxa"/>
        </w:tblCellMar>
      </w:tblPr>
      <w:tblGrid>
        <w:gridCol w:w="2020"/>
        <w:gridCol w:w="6576"/>
      </w:tblGrid>
      <w:tr w14:paraId="0020B3DC">
        <w:tblPrEx>
          <w:tblCellMar>
            <w:top w:w="0" w:type="dxa"/>
            <w:left w:w="108" w:type="dxa"/>
            <w:bottom w:w="0" w:type="dxa"/>
            <w:right w:w="108" w:type="dxa"/>
          </w:tblCellMar>
        </w:tblPrEx>
        <w:trPr>
          <w:trHeight w:val="482" w:hRule="atLeast"/>
          <w:jc w:val="center"/>
        </w:trPr>
        <w:tc>
          <w:tcPr>
            <w:tcW w:w="2020" w:type="dxa"/>
            <w:tcBorders>
              <w:top w:val="single" w:color="auto" w:sz="4" w:space="0"/>
              <w:left w:val="nil"/>
              <w:bottom w:val="single" w:color="auto" w:sz="4" w:space="0"/>
              <w:right w:val="single" w:color="auto" w:sz="4" w:space="0"/>
            </w:tcBorders>
            <w:noWrap w:val="0"/>
            <w:vAlign w:val="center"/>
          </w:tcPr>
          <w:p w14:paraId="0D383EFF">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任务</w:t>
            </w:r>
          </w:p>
        </w:tc>
        <w:tc>
          <w:tcPr>
            <w:tcW w:w="6576" w:type="dxa"/>
            <w:tcBorders>
              <w:top w:val="single" w:color="auto" w:sz="4" w:space="0"/>
              <w:left w:val="nil"/>
              <w:bottom w:val="single" w:color="auto" w:sz="4" w:space="0"/>
              <w:right w:val="nil"/>
            </w:tcBorders>
            <w:noWrap w:val="0"/>
            <w:vAlign w:val="center"/>
          </w:tcPr>
          <w:p w14:paraId="58A61127">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建设内容</w:t>
            </w:r>
          </w:p>
        </w:tc>
      </w:tr>
      <w:tr w14:paraId="5A3E6C58">
        <w:tblPrEx>
          <w:tblCellMar>
            <w:top w:w="0" w:type="dxa"/>
            <w:left w:w="108" w:type="dxa"/>
            <w:bottom w:w="0" w:type="dxa"/>
            <w:right w:w="108" w:type="dxa"/>
          </w:tblCellMar>
        </w:tblPrEx>
        <w:trPr>
          <w:trHeight w:val="888" w:hRule="atLeast"/>
          <w:jc w:val="center"/>
        </w:trPr>
        <w:tc>
          <w:tcPr>
            <w:tcW w:w="2020" w:type="dxa"/>
            <w:tcBorders>
              <w:top w:val="single" w:color="auto" w:sz="4" w:space="0"/>
              <w:left w:val="nil"/>
              <w:bottom w:val="single" w:color="auto" w:sz="4" w:space="0"/>
              <w:right w:val="single" w:color="auto" w:sz="4" w:space="0"/>
            </w:tcBorders>
            <w:noWrap w:val="0"/>
            <w:vAlign w:val="center"/>
          </w:tcPr>
          <w:p w14:paraId="16F210D5">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通信基础设施升级改造</w:t>
            </w:r>
          </w:p>
        </w:tc>
        <w:tc>
          <w:tcPr>
            <w:tcW w:w="6576" w:type="dxa"/>
            <w:tcBorders>
              <w:top w:val="single" w:color="auto" w:sz="4" w:space="0"/>
              <w:left w:val="nil"/>
              <w:bottom w:val="single" w:color="auto" w:sz="4" w:space="0"/>
              <w:right w:val="nil"/>
            </w:tcBorders>
            <w:noWrap w:val="0"/>
            <w:vAlign w:val="center"/>
          </w:tcPr>
          <w:p w14:paraId="70EE6108">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智慧城市通信基础升级改造项目。交通、水电气热等市政领域数字终端、系统改造。5G网络规模部署和商业应用，车站、社区、商场等重点区域5G基站和配套网络建设。</w:t>
            </w:r>
          </w:p>
        </w:tc>
      </w:tr>
      <w:tr w14:paraId="4BBAA920">
        <w:tblPrEx>
          <w:tblCellMar>
            <w:top w:w="0" w:type="dxa"/>
            <w:left w:w="108" w:type="dxa"/>
            <w:bottom w:w="0" w:type="dxa"/>
            <w:right w:w="108" w:type="dxa"/>
          </w:tblCellMar>
        </w:tblPrEx>
        <w:trPr>
          <w:trHeight w:val="706" w:hRule="atLeast"/>
          <w:jc w:val="center"/>
        </w:trPr>
        <w:tc>
          <w:tcPr>
            <w:tcW w:w="2020" w:type="dxa"/>
            <w:tcBorders>
              <w:top w:val="single" w:color="auto" w:sz="4" w:space="0"/>
              <w:left w:val="nil"/>
              <w:bottom w:val="single" w:color="auto" w:sz="4" w:space="0"/>
              <w:right w:val="single" w:color="auto" w:sz="4" w:space="0"/>
            </w:tcBorders>
            <w:noWrap w:val="0"/>
            <w:vAlign w:val="center"/>
          </w:tcPr>
          <w:p w14:paraId="5808E6B5">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网络安全</w:t>
            </w:r>
          </w:p>
        </w:tc>
        <w:tc>
          <w:tcPr>
            <w:tcW w:w="6576" w:type="dxa"/>
            <w:tcBorders>
              <w:top w:val="single" w:color="auto" w:sz="4" w:space="0"/>
              <w:left w:val="nil"/>
              <w:bottom w:val="single" w:color="auto" w:sz="4" w:space="0"/>
              <w:right w:val="nil"/>
            </w:tcBorders>
            <w:noWrap w:val="0"/>
            <w:vAlign w:val="center"/>
          </w:tcPr>
          <w:p w14:paraId="73585F5E">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桦南县网络安全等级保护项目。建设完整的网络平台保障系统。建设高标准机房，并通过第三方安全等级保护测评。</w:t>
            </w:r>
          </w:p>
        </w:tc>
      </w:tr>
      <w:tr w14:paraId="3BE8B766">
        <w:tblPrEx>
          <w:tblCellMar>
            <w:top w:w="0" w:type="dxa"/>
            <w:left w:w="108" w:type="dxa"/>
            <w:bottom w:w="0" w:type="dxa"/>
            <w:right w:w="108" w:type="dxa"/>
          </w:tblCellMar>
        </w:tblPrEx>
        <w:trPr>
          <w:trHeight w:val="1715" w:hRule="atLeast"/>
          <w:jc w:val="center"/>
        </w:trPr>
        <w:tc>
          <w:tcPr>
            <w:tcW w:w="2020" w:type="dxa"/>
            <w:tcBorders>
              <w:top w:val="single" w:color="auto" w:sz="4" w:space="0"/>
              <w:left w:val="nil"/>
              <w:bottom w:val="single" w:color="auto" w:sz="4" w:space="0"/>
              <w:right w:val="single" w:color="auto" w:sz="4" w:space="0"/>
            </w:tcBorders>
            <w:noWrap w:val="0"/>
            <w:vAlign w:val="center"/>
          </w:tcPr>
          <w:p w14:paraId="3E1FD253">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智慧医疗平台</w:t>
            </w:r>
          </w:p>
        </w:tc>
        <w:tc>
          <w:tcPr>
            <w:tcW w:w="6576" w:type="dxa"/>
            <w:tcBorders>
              <w:top w:val="single" w:color="auto" w:sz="4" w:space="0"/>
              <w:left w:val="nil"/>
              <w:bottom w:val="single" w:color="auto" w:sz="4" w:space="0"/>
              <w:right w:val="nil"/>
            </w:tcBorders>
            <w:noWrap w:val="0"/>
            <w:vAlign w:val="center"/>
          </w:tcPr>
          <w:p w14:paraId="4C705E09">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智慧医疗平台建设项目。建立医疗信息化公共服务平台、信用评价管理系统、药品溯源、区块链共享平台、健康医疗大数据平台、二级医院云HIS、基层云HIS、基层医院病历质控、影像云、5G+AI 医疗云网一体化平台、5G技术应用场景为切入点，融合人工智能AI服务应用。</w:t>
            </w:r>
          </w:p>
        </w:tc>
      </w:tr>
      <w:tr w14:paraId="39B6D85B">
        <w:tblPrEx>
          <w:tblCellMar>
            <w:top w:w="0" w:type="dxa"/>
            <w:left w:w="108" w:type="dxa"/>
            <w:bottom w:w="0" w:type="dxa"/>
            <w:right w:w="108" w:type="dxa"/>
          </w:tblCellMar>
        </w:tblPrEx>
        <w:trPr>
          <w:trHeight w:val="714" w:hRule="atLeast"/>
          <w:jc w:val="center"/>
        </w:trPr>
        <w:tc>
          <w:tcPr>
            <w:tcW w:w="2020" w:type="dxa"/>
            <w:tcBorders>
              <w:top w:val="single" w:color="auto" w:sz="4" w:space="0"/>
              <w:left w:val="nil"/>
              <w:bottom w:val="single" w:color="auto" w:sz="4" w:space="0"/>
              <w:right w:val="single" w:color="auto" w:sz="4" w:space="0"/>
            </w:tcBorders>
            <w:noWrap w:val="0"/>
            <w:vAlign w:val="center"/>
          </w:tcPr>
          <w:p w14:paraId="08B557F6">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生态智慧城市</w:t>
            </w:r>
          </w:p>
        </w:tc>
        <w:tc>
          <w:tcPr>
            <w:tcW w:w="6576" w:type="dxa"/>
            <w:tcBorders>
              <w:top w:val="single" w:color="auto" w:sz="4" w:space="0"/>
              <w:left w:val="nil"/>
              <w:bottom w:val="single" w:color="auto" w:sz="4" w:space="0"/>
              <w:right w:val="nil"/>
            </w:tcBorders>
            <w:noWrap w:val="0"/>
            <w:vAlign w:val="center"/>
          </w:tcPr>
          <w:p w14:paraId="7BA70C13">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空气质量自动检测信息平台，机动车尾气遥感检测车，功能水体污染自动预警平台。</w:t>
            </w:r>
          </w:p>
        </w:tc>
      </w:tr>
    </w:tbl>
    <w:p w14:paraId="17F342F0">
      <w:pPr>
        <w:pStyle w:val="4"/>
        <w:rPr>
          <w:rFonts w:hint="default" w:ascii="Times New Roman" w:hAnsi="Times New Roman" w:cs="Times New Roman"/>
          <w:color w:val="000000"/>
          <w:highlight w:val="none"/>
          <w:u w:val="none"/>
        </w:rPr>
      </w:pPr>
      <w:bookmarkStart w:id="93" w:name="_Toc61268220"/>
      <w:r>
        <w:rPr>
          <w:rFonts w:hint="default" w:ascii="Times New Roman" w:hAnsi="Times New Roman" w:cs="Times New Roman"/>
          <w:color w:val="000000"/>
          <w:highlight w:val="none"/>
          <w:u w:val="none"/>
        </w:rPr>
        <w:t>第三节  加强水利基础设施建设</w:t>
      </w:r>
      <w:bookmarkEnd w:id="93"/>
    </w:p>
    <w:p w14:paraId="4B300160">
      <w:pPr>
        <w:spacing w:line="600" w:lineRule="exact"/>
        <w:ind w:firstLine="640" w:firstLineChars="200"/>
        <w:rPr>
          <w:rFonts w:hint="default" w:ascii="Times New Roman" w:hAnsi="Times New Roman" w:eastAsia="仿宋_GB2312" w:cs="Times New Roman"/>
          <w:color w:val="000000"/>
          <w:sz w:val="32"/>
          <w:szCs w:val="32"/>
          <w:highlight w:val="none"/>
          <w:u w:val="none"/>
          <w:shd w:val="clear" w:color="auto" w:fill="FFFFFF"/>
        </w:rPr>
      </w:pPr>
      <w:r>
        <w:rPr>
          <w:rFonts w:hint="default" w:ascii="Times New Roman" w:hAnsi="Times New Roman" w:eastAsia="仿宋_GB2312" w:cs="Times New Roman"/>
          <w:color w:val="000000"/>
          <w:sz w:val="32"/>
          <w:szCs w:val="32"/>
          <w:highlight w:val="none"/>
          <w:u w:val="none"/>
          <w:shd w:val="clear" w:color="auto" w:fill="FFFFFF"/>
        </w:rPr>
        <w:t>科学编制水利规划，探索制定水权交易实施办法，</w:t>
      </w:r>
      <w:r>
        <w:rPr>
          <w:rFonts w:hint="default" w:ascii="Times New Roman" w:hAnsi="Times New Roman" w:eastAsia="仿宋_GB2312" w:cs="Times New Roman"/>
          <w:color w:val="000000"/>
          <w:sz w:val="32"/>
          <w:szCs w:val="32"/>
          <w:highlight w:val="none"/>
          <w:u w:val="none"/>
        </w:rPr>
        <w:t>推进水利治理能力治理体系现代化。实施农业综合开发项目节水配套改造工程，改造灌区渠系和工程网络，打造“智慧化灌区”。强化农田灌溉基础设施建设，提高输水用水效率。</w:t>
      </w:r>
      <w:r>
        <w:rPr>
          <w:rFonts w:hint="default" w:ascii="Times New Roman" w:hAnsi="Times New Roman" w:eastAsia="仿宋_GB2312" w:cs="Times New Roman"/>
          <w:color w:val="000000"/>
          <w:sz w:val="32"/>
          <w:szCs w:val="32"/>
          <w:highlight w:val="none"/>
          <w:u w:val="none"/>
          <w:shd w:val="clear" w:color="auto" w:fill="FFFFFF"/>
        </w:rPr>
        <w:t>坚持以项目建设为总抓手，实施</w:t>
      </w:r>
      <w:r>
        <w:rPr>
          <w:rFonts w:hint="default" w:ascii="Times New Roman" w:hAnsi="Times New Roman" w:eastAsia="仿宋_GB2312" w:cs="Times New Roman"/>
          <w:color w:val="000000"/>
          <w:sz w:val="32"/>
          <w:szCs w:val="32"/>
          <w:highlight w:val="none"/>
          <w:u w:val="none"/>
        </w:rPr>
        <w:t>农村饮水安全巩固提升工程，全力</w:t>
      </w:r>
      <w:r>
        <w:rPr>
          <w:rFonts w:hint="default" w:ascii="Times New Roman" w:hAnsi="Times New Roman" w:eastAsia="仿宋_GB2312" w:cs="Times New Roman"/>
          <w:color w:val="000000"/>
          <w:sz w:val="32"/>
          <w:szCs w:val="32"/>
          <w:highlight w:val="none"/>
          <w:u w:val="none"/>
          <w:shd w:val="clear" w:color="auto" w:fill="FFFFFF"/>
        </w:rPr>
        <w:t>保障农村饮水安全。</w:t>
      </w:r>
      <w:r>
        <w:rPr>
          <w:rFonts w:hint="default" w:ascii="Times New Roman" w:hAnsi="Times New Roman" w:eastAsia="仿宋_GB2312" w:cs="Times New Roman"/>
          <w:color w:val="000000"/>
          <w:sz w:val="32"/>
          <w:szCs w:val="32"/>
          <w:highlight w:val="none"/>
          <w:u w:val="none"/>
        </w:rPr>
        <w:t>推进水资源合理配置工程建设，加快建设大鲜灌区蓄建配套与节水改造项目；深化防洪排涝工程建设，积极推进寒虫沟水库工程项目，提升区域防洪灌溉水平</w:t>
      </w:r>
      <w:r>
        <w:rPr>
          <w:rFonts w:hint="default" w:ascii="Times New Roman" w:hAnsi="Times New Roman" w:eastAsia="仿宋_GB2312" w:cs="Times New Roman"/>
          <w:color w:val="000000"/>
          <w:sz w:val="32"/>
          <w:szCs w:val="32"/>
          <w:highlight w:val="none"/>
          <w:u w:val="none"/>
          <w:shd w:val="clear" w:color="auto" w:fill="FFFFFF"/>
        </w:rPr>
        <w:t>。</w:t>
      </w:r>
    </w:p>
    <w:p w14:paraId="1CD9A03A">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专栏22：农田水利建设项目</w:t>
      </w:r>
    </w:p>
    <w:tbl>
      <w:tblPr>
        <w:tblStyle w:val="17"/>
        <w:tblW w:w="0" w:type="auto"/>
        <w:tblInd w:w="2" w:type="dxa"/>
        <w:tblLayout w:type="fixed"/>
        <w:tblCellMar>
          <w:top w:w="0" w:type="dxa"/>
          <w:left w:w="108" w:type="dxa"/>
          <w:bottom w:w="0" w:type="dxa"/>
          <w:right w:w="108" w:type="dxa"/>
        </w:tblCellMar>
      </w:tblPr>
      <w:tblGrid>
        <w:gridCol w:w="2020"/>
        <w:gridCol w:w="7034"/>
      </w:tblGrid>
      <w:tr w14:paraId="217F1F4C">
        <w:tblPrEx>
          <w:tblCellMar>
            <w:top w:w="0" w:type="dxa"/>
            <w:left w:w="108" w:type="dxa"/>
            <w:bottom w:w="0" w:type="dxa"/>
            <w:right w:w="108" w:type="dxa"/>
          </w:tblCellMar>
        </w:tblPrEx>
        <w:trPr>
          <w:trHeight w:val="482" w:hRule="atLeast"/>
        </w:trPr>
        <w:tc>
          <w:tcPr>
            <w:tcW w:w="2020" w:type="dxa"/>
            <w:tcBorders>
              <w:top w:val="single" w:color="auto" w:sz="4" w:space="0"/>
              <w:left w:val="nil"/>
              <w:bottom w:val="single" w:color="auto" w:sz="4" w:space="0"/>
              <w:right w:val="single" w:color="auto" w:sz="4" w:space="0"/>
            </w:tcBorders>
            <w:noWrap w:val="0"/>
            <w:vAlign w:val="center"/>
          </w:tcPr>
          <w:p w14:paraId="1102AE53">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任务</w:t>
            </w:r>
          </w:p>
        </w:tc>
        <w:tc>
          <w:tcPr>
            <w:tcW w:w="7034" w:type="dxa"/>
            <w:tcBorders>
              <w:top w:val="single" w:color="auto" w:sz="4" w:space="0"/>
              <w:left w:val="nil"/>
              <w:bottom w:val="single" w:color="auto" w:sz="4" w:space="0"/>
              <w:right w:val="nil"/>
            </w:tcBorders>
            <w:noWrap w:val="0"/>
            <w:vAlign w:val="center"/>
          </w:tcPr>
          <w:p w14:paraId="2E199B9D">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建设内容</w:t>
            </w:r>
          </w:p>
        </w:tc>
      </w:tr>
      <w:tr w14:paraId="5E2F6800">
        <w:tblPrEx>
          <w:tblCellMar>
            <w:top w:w="0" w:type="dxa"/>
            <w:left w:w="108" w:type="dxa"/>
            <w:bottom w:w="0" w:type="dxa"/>
            <w:right w:w="108" w:type="dxa"/>
          </w:tblCellMar>
        </w:tblPrEx>
        <w:trPr>
          <w:trHeight w:val="497" w:hRule="atLeast"/>
        </w:trPr>
        <w:tc>
          <w:tcPr>
            <w:tcW w:w="2020" w:type="dxa"/>
            <w:tcBorders>
              <w:top w:val="single" w:color="auto" w:sz="4" w:space="0"/>
              <w:left w:val="nil"/>
              <w:bottom w:val="single" w:color="auto" w:sz="4" w:space="0"/>
              <w:right w:val="single" w:color="auto" w:sz="4" w:space="0"/>
            </w:tcBorders>
            <w:noWrap w:val="0"/>
            <w:vAlign w:val="center"/>
          </w:tcPr>
          <w:p w14:paraId="6E6A19E5">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水利建设工程</w:t>
            </w:r>
          </w:p>
        </w:tc>
        <w:tc>
          <w:tcPr>
            <w:tcW w:w="7034" w:type="dxa"/>
            <w:tcBorders>
              <w:top w:val="single" w:color="auto" w:sz="4" w:space="0"/>
              <w:left w:val="nil"/>
              <w:bottom w:val="single" w:color="auto" w:sz="4" w:space="0"/>
              <w:right w:val="nil"/>
            </w:tcBorders>
            <w:noWrap w:val="0"/>
            <w:vAlign w:val="center"/>
          </w:tcPr>
          <w:p w14:paraId="3C543959">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color w:val="000000"/>
                <w:kern w:val="0"/>
                <w:sz w:val="24"/>
                <w:highlight w:val="none"/>
                <w:u w:val="none"/>
              </w:rPr>
              <w:t>积极推进寒虫沟水库工程项目建设。</w:t>
            </w:r>
          </w:p>
        </w:tc>
      </w:tr>
      <w:tr w14:paraId="797901AC">
        <w:tblPrEx>
          <w:tblCellMar>
            <w:top w:w="0" w:type="dxa"/>
            <w:left w:w="108" w:type="dxa"/>
            <w:bottom w:w="0" w:type="dxa"/>
            <w:right w:w="108" w:type="dxa"/>
          </w:tblCellMar>
        </w:tblPrEx>
        <w:trPr>
          <w:trHeight w:val="467" w:hRule="atLeast"/>
        </w:trPr>
        <w:tc>
          <w:tcPr>
            <w:tcW w:w="2020" w:type="dxa"/>
            <w:tcBorders>
              <w:top w:val="single" w:color="auto" w:sz="4" w:space="0"/>
              <w:left w:val="nil"/>
              <w:bottom w:val="single" w:color="auto" w:sz="4" w:space="0"/>
              <w:right w:val="single" w:color="auto" w:sz="4" w:space="0"/>
            </w:tcBorders>
            <w:noWrap w:val="0"/>
            <w:vAlign w:val="center"/>
          </w:tcPr>
          <w:p w14:paraId="23554635">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水利治理工程</w:t>
            </w:r>
          </w:p>
        </w:tc>
        <w:tc>
          <w:tcPr>
            <w:tcW w:w="7034" w:type="dxa"/>
            <w:tcBorders>
              <w:top w:val="single" w:color="auto" w:sz="4" w:space="0"/>
              <w:left w:val="nil"/>
              <w:bottom w:val="single" w:color="auto" w:sz="4" w:space="0"/>
              <w:right w:val="nil"/>
            </w:tcBorders>
            <w:noWrap w:val="0"/>
            <w:vAlign w:val="center"/>
          </w:tcPr>
          <w:p w14:paraId="0760A1F3">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引八济向工程项目。</w:t>
            </w:r>
          </w:p>
        </w:tc>
      </w:tr>
      <w:tr w14:paraId="029165E1">
        <w:tblPrEx>
          <w:tblCellMar>
            <w:top w:w="0" w:type="dxa"/>
            <w:left w:w="108" w:type="dxa"/>
            <w:bottom w:w="0" w:type="dxa"/>
            <w:right w:w="108" w:type="dxa"/>
          </w:tblCellMar>
        </w:tblPrEx>
        <w:trPr>
          <w:trHeight w:val="779" w:hRule="atLeast"/>
        </w:trPr>
        <w:tc>
          <w:tcPr>
            <w:tcW w:w="2020" w:type="dxa"/>
            <w:tcBorders>
              <w:top w:val="single" w:color="auto" w:sz="4" w:space="0"/>
              <w:left w:val="nil"/>
              <w:bottom w:val="single" w:color="auto" w:sz="4" w:space="0"/>
              <w:right w:val="single" w:color="auto" w:sz="4" w:space="0"/>
            </w:tcBorders>
            <w:noWrap w:val="0"/>
            <w:vAlign w:val="center"/>
          </w:tcPr>
          <w:p w14:paraId="69669CD4">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除险加固工程</w:t>
            </w:r>
          </w:p>
        </w:tc>
        <w:tc>
          <w:tcPr>
            <w:tcW w:w="7034" w:type="dxa"/>
            <w:tcBorders>
              <w:top w:val="single" w:color="auto" w:sz="4" w:space="0"/>
              <w:left w:val="nil"/>
              <w:bottom w:val="single" w:color="auto" w:sz="4" w:space="0"/>
              <w:right w:val="nil"/>
            </w:tcBorders>
            <w:noWrap w:val="0"/>
            <w:vAlign w:val="center"/>
          </w:tcPr>
          <w:p w14:paraId="2898F441">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向阳山水库除险加固工程(Ⅱ期）。大鲜渠首改造工程。共和水库除险加固工程项目。</w:t>
            </w:r>
          </w:p>
        </w:tc>
      </w:tr>
      <w:tr w14:paraId="498EE970">
        <w:tblPrEx>
          <w:tblCellMar>
            <w:top w:w="0" w:type="dxa"/>
            <w:left w:w="108" w:type="dxa"/>
            <w:bottom w:w="0" w:type="dxa"/>
            <w:right w:w="108" w:type="dxa"/>
          </w:tblCellMar>
        </w:tblPrEx>
        <w:trPr>
          <w:trHeight w:val="779" w:hRule="atLeast"/>
        </w:trPr>
        <w:tc>
          <w:tcPr>
            <w:tcW w:w="2020" w:type="dxa"/>
            <w:tcBorders>
              <w:top w:val="single" w:color="auto" w:sz="4" w:space="0"/>
              <w:left w:val="nil"/>
              <w:bottom w:val="single" w:color="auto" w:sz="4" w:space="0"/>
              <w:right w:val="single" w:color="auto" w:sz="4" w:space="0"/>
            </w:tcBorders>
            <w:noWrap w:val="0"/>
            <w:vAlign w:val="center"/>
          </w:tcPr>
          <w:p w14:paraId="69006F20">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灌区改造工程</w:t>
            </w:r>
          </w:p>
        </w:tc>
        <w:tc>
          <w:tcPr>
            <w:tcW w:w="7034" w:type="dxa"/>
            <w:tcBorders>
              <w:top w:val="single" w:color="auto" w:sz="4" w:space="0"/>
              <w:left w:val="nil"/>
              <w:bottom w:val="single" w:color="auto" w:sz="4" w:space="0"/>
              <w:right w:val="nil"/>
            </w:tcBorders>
            <w:noWrap w:val="0"/>
            <w:vAlign w:val="center"/>
          </w:tcPr>
          <w:p w14:paraId="3035A12E">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向阳山灌区续建配套与现代化改造</w:t>
            </w:r>
            <w:r>
              <w:rPr>
                <w:rFonts w:hint="eastAsia" w:ascii="Times New Roman" w:hAnsi="Times New Roman" w:cs="Times New Roman"/>
                <w:color w:val="000000"/>
                <w:kern w:val="0"/>
                <w:sz w:val="24"/>
                <w:highlight w:val="none"/>
                <w:u w:val="none"/>
                <w:lang w:val="en-US" w:eastAsia="zh-CN"/>
              </w:rPr>
              <w:t>工程。</w:t>
            </w:r>
            <w:r>
              <w:rPr>
                <w:rFonts w:hint="default" w:ascii="Times New Roman" w:hAnsi="Times New Roman" w:cs="Times New Roman"/>
                <w:color w:val="000000"/>
                <w:kern w:val="0"/>
                <w:sz w:val="24"/>
                <w:highlight w:val="none"/>
                <w:u w:val="none"/>
              </w:rPr>
              <w:t>八一水库灌区配套与节水改造工程。共和灌区节水改造与续建配套工程。土龙山镇四大洼子涝区治理工程。</w:t>
            </w:r>
          </w:p>
        </w:tc>
      </w:tr>
      <w:tr w14:paraId="6EF325B2">
        <w:tblPrEx>
          <w:tblCellMar>
            <w:top w:w="0" w:type="dxa"/>
            <w:left w:w="108" w:type="dxa"/>
            <w:bottom w:w="0" w:type="dxa"/>
            <w:right w:w="108" w:type="dxa"/>
          </w:tblCellMar>
        </w:tblPrEx>
        <w:trPr>
          <w:trHeight w:val="1161" w:hRule="atLeast"/>
        </w:trPr>
        <w:tc>
          <w:tcPr>
            <w:tcW w:w="2020" w:type="dxa"/>
            <w:tcBorders>
              <w:top w:val="single" w:color="auto" w:sz="4" w:space="0"/>
              <w:left w:val="nil"/>
              <w:bottom w:val="single" w:color="auto" w:sz="4" w:space="0"/>
              <w:right w:val="single" w:color="auto" w:sz="4" w:space="0"/>
            </w:tcBorders>
            <w:noWrap w:val="0"/>
            <w:vAlign w:val="center"/>
          </w:tcPr>
          <w:p w14:paraId="1C8C9F38">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侵蚀沟治理工程</w:t>
            </w:r>
          </w:p>
        </w:tc>
        <w:tc>
          <w:tcPr>
            <w:tcW w:w="7034" w:type="dxa"/>
            <w:tcBorders>
              <w:top w:val="single" w:color="auto" w:sz="4" w:space="0"/>
              <w:left w:val="nil"/>
              <w:bottom w:val="single" w:color="auto" w:sz="4" w:space="0"/>
              <w:right w:val="nil"/>
            </w:tcBorders>
            <w:noWrap w:val="0"/>
            <w:vAlign w:val="center"/>
          </w:tcPr>
          <w:p w14:paraId="4F7496E1">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桦南镇、土龙山镇、孟家岗镇、驼腰子镇、石头河子镇、闫家镇、梨树乡、明义乡、金沙乡、大八浪乡2471条侵蚀沟治理。闫家镇侵蚀沟二期综合治理工程。</w:t>
            </w:r>
          </w:p>
        </w:tc>
      </w:tr>
    </w:tbl>
    <w:p w14:paraId="17D4FB06">
      <w:pPr>
        <w:pStyle w:val="15"/>
        <w:spacing w:before="0" w:beforeLines="0" w:after="0" w:afterLines="0" w:line="600" w:lineRule="exact"/>
        <w:rPr>
          <w:rFonts w:hint="default" w:ascii="Times New Roman" w:hAnsi="Times New Roman" w:cs="Times New Roman"/>
          <w:color w:val="000000"/>
          <w:highlight w:val="none"/>
          <w:u w:val="none"/>
        </w:rPr>
      </w:pPr>
    </w:p>
    <w:p w14:paraId="764ADA6D">
      <w:pPr>
        <w:pStyle w:val="3"/>
        <w:rPr>
          <w:rFonts w:hint="default" w:ascii="Times New Roman" w:hAnsi="Times New Roman" w:cs="Times New Roman"/>
          <w:b/>
          <w:color w:val="000000"/>
          <w:highlight w:val="none"/>
          <w:u w:val="none"/>
        </w:rPr>
      </w:pPr>
      <w:bookmarkStart w:id="94" w:name="_Toc25533"/>
      <w:bookmarkStart w:id="95" w:name="_Toc15408"/>
      <w:bookmarkStart w:id="96" w:name="_Toc61268221"/>
      <w:r>
        <w:rPr>
          <w:rFonts w:hint="default" w:ascii="Times New Roman" w:hAnsi="Times New Roman" w:cs="Times New Roman"/>
          <w:b/>
          <w:color w:val="000000"/>
          <w:highlight w:val="none"/>
          <w:u w:val="none"/>
        </w:rPr>
        <w:t>第十一章  坚持民生优先，</w:t>
      </w:r>
      <w:bookmarkEnd w:id="94"/>
      <w:bookmarkEnd w:id="95"/>
      <w:r>
        <w:rPr>
          <w:rFonts w:hint="default" w:ascii="Times New Roman" w:hAnsi="Times New Roman" w:cs="Times New Roman"/>
          <w:b/>
          <w:color w:val="000000"/>
          <w:highlight w:val="none"/>
          <w:u w:val="none"/>
        </w:rPr>
        <w:t>着力提高人民生活质量</w:t>
      </w:r>
      <w:bookmarkEnd w:id="96"/>
    </w:p>
    <w:p w14:paraId="3F0F26F5">
      <w:pPr>
        <w:spacing w:line="600" w:lineRule="exact"/>
        <w:ind w:firstLine="640" w:firstLineChars="200"/>
        <w:rPr>
          <w:rFonts w:hint="default" w:ascii="Times New Roman" w:hAnsi="Times New Roman" w:eastAsia="仿宋_GB2312" w:cs="Times New Roman"/>
          <w:color w:val="000000"/>
          <w:sz w:val="32"/>
          <w:szCs w:val="32"/>
          <w:highlight w:val="none"/>
          <w:u w:val="none"/>
        </w:rPr>
      </w:pPr>
    </w:p>
    <w:p w14:paraId="723DF0F7">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始终坚持把人民对美好生活的向往作为奋斗目标，注重加强普惠性、基础性、兜底性民生建设，扎实办好各项民生实事，确保幼有所育、学有所教、劳有所得、病有所医、老有所养、住有所居、弱有所扶，实现好、维护好、发展好最广大人民根本利益，不断增强人民群众获得感、幸福感、安全感。</w:t>
      </w:r>
    </w:p>
    <w:p w14:paraId="01048E9D">
      <w:pPr>
        <w:pStyle w:val="4"/>
        <w:rPr>
          <w:rFonts w:hint="default" w:ascii="Times New Roman" w:hAnsi="Times New Roman" w:cs="Times New Roman"/>
          <w:color w:val="000000"/>
          <w:highlight w:val="none"/>
          <w:u w:val="none"/>
        </w:rPr>
      </w:pPr>
      <w:bookmarkStart w:id="97" w:name="_Toc61268222"/>
      <w:r>
        <w:rPr>
          <w:rFonts w:hint="default" w:ascii="Times New Roman" w:hAnsi="Times New Roman" w:cs="Times New Roman"/>
          <w:color w:val="000000"/>
          <w:highlight w:val="none"/>
          <w:u w:val="none"/>
        </w:rPr>
        <w:t>第一节  促进城乡居民增收</w:t>
      </w:r>
      <w:bookmarkEnd w:id="97"/>
    </w:p>
    <w:p w14:paraId="5EC96A1F">
      <w:pPr>
        <w:spacing w:line="600" w:lineRule="exact"/>
        <w:ind w:firstLine="645"/>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在经济增长的同时实现居民收入同步增长，在劳动生产率提高的同时实现劳动报酬同步提高，完善按要素分配政策，健全各类生产要素由市场决定报酬的机制，探索增加中低收入群体收入。促进农业农村和户籍制度等重点领域改革，稳定工资性收入预期，拓宽财产性收入渠道，切实提高群众收入水平。规范健全资本、产权、债券、房屋租赁等各类市场，丰富拓展资金、股息、红利等有效投资渠道。实施农民收入倍增计划，落实国家和省强农惠农富农政策。重视发挥第三次分配作用，发展慈善等社会公益事业。拓展低收入群体增收渠道。</w:t>
      </w:r>
    </w:p>
    <w:p w14:paraId="31231768">
      <w:pPr>
        <w:pStyle w:val="4"/>
        <w:rPr>
          <w:rFonts w:hint="default" w:ascii="Times New Roman" w:hAnsi="Times New Roman" w:cs="Times New Roman"/>
          <w:color w:val="000000"/>
          <w:highlight w:val="none"/>
          <w:u w:val="none"/>
        </w:rPr>
      </w:pPr>
      <w:bookmarkStart w:id="98" w:name="_Toc61268223"/>
      <w:r>
        <w:rPr>
          <w:rFonts w:hint="default" w:ascii="Times New Roman" w:hAnsi="Times New Roman" w:cs="Times New Roman"/>
          <w:color w:val="000000"/>
          <w:highlight w:val="none"/>
          <w:u w:val="none"/>
        </w:rPr>
        <w:t>第二节  推动更充分更高质量就业</w:t>
      </w:r>
      <w:bookmarkEnd w:id="98"/>
    </w:p>
    <w:p w14:paraId="4F39AD32">
      <w:pPr>
        <w:pStyle w:val="14"/>
        <w:widowControl w:val="0"/>
        <w:shd w:val="clear" w:color="auto" w:fill="FFFFFF"/>
        <w:spacing w:before="0" w:beforeLines="0" w:beforeAutospacing="0" w:after="0" w:afterLines="0" w:afterAutospacing="0" w:line="600" w:lineRule="exact"/>
        <w:ind w:firstLine="640" w:firstLineChars="200"/>
        <w:jc w:val="both"/>
        <w:rPr>
          <w:rFonts w:hint="default" w:ascii="Times New Roman" w:hAnsi="Times New Roman" w:eastAsia="仿宋_GB2312" w:cs="Times New Roman"/>
          <w:color w:val="000000"/>
          <w:kern w:val="2"/>
          <w:sz w:val="32"/>
          <w:szCs w:val="32"/>
          <w:highlight w:val="none"/>
          <w:u w:val="none"/>
        </w:rPr>
      </w:pPr>
      <w:r>
        <w:rPr>
          <w:rFonts w:hint="default" w:ascii="Times New Roman" w:hAnsi="Times New Roman" w:eastAsia="仿宋_GB2312" w:cs="Times New Roman"/>
          <w:color w:val="000000"/>
          <w:kern w:val="2"/>
          <w:sz w:val="32"/>
          <w:szCs w:val="32"/>
          <w:highlight w:val="none"/>
          <w:u w:val="none"/>
        </w:rPr>
        <w:t>大力实施就业优先战略，坚持以“九八九”转移就业工程为载体，巩固提升就业扶贫成果，全力推进终生职业技能培训制度，大规模开展职业技能培训，建立普惠性的职业技能培训体系，落实信贷、服务、税费减免等扶持激励措施，大力培育创业主体，不断培育新的就业增长点，以创业带动就业。规范就业失业管理、职业培训、职业指导等公共就业服务流程，完善人力资源市场职业供求信息平台，增强转移就业组织化程度，建设城乡均等、功能齐全、服务规范、运行有序、覆盖城乡的公共就业服务体系，增强公共就业人才服务能力。健全覆盖全县的失业预警监测机制，建立完善就业援助制度，加大对高校毕业等困难群体就业援助力度。全面落实劳动合同制度，依法保障职工和企业合法权益。</w:t>
      </w:r>
    </w:p>
    <w:p w14:paraId="73EEF823">
      <w:pPr>
        <w:pStyle w:val="4"/>
        <w:rPr>
          <w:rFonts w:hint="default" w:ascii="Times New Roman" w:hAnsi="Times New Roman" w:cs="Times New Roman"/>
          <w:color w:val="000000"/>
          <w:highlight w:val="none"/>
          <w:u w:val="none"/>
        </w:rPr>
      </w:pPr>
      <w:bookmarkStart w:id="99" w:name="_Toc61268224"/>
      <w:r>
        <w:rPr>
          <w:rFonts w:hint="default" w:ascii="Times New Roman" w:hAnsi="Times New Roman" w:cs="Times New Roman"/>
          <w:color w:val="000000"/>
          <w:highlight w:val="none"/>
          <w:u w:val="none"/>
        </w:rPr>
        <w:t>第三节  建设高质量教育体系</w:t>
      </w:r>
      <w:bookmarkEnd w:id="99"/>
    </w:p>
    <w:p w14:paraId="5A53968C">
      <w:pPr>
        <w:spacing w:line="600" w:lineRule="exact"/>
        <w:ind w:firstLine="640" w:firstLineChars="200"/>
        <w:jc w:val="left"/>
        <w:rPr>
          <w:rFonts w:hint="default" w:ascii="Times New Roman" w:hAnsi="Times New Roman" w:eastAsia="仿宋_GB2312" w:cs="Times New Roman"/>
          <w:color w:val="000000"/>
          <w:sz w:val="32"/>
          <w:szCs w:val="32"/>
          <w:highlight w:val="none"/>
          <w:u w:val="none"/>
        </w:rPr>
      </w:pPr>
      <w:bookmarkStart w:id="100" w:name="_Toc54616101"/>
      <w:r>
        <w:rPr>
          <w:rFonts w:hint="default" w:ascii="Times New Roman" w:hAnsi="Times New Roman" w:eastAsia="仿宋_GB2312" w:cs="Times New Roman"/>
          <w:color w:val="000000"/>
          <w:sz w:val="32"/>
          <w:szCs w:val="32"/>
          <w:highlight w:val="none"/>
          <w:u w:val="none"/>
        </w:rPr>
        <w:t>全面贯彻党的教育方针，坚持立德树人、五育并举。深化新时代教育评价和教育督导体制机制改革，构建政府、学校、社会等多元参与的评价体系。加强团教协作，筑牢学生启蒙政治教育，着力培养德智体美劳全面发展的社会主义建设者和接班人。</w:t>
      </w:r>
      <w:r>
        <w:rPr>
          <w:rFonts w:hint="default" w:ascii="Times New Roman" w:hAnsi="Times New Roman" w:eastAsia="仿宋_GB2312" w:cs="Times New Roman"/>
          <w:b/>
          <w:color w:val="000000"/>
          <w:sz w:val="32"/>
          <w:szCs w:val="32"/>
          <w:highlight w:val="none"/>
          <w:u w:val="none"/>
        </w:rPr>
        <w:t>规范发展学前教育，</w:t>
      </w:r>
      <w:r>
        <w:rPr>
          <w:rFonts w:hint="default" w:ascii="Times New Roman" w:hAnsi="Times New Roman" w:eastAsia="仿宋_GB2312" w:cs="Times New Roman"/>
          <w:color w:val="000000"/>
          <w:sz w:val="32"/>
          <w:szCs w:val="32"/>
          <w:highlight w:val="none"/>
          <w:u w:val="none"/>
        </w:rPr>
        <w:t>推动学前教育普及普惠发展，规范办园行为，加强师资建设，努力满足人民群众对优质学前教育的需求。</w:t>
      </w:r>
      <w:r>
        <w:rPr>
          <w:rFonts w:hint="default" w:ascii="Times New Roman" w:hAnsi="Times New Roman" w:eastAsia="仿宋_GB2312" w:cs="Times New Roman"/>
          <w:b/>
          <w:color w:val="000000"/>
          <w:sz w:val="32"/>
          <w:szCs w:val="32"/>
          <w:highlight w:val="none"/>
          <w:u w:val="none"/>
        </w:rPr>
        <w:t>优质均衡发展义务教育，</w:t>
      </w:r>
      <w:r>
        <w:rPr>
          <w:rFonts w:hint="default" w:ascii="Times New Roman" w:hAnsi="Times New Roman" w:eastAsia="仿宋_GB2312" w:cs="Times New Roman"/>
          <w:color w:val="000000"/>
          <w:sz w:val="32"/>
          <w:szCs w:val="32"/>
          <w:highlight w:val="none"/>
          <w:u w:val="none"/>
        </w:rPr>
        <w:t>加快城乡教育一体化建设步伐，深化教育改革，提高教育教学资源利用率，充分利用好已配备齐全的功能室和设施设备，创新教育教学方式，加强新时代劳动教育，为孩子搭建成长平台，办好人民满意教育。</w:t>
      </w:r>
      <w:r>
        <w:rPr>
          <w:rFonts w:hint="default" w:ascii="Times New Roman" w:hAnsi="Times New Roman" w:eastAsia="仿宋_GB2312" w:cs="Times New Roman"/>
          <w:b/>
          <w:color w:val="000000"/>
          <w:sz w:val="32"/>
          <w:szCs w:val="32"/>
          <w:highlight w:val="none"/>
          <w:u w:val="none"/>
        </w:rPr>
        <w:t>特色发展高中教育，</w:t>
      </w:r>
      <w:r>
        <w:rPr>
          <w:rFonts w:hint="default" w:ascii="Times New Roman" w:hAnsi="Times New Roman" w:eastAsia="仿宋_GB2312" w:cs="Times New Roman"/>
          <w:color w:val="000000"/>
          <w:sz w:val="32"/>
          <w:szCs w:val="32"/>
          <w:highlight w:val="none"/>
          <w:u w:val="none"/>
        </w:rPr>
        <w:t>加快推进高考改革和高中课程改革，建立学生发展指导制度，创造条件开设选修课，全面实施高中学业水平考试和综合素质评价，推动普通高中特色发展。</w:t>
      </w:r>
      <w:r>
        <w:rPr>
          <w:rFonts w:hint="default" w:ascii="Times New Roman" w:hAnsi="Times New Roman" w:eastAsia="仿宋_GB2312" w:cs="Times New Roman"/>
          <w:b/>
          <w:color w:val="000000"/>
          <w:sz w:val="32"/>
          <w:szCs w:val="32"/>
          <w:highlight w:val="none"/>
          <w:u w:val="none"/>
        </w:rPr>
        <w:t>大力发展职业教育，</w:t>
      </w:r>
      <w:r>
        <w:rPr>
          <w:rFonts w:hint="default" w:ascii="Times New Roman" w:hAnsi="Times New Roman" w:eastAsia="仿宋_GB2312" w:cs="Times New Roman"/>
          <w:color w:val="000000"/>
          <w:sz w:val="32"/>
          <w:szCs w:val="32"/>
          <w:highlight w:val="none"/>
          <w:u w:val="none"/>
        </w:rPr>
        <w:t>推广工学结合、校企合作、顶岗实习的人才培养模式，建立健全职业教育培训体系，深入推进职业教育提质培优建设和“双优”建设，加快推动产教结合，切实增强教育服务实效性和针对性。</w:t>
      </w:r>
      <w:r>
        <w:rPr>
          <w:rFonts w:hint="default" w:ascii="Times New Roman" w:hAnsi="Times New Roman" w:eastAsia="仿宋_GB2312" w:cs="Times New Roman"/>
          <w:b/>
          <w:color w:val="000000"/>
          <w:sz w:val="32"/>
          <w:szCs w:val="32"/>
          <w:highlight w:val="none"/>
          <w:u w:val="none"/>
        </w:rPr>
        <w:t>加强教师队伍建设，</w:t>
      </w:r>
      <w:r>
        <w:rPr>
          <w:rFonts w:hint="default" w:ascii="Times New Roman" w:hAnsi="Times New Roman" w:eastAsia="仿宋_GB2312" w:cs="Times New Roman"/>
          <w:color w:val="000000"/>
          <w:sz w:val="32"/>
          <w:szCs w:val="32"/>
          <w:highlight w:val="none"/>
          <w:u w:val="none"/>
        </w:rPr>
        <w:t>深化教师继续教育，注重师德师风建设，实施县管校聘、县域统筹、资源共享、建立教师合理流动机制，完善定编定岗机制，合理优化教师队伍结构，加强学科带头人队伍建设，全面提升教育教学水平。</w:t>
      </w:r>
    </w:p>
    <w:p w14:paraId="03BF8F75">
      <w:pPr>
        <w:pStyle w:val="15"/>
        <w:rPr>
          <w:rFonts w:hint="default" w:ascii="Times New Roman" w:hAnsi="Times New Roman" w:cs="Times New Roman"/>
          <w:color w:val="000000"/>
          <w:highlight w:val="none"/>
          <w:u w:val="none"/>
        </w:rPr>
      </w:pPr>
    </w:p>
    <w:bookmarkEnd w:id="100"/>
    <w:p w14:paraId="75B78C85">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专栏23：教育基础设施建设项目</w:t>
      </w:r>
    </w:p>
    <w:tbl>
      <w:tblPr>
        <w:tblStyle w:val="17"/>
        <w:tblW w:w="0" w:type="auto"/>
        <w:tblInd w:w="2" w:type="dxa"/>
        <w:tblLayout w:type="fixed"/>
        <w:tblCellMar>
          <w:top w:w="0" w:type="dxa"/>
          <w:left w:w="108" w:type="dxa"/>
          <w:bottom w:w="0" w:type="dxa"/>
          <w:right w:w="108" w:type="dxa"/>
        </w:tblCellMar>
      </w:tblPr>
      <w:tblGrid>
        <w:gridCol w:w="2020"/>
        <w:gridCol w:w="7055"/>
      </w:tblGrid>
      <w:tr w14:paraId="79A4FE6C">
        <w:tblPrEx>
          <w:tblCellMar>
            <w:top w:w="0" w:type="dxa"/>
            <w:left w:w="108" w:type="dxa"/>
            <w:bottom w:w="0" w:type="dxa"/>
            <w:right w:w="108" w:type="dxa"/>
          </w:tblCellMar>
        </w:tblPrEx>
        <w:trPr>
          <w:trHeight w:val="952" w:hRule="atLeast"/>
        </w:trPr>
        <w:tc>
          <w:tcPr>
            <w:tcW w:w="2020" w:type="dxa"/>
            <w:tcBorders>
              <w:top w:val="single" w:color="auto" w:sz="4" w:space="0"/>
              <w:left w:val="nil"/>
              <w:bottom w:val="single" w:color="auto" w:sz="4" w:space="0"/>
              <w:right w:val="single" w:color="auto" w:sz="4" w:space="0"/>
            </w:tcBorders>
            <w:noWrap w:val="0"/>
            <w:vAlign w:val="center"/>
          </w:tcPr>
          <w:p w14:paraId="341C0266">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任务</w:t>
            </w:r>
          </w:p>
        </w:tc>
        <w:tc>
          <w:tcPr>
            <w:tcW w:w="7055" w:type="dxa"/>
            <w:tcBorders>
              <w:top w:val="single" w:color="auto" w:sz="4" w:space="0"/>
              <w:left w:val="nil"/>
              <w:bottom w:val="single" w:color="auto" w:sz="4" w:space="0"/>
              <w:right w:val="nil"/>
            </w:tcBorders>
            <w:noWrap w:val="0"/>
            <w:vAlign w:val="center"/>
          </w:tcPr>
          <w:p w14:paraId="4E79A2D7">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建设内容</w:t>
            </w:r>
          </w:p>
        </w:tc>
      </w:tr>
      <w:tr w14:paraId="2DA9C234">
        <w:tblPrEx>
          <w:tblCellMar>
            <w:top w:w="0" w:type="dxa"/>
            <w:left w:w="108" w:type="dxa"/>
            <w:bottom w:w="0" w:type="dxa"/>
            <w:right w:w="108" w:type="dxa"/>
          </w:tblCellMar>
        </w:tblPrEx>
        <w:trPr>
          <w:trHeight w:val="2399" w:hRule="atLeast"/>
        </w:trPr>
        <w:tc>
          <w:tcPr>
            <w:tcW w:w="2020" w:type="dxa"/>
            <w:tcBorders>
              <w:top w:val="single" w:color="auto" w:sz="4" w:space="0"/>
              <w:left w:val="nil"/>
              <w:bottom w:val="single" w:color="auto" w:sz="4" w:space="0"/>
              <w:right w:val="single" w:color="auto" w:sz="4" w:space="0"/>
            </w:tcBorders>
            <w:noWrap w:val="0"/>
            <w:vAlign w:val="center"/>
          </w:tcPr>
          <w:p w14:paraId="4683E7E8">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教学基础设施</w:t>
            </w:r>
          </w:p>
        </w:tc>
        <w:tc>
          <w:tcPr>
            <w:tcW w:w="7055" w:type="dxa"/>
            <w:tcBorders>
              <w:top w:val="single" w:color="auto" w:sz="4" w:space="0"/>
              <w:left w:val="nil"/>
              <w:bottom w:val="single" w:color="auto" w:sz="4" w:space="0"/>
              <w:right w:val="nil"/>
            </w:tcBorders>
            <w:noWrap w:val="0"/>
            <w:vAlign w:val="center"/>
          </w:tcPr>
          <w:p w14:paraId="4B1ACD73">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第二中学教学楼及体育运动场建设项目，第二中学体育馆建设项目，第一中学教学楼和体育馆建设项目，林业局第四中学塑胶跑道及操场建设项目，第四中学综合楼项目，五道岗镇学校建设项目，实验小学综合楼项目，桦南县曙光农场中学足球场地设施建设项目，曙光中学体育馆建设项目，柳毛河镇学校建设项目，第六小学综合楼项目，第五小学国学馆建设项目。</w:t>
            </w:r>
          </w:p>
        </w:tc>
      </w:tr>
      <w:tr w14:paraId="72A1B959">
        <w:tblPrEx>
          <w:tblCellMar>
            <w:top w:w="0" w:type="dxa"/>
            <w:left w:w="108" w:type="dxa"/>
            <w:bottom w:w="0" w:type="dxa"/>
            <w:right w:w="108" w:type="dxa"/>
          </w:tblCellMar>
        </w:tblPrEx>
        <w:trPr>
          <w:trHeight w:val="839" w:hRule="atLeast"/>
        </w:trPr>
        <w:tc>
          <w:tcPr>
            <w:tcW w:w="2020" w:type="dxa"/>
            <w:tcBorders>
              <w:top w:val="single" w:color="auto" w:sz="4" w:space="0"/>
              <w:left w:val="nil"/>
              <w:bottom w:val="single" w:color="auto" w:sz="4" w:space="0"/>
              <w:right w:val="single" w:color="auto" w:sz="4" w:space="0"/>
            </w:tcBorders>
            <w:noWrap w:val="0"/>
            <w:vAlign w:val="center"/>
          </w:tcPr>
          <w:p w14:paraId="2C60741C">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学前教育</w:t>
            </w:r>
          </w:p>
        </w:tc>
        <w:tc>
          <w:tcPr>
            <w:tcW w:w="7055" w:type="dxa"/>
            <w:tcBorders>
              <w:top w:val="single" w:color="auto" w:sz="4" w:space="0"/>
              <w:left w:val="nil"/>
              <w:bottom w:val="single" w:color="auto" w:sz="4" w:space="0"/>
              <w:right w:val="nil"/>
            </w:tcBorders>
            <w:noWrap w:val="0"/>
            <w:vAlign w:val="center"/>
          </w:tcPr>
          <w:p w14:paraId="0CA030ED">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奋斗幼儿园建设项目，启蒙幼儿园建设项目，小红花幼儿园建设项目。</w:t>
            </w:r>
          </w:p>
        </w:tc>
      </w:tr>
      <w:tr w14:paraId="2E596101">
        <w:tblPrEx>
          <w:tblCellMar>
            <w:top w:w="0" w:type="dxa"/>
            <w:left w:w="108" w:type="dxa"/>
            <w:bottom w:w="0" w:type="dxa"/>
            <w:right w:w="108" w:type="dxa"/>
          </w:tblCellMar>
        </w:tblPrEx>
        <w:trPr>
          <w:trHeight w:val="1146" w:hRule="atLeast"/>
        </w:trPr>
        <w:tc>
          <w:tcPr>
            <w:tcW w:w="2020" w:type="dxa"/>
            <w:tcBorders>
              <w:top w:val="single" w:color="auto" w:sz="4" w:space="0"/>
              <w:left w:val="nil"/>
              <w:bottom w:val="single" w:color="auto" w:sz="4" w:space="0"/>
              <w:right w:val="single" w:color="auto" w:sz="4" w:space="0"/>
            </w:tcBorders>
            <w:noWrap w:val="0"/>
            <w:vAlign w:val="center"/>
          </w:tcPr>
          <w:p w14:paraId="09DA63E3">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产教融合</w:t>
            </w:r>
          </w:p>
        </w:tc>
        <w:tc>
          <w:tcPr>
            <w:tcW w:w="7055" w:type="dxa"/>
            <w:tcBorders>
              <w:top w:val="single" w:color="auto" w:sz="4" w:space="0"/>
              <w:left w:val="nil"/>
              <w:bottom w:val="single" w:color="auto" w:sz="4" w:space="0"/>
              <w:right w:val="nil"/>
            </w:tcBorders>
            <w:noWrap w:val="0"/>
            <w:vAlign w:val="center"/>
          </w:tcPr>
          <w:p w14:paraId="66980613">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职教中心学前教育专业实训室建设项目，职教中心生物乙醇化工专业实验室及实训基地建设项目，职教中心汽修实训基地建设项目。</w:t>
            </w:r>
          </w:p>
        </w:tc>
      </w:tr>
    </w:tbl>
    <w:p w14:paraId="682400B3">
      <w:pPr>
        <w:pStyle w:val="4"/>
        <w:rPr>
          <w:rFonts w:hint="default" w:ascii="Times New Roman" w:hAnsi="Times New Roman" w:cs="Times New Roman"/>
          <w:color w:val="000000"/>
          <w:highlight w:val="none"/>
          <w:u w:val="none"/>
        </w:rPr>
      </w:pPr>
      <w:bookmarkStart w:id="101" w:name="_Toc61268225"/>
      <w:r>
        <w:rPr>
          <w:rFonts w:hint="default" w:ascii="Times New Roman" w:hAnsi="Times New Roman" w:cs="Times New Roman"/>
          <w:color w:val="000000"/>
          <w:highlight w:val="none"/>
          <w:u w:val="none"/>
        </w:rPr>
        <w:t>第四节  健全多层次社会保障体系</w:t>
      </w:r>
      <w:bookmarkEnd w:id="101"/>
    </w:p>
    <w:p w14:paraId="09520228">
      <w:pPr>
        <w:spacing w:line="600" w:lineRule="exact"/>
        <w:ind w:firstLine="640" w:firstLineChars="200"/>
        <w:rPr>
          <w:rFonts w:hint="default" w:ascii="Times New Roman" w:hAnsi="Times New Roman" w:eastAsia="仿宋_GB2312" w:cs="Times New Roman"/>
          <w:b/>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围绕社会保险、住房保障、社会救助、老龄服务、特殊群体服务等，健全全覆盖可持续的社保体系，织密社会保障网络，兜起民生福祉。</w:t>
      </w:r>
    </w:p>
    <w:p w14:paraId="1CABAFBC">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完善社会保险体系。</w:t>
      </w:r>
      <w:r>
        <w:rPr>
          <w:rFonts w:hint="default" w:ascii="Times New Roman" w:hAnsi="Times New Roman" w:eastAsia="仿宋_GB2312" w:cs="Times New Roman"/>
          <w:color w:val="000000"/>
          <w:sz w:val="32"/>
          <w:szCs w:val="32"/>
          <w:highlight w:val="none"/>
          <w:u w:val="none"/>
        </w:rPr>
        <w:t>实施全民参保计划，健全覆盖全民、统筹城乡、公平统一、更可持续的社会保障体系。到2025年，城镇基本养老保险参保率达到98%以上，城镇职工和城乡居民基本医疗保险参保率分别达到100%和96%以上。</w:t>
      </w:r>
    </w:p>
    <w:p w14:paraId="7D8A0626">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完善医疗保障体系。</w:t>
      </w:r>
      <w:r>
        <w:rPr>
          <w:rFonts w:hint="default" w:ascii="Times New Roman" w:hAnsi="Times New Roman" w:eastAsia="仿宋_GB2312" w:cs="Times New Roman"/>
          <w:color w:val="000000"/>
          <w:sz w:val="32"/>
          <w:szCs w:val="32"/>
          <w:highlight w:val="none"/>
          <w:u w:val="none"/>
        </w:rPr>
        <w:t>巩固提升城镇职工基本医疗保险基础优势，持续扩大职工医保支撑能力。织密织牢城乡居民基本医保、大病保险、医疗救助三重保障线，持续增加百姓获得感。</w:t>
      </w:r>
    </w:p>
    <w:p w14:paraId="2DD52C39">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完善养老服务体系。</w:t>
      </w:r>
      <w:r>
        <w:rPr>
          <w:rFonts w:hint="default" w:ascii="Times New Roman" w:hAnsi="Times New Roman" w:eastAsia="仿宋_GB2312" w:cs="Times New Roman"/>
          <w:color w:val="000000"/>
          <w:sz w:val="32"/>
          <w:szCs w:val="32"/>
          <w:highlight w:val="none"/>
          <w:u w:val="none"/>
        </w:rPr>
        <w:t>构建“养老机构+社区日间照料中心+居家养老”服务保障体系，推动机构服务、社区服务向居家养老延伸。夯实农村养老服务基础，打造农村互助养老模式，培育农村养老服务组织。大力发展健康养老、候鸟养老、休闲养老等新兴业态，推动特色服务业向精细化和高品质提升。</w:t>
      </w:r>
    </w:p>
    <w:p w14:paraId="5E78B685">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完善住房保障体系。</w:t>
      </w:r>
      <w:r>
        <w:rPr>
          <w:rFonts w:hint="default" w:ascii="Times New Roman" w:hAnsi="Times New Roman" w:eastAsia="仿宋_GB2312" w:cs="Times New Roman"/>
          <w:color w:val="000000"/>
          <w:sz w:val="32"/>
          <w:szCs w:val="32"/>
          <w:highlight w:val="none"/>
          <w:u w:val="none"/>
        </w:rPr>
        <w:t>持续加强保障性住房建设和实施农村危房改造，建立包含廉租住房、棚户区改造用房在内的多层次住房保障体系。有序推进城市旧住宅区、危旧房和非成套住宅改造，逐步改善城镇中低收入住房困难家庭住房条件。</w:t>
      </w:r>
    </w:p>
    <w:p w14:paraId="307E2F35">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完善社会救助体系。</w:t>
      </w:r>
      <w:r>
        <w:rPr>
          <w:rFonts w:hint="default" w:ascii="Times New Roman" w:hAnsi="Times New Roman" w:eastAsia="仿宋_GB2312" w:cs="Times New Roman"/>
          <w:color w:val="000000"/>
          <w:sz w:val="32"/>
          <w:szCs w:val="32"/>
          <w:highlight w:val="none"/>
          <w:u w:val="none"/>
        </w:rPr>
        <w:t>健全社会救助标准随经济发展及时调整的自然增长机制，建立低收入家庭经济状况核对和协查网络信息平台，建立特困人员基本生活标准和照料护理标准动态调整机制，完善“失独”家庭人员保障服务体系，切实兜住民生底线。</w:t>
      </w:r>
    </w:p>
    <w:p w14:paraId="17C2C1B7">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完善残疾人保障服务体系。</w:t>
      </w:r>
      <w:r>
        <w:rPr>
          <w:rFonts w:hint="default" w:ascii="Times New Roman" w:hAnsi="Times New Roman" w:eastAsia="仿宋_GB2312" w:cs="Times New Roman"/>
          <w:color w:val="000000"/>
          <w:sz w:val="32"/>
          <w:szCs w:val="32"/>
          <w:highlight w:val="none"/>
          <w:u w:val="none"/>
        </w:rPr>
        <w:t>健全残疾人关爱服务体系，完善帮扶残疾人社会福利制度，保障残疾人享有平等接受教育权利，开展关爱残疾人法律援助活动，实施“爱得其所”残疾人家庭无障碍改造，加快推进残疾人康复中心项目建设，不断提高服务残疾人水平。</w:t>
      </w:r>
    </w:p>
    <w:p w14:paraId="653AF34A">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实施儿童分类保障工作。</w:t>
      </w:r>
      <w:r>
        <w:rPr>
          <w:rFonts w:hint="default" w:ascii="Times New Roman" w:hAnsi="Times New Roman" w:eastAsia="仿宋_GB2312" w:cs="Times New Roman"/>
          <w:color w:val="000000"/>
          <w:sz w:val="32"/>
          <w:szCs w:val="32"/>
          <w:highlight w:val="none"/>
          <w:u w:val="none"/>
        </w:rPr>
        <w:t>坚持家庭尽责、政府主导、社会参与和分类保障的基本原则，坚持生活、监护两兜底，孤儿、事实无人抚养儿童和各类困境儿童基本生活、教育、医疗得到充分保障。完善困境儿童法律援助和司法救助机制，加强失足未成年人法律援助和司法救助的有效衔接，加大对困境儿童的精神关爱，共同推进困境儿童健康成长。</w:t>
      </w:r>
    </w:p>
    <w:p w14:paraId="1950399B">
      <w:pPr>
        <w:spacing w:line="600" w:lineRule="exact"/>
        <w:ind w:firstLine="643" w:firstLineChars="200"/>
        <w:rPr>
          <w:rFonts w:hint="default" w:ascii="Times New Roman" w:hAnsi="Times New Roman" w:eastAsia="仿宋_GB2312" w:cs="Times New Roman"/>
          <w:b/>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深化双拥共建工作。</w:t>
      </w:r>
      <w:r>
        <w:rPr>
          <w:rFonts w:hint="default" w:ascii="Times New Roman" w:hAnsi="Times New Roman" w:eastAsia="仿宋_GB2312" w:cs="Times New Roman"/>
          <w:color w:val="000000"/>
          <w:sz w:val="32"/>
          <w:szCs w:val="32"/>
          <w:highlight w:val="none"/>
          <w:u w:val="none"/>
        </w:rPr>
        <w:t>坚持以提升部队战斗力、促进地方生产力为导向，加强国防动员能力建设，支持驻桦武警部队现代化建设，完善双拥共建工作机制，落实优抚安置各项政策，全面营造浓厚的“双拥”氛围。</w:t>
      </w:r>
    </w:p>
    <w:p w14:paraId="5A09467C">
      <w:pPr>
        <w:spacing w:line="600" w:lineRule="exact"/>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专栏24：社会保障基础设施建设项目</w:t>
      </w:r>
    </w:p>
    <w:tbl>
      <w:tblPr>
        <w:tblStyle w:val="17"/>
        <w:tblW w:w="0" w:type="auto"/>
        <w:jc w:val="center"/>
        <w:tblLayout w:type="fixed"/>
        <w:tblCellMar>
          <w:top w:w="0" w:type="dxa"/>
          <w:left w:w="0" w:type="dxa"/>
          <w:bottom w:w="0" w:type="dxa"/>
          <w:right w:w="0" w:type="dxa"/>
        </w:tblCellMar>
      </w:tblPr>
      <w:tblGrid>
        <w:gridCol w:w="2707"/>
        <w:gridCol w:w="6051"/>
      </w:tblGrid>
      <w:tr w14:paraId="6DFA8D5E">
        <w:tblPrEx>
          <w:tblCellMar>
            <w:top w:w="0" w:type="dxa"/>
            <w:left w:w="0" w:type="dxa"/>
            <w:bottom w:w="0" w:type="dxa"/>
            <w:right w:w="0" w:type="dxa"/>
          </w:tblCellMar>
        </w:tblPrEx>
        <w:trPr>
          <w:trHeight w:val="620" w:hRule="atLeast"/>
          <w:jc w:val="center"/>
        </w:trPr>
        <w:tc>
          <w:tcPr>
            <w:tcW w:w="27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EBC7499">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任务</w:t>
            </w:r>
          </w:p>
        </w:tc>
        <w:tc>
          <w:tcPr>
            <w:tcW w:w="60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1D57F2">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建设内容</w:t>
            </w:r>
          </w:p>
        </w:tc>
      </w:tr>
      <w:tr w14:paraId="78784656">
        <w:tblPrEx>
          <w:tblCellMar>
            <w:top w:w="0" w:type="dxa"/>
            <w:left w:w="0" w:type="dxa"/>
            <w:bottom w:w="0" w:type="dxa"/>
            <w:right w:w="0" w:type="dxa"/>
          </w:tblCellMar>
        </w:tblPrEx>
        <w:trPr>
          <w:trHeight w:val="1106" w:hRule="atLeast"/>
          <w:jc w:val="center"/>
        </w:trPr>
        <w:tc>
          <w:tcPr>
            <w:tcW w:w="27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A2CF14">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殡仪服务中心改扩建项目</w:t>
            </w:r>
          </w:p>
        </w:tc>
        <w:tc>
          <w:tcPr>
            <w:tcW w:w="60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B4AA16B">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新建火化车间150平方米，火化设备环保改造3台，新建环保型遗物焚烧炉1台，更换彩钢保温板2700平方米，室内墙面维修35000平方米及供电线路改造等。</w:t>
            </w:r>
          </w:p>
        </w:tc>
      </w:tr>
      <w:tr w14:paraId="665FD1EB">
        <w:tblPrEx>
          <w:tblCellMar>
            <w:top w:w="0" w:type="dxa"/>
            <w:left w:w="0" w:type="dxa"/>
            <w:bottom w:w="0" w:type="dxa"/>
            <w:right w:w="0" w:type="dxa"/>
          </w:tblCellMar>
        </w:tblPrEx>
        <w:trPr>
          <w:trHeight w:val="839" w:hRule="atLeast"/>
          <w:jc w:val="center"/>
        </w:trPr>
        <w:tc>
          <w:tcPr>
            <w:tcW w:w="27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513F8D">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救助站改造项目</w:t>
            </w:r>
          </w:p>
        </w:tc>
        <w:tc>
          <w:tcPr>
            <w:tcW w:w="60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47F9CC">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对救助站消防设施改造、内外墙粉刷、改造厨房、购置车辆等更新升级。</w:t>
            </w:r>
          </w:p>
        </w:tc>
      </w:tr>
      <w:tr w14:paraId="4AC64887">
        <w:tblPrEx>
          <w:tblCellMar>
            <w:top w:w="0" w:type="dxa"/>
            <w:left w:w="0" w:type="dxa"/>
            <w:bottom w:w="0" w:type="dxa"/>
            <w:right w:w="0" w:type="dxa"/>
          </w:tblCellMar>
        </w:tblPrEx>
        <w:trPr>
          <w:trHeight w:val="839" w:hRule="atLeast"/>
          <w:jc w:val="center"/>
        </w:trPr>
        <w:tc>
          <w:tcPr>
            <w:tcW w:w="27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4B29C2C">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中心乡镇公益性骨灰堂建设项目</w:t>
            </w:r>
          </w:p>
        </w:tc>
        <w:tc>
          <w:tcPr>
            <w:tcW w:w="60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1846EC">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建设面积500平方米，可提供3000个骨灰安放位置。</w:t>
            </w:r>
          </w:p>
        </w:tc>
      </w:tr>
      <w:tr w14:paraId="3ED921DD">
        <w:tblPrEx>
          <w:tblCellMar>
            <w:top w:w="0" w:type="dxa"/>
            <w:left w:w="0" w:type="dxa"/>
            <w:bottom w:w="0" w:type="dxa"/>
            <w:right w:w="0" w:type="dxa"/>
          </w:tblCellMar>
        </w:tblPrEx>
        <w:trPr>
          <w:trHeight w:val="864" w:hRule="atLeast"/>
          <w:jc w:val="center"/>
        </w:trPr>
        <w:tc>
          <w:tcPr>
            <w:tcW w:w="270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FE2829">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社会救助动态管理系统建设项目</w:t>
            </w:r>
          </w:p>
        </w:tc>
        <w:tc>
          <w:tcPr>
            <w:tcW w:w="605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F1F65D8">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十二个乡镇和192个村建设智能硬件+软件技术一体化社会救助动态管理系统，实现救助对象定期认定（签到）。</w:t>
            </w:r>
          </w:p>
        </w:tc>
      </w:tr>
    </w:tbl>
    <w:p w14:paraId="07421931">
      <w:pPr>
        <w:pStyle w:val="4"/>
        <w:rPr>
          <w:rFonts w:hint="default" w:ascii="Times New Roman" w:hAnsi="Times New Roman" w:cs="Times New Roman"/>
          <w:color w:val="000000"/>
          <w:highlight w:val="none"/>
          <w:u w:val="none"/>
        </w:rPr>
      </w:pPr>
      <w:bookmarkStart w:id="102" w:name="_Toc61268226"/>
      <w:r>
        <w:rPr>
          <w:rFonts w:hint="default" w:ascii="Times New Roman" w:hAnsi="Times New Roman" w:cs="Times New Roman"/>
          <w:color w:val="000000"/>
          <w:highlight w:val="none"/>
          <w:u w:val="none"/>
        </w:rPr>
        <w:t>第五节  全面推进健康桦南建设</w:t>
      </w:r>
      <w:bookmarkEnd w:id="102"/>
    </w:p>
    <w:p w14:paraId="16AB4B9B">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坚持把保障人民健康放在优先发展战略位置，坚持预防为主，围绕创建国家级健康卫生城，推进实施健康中国行动，完善国民健康促进政策，织牢国家公共卫生防护网，为人民提供全方位全周期健康服务。</w:t>
      </w:r>
    </w:p>
    <w:p w14:paraId="0876C7EE">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深化医药卫生体制改革。</w:t>
      </w:r>
      <w:r>
        <w:rPr>
          <w:rFonts w:hint="default" w:ascii="Times New Roman" w:hAnsi="Times New Roman" w:eastAsia="仿宋_GB2312" w:cs="Times New Roman"/>
          <w:bCs/>
          <w:color w:val="000000"/>
          <w:sz w:val="32"/>
          <w:szCs w:val="32"/>
          <w:highlight w:val="none"/>
          <w:u w:val="none"/>
        </w:rPr>
        <w:t>坚持预防为主，全面深</w:t>
      </w:r>
      <w:r>
        <w:rPr>
          <w:rFonts w:hint="default" w:ascii="Times New Roman" w:hAnsi="Times New Roman" w:eastAsia="仿宋_GB2312" w:cs="Times New Roman"/>
          <w:color w:val="000000"/>
          <w:sz w:val="32"/>
          <w:szCs w:val="32"/>
          <w:highlight w:val="none"/>
          <w:u w:val="none"/>
        </w:rPr>
        <w:t>化公共卫生体制改革和疾病预防控制体系改革，健全疾控和城乡社区联动、分级分层分流重大疫情救治等体制机制。强化覆盖全民均等化的公共卫生服务，防治慢性病、传染病等重大疾病。强化监测预警、处置风险评估、流行病学调查等职能，加强公立医院建设和管理考核。全面推进分级诊疗制度，健全现代医院管理制度，推进医保管理和支付方式改革，完善药品供应保障体系，建立健全医疗卫生行业综合监管制度，全面建立符合县情的基本医疗卫生制度。</w:t>
      </w:r>
    </w:p>
    <w:p w14:paraId="43270761">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健全医疗卫生服务体系。</w:t>
      </w:r>
      <w:r>
        <w:rPr>
          <w:rFonts w:hint="default" w:ascii="Times New Roman" w:hAnsi="Times New Roman" w:eastAsia="仿宋_GB2312" w:cs="Times New Roman"/>
          <w:color w:val="000000"/>
          <w:sz w:val="32"/>
          <w:szCs w:val="32"/>
          <w:highlight w:val="none"/>
          <w:u w:val="none"/>
        </w:rPr>
        <w:t>强化基层医疗卫生服务能力，推进紧密型医共体建设，加快建设县乡村三级联动的医疗卫生服务体系。加大高学历医疗卫生人才培养引进力度，切实提升医疗卫生服务水平。坚持中西医并重，传承发展中医药事业。大力发展健康产业，优化多元办医格局，推进“互联网+医疗”健康服务，满足人民群众多样化的健康需求。</w:t>
      </w:r>
    </w:p>
    <w:p w14:paraId="321626A3">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提升人口政策管理服务能力。</w:t>
      </w:r>
      <w:r>
        <w:rPr>
          <w:rFonts w:hint="default" w:ascii="Times New Roman" w:hAnsi="Times New Roman" w:eastAsia="仿宋_GB2312" w:cs="Times New Roman"/>
          <w:color w:val="000000"/>
          <w:sz w:val="32"/>
          <w:szCs w:val="32"/>
          <w:highlight w:val="none"/>
          <w:u w:val="none"/>
        </w:rPr>
        <w:t>制定人口长期发展战略，优化生育政策，完善人口政策，促进人口均衡发展，提升人口服务管理精细化水平，为群众生养子女创造有利条件。发展普惠托育服务体系，推动人口规模与人口结构均衡发展。提升妇幼健康水平，完善妇幼健康体制建设。实施健康老龄化工程，健全医疗卫生机构与养老机构合作机制，支持社会力量举办养老机构，提供全方位健康养老服务。</w:t>
      </w:r>
    </w:p>
    <w:p w14:paraId="2D928D9E">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提高群众健康素养水平。</w:t>
      </w:r>
      <w:r>
        <w:rPr>
          <w:rFonts w:hint="default" w:ascii="Times New Roman" w:hAnsi="Times New Roman" w:eastAsia="仿宋_GB2312" w:cs="Times New Roman"/>
          <w:color w:val="000000"/>
          <w:sz w:val="32"/>
          <w:szCs w:val="32"/>
          <w:highlight w:val="none"/>
          <w:u w:val="none"/>
        </w:rPr>
        <w:t>面向全社会普及预防疾病、早期发现、紧急救援、及时就医、合理用药等维护健康知识与技能，提倡合理膳食、科学运动、戒烟限酒、心理平衡等文明健康生活方式。广泛开展全民健身运动，完善全民健身公共服务体系，加快发展健康产业，提高全民身体素质。深入开展爱国卫生运动，加强城乡环境卫生综合整治。</w:t>
      </w:r>
    </w:p>
    <w:p w14:paraId="0E27992A">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广泛开展全民健身运动。</w:t>
      </w:r>
      <w:r>
        <w:rPr>
          <w:rFonts w:hint="default" w:ascii="Times New Roman" w:hAnsi="Times New Roman" w:eastAsia="仿宋_GB2312" w:cs="Times New Roman"/>
          <w:color w:val="000000"/>
          <w:sz w:val="32"/>
          <w:szCs w:val="32"/>
          <w:highlight w:val="none"/>
          <w:u w:val="none"/>
        </w:rPr>
        <w:t>科学规划和统筹建设全民健身场地设施，组织开展群众喜闻乐见、参与广泛的赛事活动，大力实施青少年体育活动促进计划，加大冰雪运动扶持力度。到2025年，实现带动县内人口10万人参与冰雪运动。</w:t>
      </w:r>
    </w:p>
    <w:p w14:paraId="31EA1C8A">
      <w:pPr>
        <w:widowControl/>
        <w:spacing w:line="600" w:lineRule="exact"/>
        <w:ind w:firstLine="200"/>
        <w:jc w:val="center"/>
        <w:rPr>
          <w:rFonts w:hint="default" w:ascii="Times New Roman" w:hAnsi="Times New Roman" w:eastAsia="黑体" w:cs="Times New Roman"/>
          <w:color w:val="000000"/>
          <w:sz w:val="28"/>
          <w:szCs w:val="28"/>
          <w:highlight w:val="none"/>
          <w:u w:val="none"/>
        </w:rPr>
      </w:pPr>
      <w:bookmarkStart w:id="103" w:name="_Toc10536"/>
      <w:bookmarkStart w:id="104" w:name="_Toc22578"/>
      <w:r>
        <w:rPr>
          <w:rFonts w:hint="default" w:ascii="Times New Roman" w:hAnsi="Times New Roman" w:eastAsia="黑体" w:cs="Times New Roman"/>
          <w:color w:val="000000"/>
          <w:sz w:val="28"/>
          <w:szCs w:val="28"/>
          <w:highlight w:val="none"/>
          <w:u w:val="none"/>
        </w:rPr>
        <w:t>专栏25：医养结合基础设施建设项目</w:t>
      </w:r>
    </w:p>
    <w:tbl>
      <w:tblPr>
        <w:tblStyle w:val="17"/>
        <w:tblW w:w="0" w:type="auto"/>
        <w:jc w:val="center"/>
        <w:tblLayout w:type="fixed"/>
        <w:tblCellMar>
          <w:top w:w="0" w:type="dxa"/>
          <w:left w:w="0" w:type="dxa"/>
          <w:bottom w:w="0" w:type="dxa"/>
          <w:right w:w="0" w:type="dxa"/>
        </w:tblCellMar>
      </w:tblPr>
      <w:tblGrid>
        <w:gridCol w:w="2847"/>
        <w:gridCol w:w="5700"/>
      </w:tblGrid>
      <w:tr w14:paraId="07D146FC">
        <w:tblPrEx>
          <w:tblCellMar>
            <w:top w:w="0" w:type="dxa"/>
            <w:left w:w="0" w:type="dxa"/>
            <w:bottom w:w="0" w:type="dxa"/>
            <w:right w:w="0" w:type="dxa"/>
          </w:tblCellMar>
        </w:tblPrEx>
        <w:trPr>
          <w:trHeight w:val="620" w:hRule="atLeast"/>
          <w:jc w:val="center"/>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A7B6CD">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任务</w:t>
            </w:r>
          </w:p>
        </w:tc>
        <w:tc>
          <w:tcPr>
            <w:tcW w:w="57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9E9B24">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建设内容</w:t>
            </w:r>
          </w:p>
        </w:tc>
      </w:tr>
      <w:tr w14:paraId="5088FCA2">
        <w:tblPrEx>
          <w:tblCellMar>
            <w:top w:w="0" w:type="dxa"/>
            <w:left w:w="0" w:type="dxa"/>
            <w:bottom w:w="0" w:type="dxa"/>
            <w:right w:w="0" w:type="dxa"/>
          </w:tblCellMar>
        </w:tblPrEx>
        <w:trPr>
          <w:trHeight w:val="1151" w:hRule="atLeast"/>
          <w:jc w:val="center"/>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C51910">
            <w:pPr>
              <w:widowControl/>
              <w:rPr>
                <w:rFonts w:hint="default" w:ascii="Times New Roman" w:hAnsi="Times New Roman" w:eastAsia="宋体" w:cs="Times New Roman"/>
                <w:b/>
                <w:bCs/>
                <w:color w:val="000000"/>
                <w:kern w:val="0"/>
                <w:sz w:val="24"/>
                <w:highlight w:val="none"/>
                <w:u w:val="none"/>
                <w:lang w:val="en-US" w:eastAsia="zh-CN"/>
              </w:rPr>
            </w:pPr>
            <w:r>
              <w:rPr>
                <w:rFonts w:hint="eastAsia" w:cs="Times New Roman"/>
                <w:b/>
                <w:bCs/>
                <w:color w:val="000000"/>
                <w:kern w:val="0"/>
                <w:sz w:val="24"/>
                <w:highlight w:val="none"/>
                <w:u w:val="none"/>
                <w:lang w:val="en-US" w:eastAsia="zh-CN"/>
              </w:rPr>
              <w:t>医疗卫生能力提升项目</w:t>
            </w:r>
          </w:p>
        </w:tc>
        <w:tc>
          <w:tcPr>
            <w:tcW w:w="57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82A7C53">
            <w:pPr>
              <w:widowControl/>
              <w:rPr>
                <w:rFonts w:hint="eastAsia" w:ascii="Times New Roman" w:hAnsi="Times New Roman" w:eastAsia="宋体" w:cs="Times New Roman"/>
                <w:color w:val="000000"/>
                <w:kern w:val="0"/>
                <w:sz w:val="24"/>
                <w:highlight w:val="none"/>
                <w:u w:val="none"/>
                <w:lang w:eastAsia="zh-CN"/>
              </w:rPr>
            </w:pPr>
            <w:r>
              <w:rPr>
                <w:rFonts w:hint="default" w:ascii="Times New Roman" w:hAnsi="Times New Roman" w:cs="Times New Roman"/>
                <w:color w:val="000000"/>
                <w:kern w:val="0"/>
                <w:sz w:val="24"/>
                <w:highlight w:val="none"/>
                <w:u w:val="none"/>
              </w:rPr>
              <w:t>疾病预防控制中心建设项目</w:t>
            </w:r>
            <w:r>
              <w:rPr>
                <w:rFonts w:hint="eastAsia" w:cs="Times New Roman"/>
                <w:color w:val="000000"/>
                <w:kern w:val="0"/>
                <w:sz w:val="24"/>
                <w:highlight w:val="none"/>
                <w:u w:val="none"/>
                <w:lang w:eastAsia="zh-CN"/>
              </w:rPr>
              <w:t>、人民医院传染病区建设项目、120急救中心建设项目</w:t>
            </w:r>
          </w:p>
        </w:tc>
      </w:tr>
      <w:tr w14:paraId="0B896D61">
        <w:tblPrEx>
          <w:tblCellMar>
            <w:top w:w="0" w:type="dxa"/>
            <w:left w:w="0" w:type="dxa"/>
            <w:bottom w:w="0" w:type="dxa"/>
            <w:right w:w="0" w:type="dxa"/>
          </w:tblCellMar>
        </w:tblPrEx>
        <w:trPr>
          <w:trHeight w:val="1151" w:hRule="atLeast"/>
          <w:jc w:val="center"/>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8E77F9">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医养结合服务中心项目</w:t>
            </w:r>
          </w:p>
        </w:tc>
        <w:tc>
          <w:tcPr>
            <w:tcW w:w="57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289191">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驼腰子镇、孟家岗镇、金沙乡、胜利社区、铁西社区联合卫健部门分别建设养老医养业务用房2000平方米，每处设置医养床位50张。</w:t>
            </w:r>
          </w:p>
        </w:tc>
      </w:tr>
      <w:tr w14:paraId="3A27A1D8">
        <w:tblPrEx>
          <w:tblCellMar>
            <w:top w:w="0" w:type="dxa"/>
            <w:left w:w="0" w:type="dxa"/>
            <w:bottom w:w="0" w:type="dxa"/>
            <w:right w:w="0" w:type="dxa"/>
          </w:tblCellMar>
        </w:tblPrEx>
        <w:trPr>
          <w:trHeight w:val="2102" w:hRule="atLeast"/>
          <w:jc w:val="center"/>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5FC0C8">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公办敬老院改扩建项目</w:t>
            </w:r>
          </w:p>
        </w:tc>
        <w:tc>
          <w:tcPr>
            <w:tcW w:w="57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82AEB92">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中心敬老院改建失能照护服务中心，配备满足康复治疗，医疗护理需求的医疗康复器材及相应设施。室内室外维修粉刷及外墙保温、塑窗更换、后院绿化、外围墙、自来水净化房和设备购置等。土龙山镇敬老院新建阳光大厅500平，室内室外维修粉刷及外墙保温、塑窗更换、后院绿化、外围墙、自来水净化房和设备购置等。</w:t>
            </w:r>
          </w:p>
        </w:tc>
      </w:tr>
      <w:tr w14:paraId="152DB4E9">
        <w:tblPrEx>
          <w:tblCellMar>
            <w:top w:w="0" w:type="dxa"/>
            <w:left w:w="0" w:type="dxa"/>
            <w:bottom w:w="0" w:type="dxa"/>
            <w:right w:w="0" w:type="dxa"/>
          </w:tblCellMar>
        </w:tblPrEx>
        <w:trPr>
          <w:trHeight w:val="1061" w:hRule="atLeast"/>
          <w:jc w:val="center"/>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49080E">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曙光社区便民服务中心建设项目</w:t>
            </w:r>
          </w:p>
        </w:tc>
        <w:tc>
          <w:tcPr>
            <w:tcW w:w="57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EE6DD7">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建设规模1000平方米的综合便民服务中心。承载社区本级事项及政务服务，开展公共服务事项办理；配套服务设施；购置办公设备。</w:t>
            </w:r>
          </w:p>
        </w:tc>
      </w:tr>
      <w:tr w14:paraId="285D3F48">
        <w:tblPrEx>
          <w:tblCellMar>
            <w:top w:w="0" w:type="dxa"/>
            <w:left w:w="0" w:type="dxa"/>
            <w:bottom w:w="0" w:type="dxa"/>
            <w:right w:w="0" w:type="dxa"/>
          </w:tblCellMar>
        </w:tblPrEx>
        <w:trPr>
          <w:trHeight w:val="674" w:hRule="atLeast"/>
          <w:jc w:val="center"/>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3360027">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未保中心升级改造项目</w:t>
            </w:r>
          </w:p>
        </w:tc>
        <w:tc>
          <w:tcPr>
            <w:tcW w:w="57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9C6EB6">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对现有未保中心进行升级改造，室内外粉刷、图板、设备设施采购升级等。</w:t>
            </w:r>
          </w:p>
        </w:tc>
      </w:tr>
      <w:tr w14:paraId="5888C6FE">
        <w:tblPrEx>
          <w:tblCellMar>
            <w:top w:w="0" w:type="dxa"/>
            <w:left w:w="0" w:type="dxa"/>
            <w:bottom w:w="0" w:type="dxa"/>
            <w:right w:w="0" w:type="dxa"/>
          </w:tblCellMar>
        </w:tblPrEx>
        <w:trPr>
          <w:trHeight w:val="1061" w:hRule="atLeast"/>
          <w:jc w:val="center"/>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CD4A33">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嵌入型社区养老机构建设项目</w:t>
            </w:r>
          </w:p>
        </w:tc>
        <w:tc>
          <w:tcPr>
            <w:tcW w:w="57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20E1EC">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在县城区、林业街道、曙光社区新建七所嵌入型社区养老机构，每机构建筑面积500平方米，设置护理型床位30张。</w:t>
            </w:r>
          </w:p>
        </w:tc>
      </w:tr>
    </w:tbl>
    <w:p w14:paraId="12A9F52D">
      <w:pPr>
        <w:jc w:val="center"/>
        <w:rPr>
          <w:rFonts w:hint="default" w:ascii="Times New Roman" w:hAnsi="Times New Roman" w:eastAsia="黑体" w:cs="Times New Roman"/>
          <w:color w:val="000000"/>
          <w:sz w:val="28"/>
          <w:szCs w:val="28"/>
          <w:highlight w:val="none"/>
          <w:u w:val="none"/>
        </w:rPr>
      </w:pPr>
    </w:p>
    <w:p w14:paraId="79D54154">
      <w:pPr>
        <w:jc w:val="center"/>
        <w:rPr>
          <w:rFonts w:hint="default" w:ascii="Times New Roman" w:hAnsi="Times New Roman" w:eastAsia="黑体" w:cs="Times New Roman"/>
          <w:color w:val="000000"/>
          <w:sz w:val="28"/>
          <w:szCs w:val="28"/>
          <w:highlight w:val="none"/>
          <w:u w:val="none"/>
        </w:rPr>
      </w:pPr>
      <w:r>
        <w:rPr>
          <w:rFonts w:hint="default" w:ascii="Times New Roman" w:hAnsi="Times New Roman" w:eastAsia="黑体" w:cs="Times New Roman"/>
          <w:color w:val="000000"/>
          <w:sz w:val="28"/>
          <w:szCs w:val="28"/>
          <w:highlight w:val="none"/>
          <w:u w:val="none"/>
        </w:rPr>
        <w:t>专栏26：体育事业基础设施建设项目</w:t>
      </w:r>
    </w:p>
    <w:tbl>
      <w:tblPr>
        <w:tblStyle w:val="17"/>
        <w:tblW w:w="0" w:type="auto"/>
        <w:jc w:val="center"/>
        <w:tblLayout w:type="fixed"/>
        <w:tblCellMar>
          <w:top w:w="0" w:type="dxa"/>
          <w:left w:w="108" w:type="dxa"/>
          <w:bottom w:w="0" w:type="dxa"/>
          <w:right w:w="108" w:type="dxa"/>
        </w:tblCellMar>
      </w:tblPr>
      <w:tblGrid>
        <w:gridCol w:w="2020"/>
        <w:gridCol w:w="6651"/>
      </w:tblGrid>
      <w:tr w14:paraId="47A84548">
        <w:tblPrEx>
          <w:tblCellMar>
            <w:top w:w="0" w:type="dxa"/>
            <w:left w:w="108" w:type="dxa"/>
            <w:bottom w:w="0" w:type="dxa"/>
            <w:right w:w="108" w:type="dxa"/>
          </w:tblCellMar>
        </w:tblPrEx>
        <w:trPr>
          <w:trHeight w:val="652" w:hRule="atLeast"/>
          <w:jc w:val="center"/>
        </w:trPr>
        <w:tc>
          <w:tcPr>
            <w:tcW w:w="2020" w:type="dxa"/>
            <w:tcBorders>
              <w:top w:val="single" w:color="auto" w:sz="4" w:space="0"/>
              <w:left w:val="nil"/>
              <w:bottom w:val="single" w:color="auto" w:sz="4" w:space="0"/>
              <w:right w:val="single" w:color="auto" w:sz="4" w:space="0"/>
            </w:tcBorders>
            <w:noWrap w:val="0"/>
            <w:vAlign w:val="center"/>
          </w:tcPr>
          <w:p w14:paraId="64965279">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任务</w:t>
            </w:r>
          </w:p>
        </w:tc>
        <w:tc>
          <w:tcPr>
            <w:tcW w:w="6651" w:type="dxa"/>
            <w:tcBorders>
              <w:top w:val="single" w:color="auto" w:sz="4" w:space="0"/>
              <w:left w:val="nil"/>
              <w:bottom w:val="single" w:color="auto" w:sz="4" w:space="0"/>
              <w:right w:val="nil"/>
            </w:tcBorders>
            <w:noWrap w:val="0"/>
            <w:vAlign w:val="center"/>
          </w:tcPr>
          <w:p w14:paraId="7652F0EA">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建设内容</w:t>
            </w:r>
          </w:p>
        </w:tc>
      </w:tr>
      <w:tr w14:paraId="7289A89B">
        <w:tblPrEx>
          <w:tblCellMar>
            <w:top w:w="0" w:type="dxa"/>
            <w:left w:w="108" w:type="dxa"/>
            <w:bottom w:w="0" w:type="dxa"/>
            <w:right w:w="108" w:type="dxa"/>
          </w:tblCellMar>
        </w:tblPrEx>
        <w:trPr>
          <w:trHeight w:val="2184" w:hRule="atLeast"/>
          <w:jc w:val="center"/>
        </w:trPr>
        <w:tc>
          <w:tcPr>
            <w:tcW w:w="2020" w:type="dxa"/>
            <w:tcBorders>
              <w:top w:val="single" w:color="auto" w:sz="4" w:space="0"/>
              <w:left w:val="nil"/>
              <w:bottom w:val="single" w:color="auto" w:sz="4" w:space="0"/>
              <w:right w:val="single" w:color="auto" w:sz="4" w:space="0"/>
            </w:tcBorders>
            <w:noWrap w:val="0"/>
            <w:vAlign w:val="center"/>
          </w:tcPr>
          <w:p w14:paraId="4DA91A55">
            <w:pPr>
              <w:widowControl/>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全民健身场馆</w:t>
            </w:r>
          </w:p>
          <w:p w14:paraId="23230BF8">
            <w:pPr>
              <w:widowControl/>
              <w:rPr>
                <w:rFonts w:hint="default" w:ascii="Times New Roman" w:hAnsi="Times New Roman" w:cs="Times New Roman"/>
                <w:b/>
                <w:bCs/>
                <w:color w:val="000000"/>
                <w:kern w:val="0"/>
                <w:sz w:val="24"/>
                <w:highlight w:val="none"/>
                <w:u w:val="none"/>
              </w:rPr>
            </w:pPr>
          </w:p>
        </w:tc>
        <w:tc>
          <w:tcPr>
            <w:tcW w:w="6651" w:type="dxa"/>
            <w:tcBorders>
              <w:top w:val="single" w:color="auto" w:sz="4" w:space="0"/>
              <w:left w:val="nil"/>
              <w:bottom w:val="single" w:color="auto" w:sz="4" w:space="0"/>
              <w:right w:val="nil"/>
            </w:tcBorders>
            <w:noWrap w:val="0"/>
            <w:vAlign w:val="center"/>
          </w:tcPr>
          <w:p w14:paraId="4F9134C3">
            <w:pP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铁东社区全民健身中心建设项目、福庆社区足球场建设项目、正北社区足球场建设项目、教育社区足球场建设项目、铁西社区足球场建设项目、金科社区足球场建设项目、体育健身步道建设项目、体育公园建设项目、金晖社区多功能运动场建设项目、环城自行车赛道建设项目、铁东体育场建设项目。</w:t>
            </w:r>
          </w:p>
        </w:tc>
      </w:tr>
    </w:tbl>
    <w:p w14:paraId="14C38BE3">
      <w:pPr>
        <w:pStyle w:val="13"/>
        <w:tabs>
          <w:tab w:val="right" w:leader="dot" w:pos="8296"/>
        </w:tabs>
        <w:spacing w:line="600" w:lineRule="exact"/>
        <w:ind w:left="0" w:leftChars="0"/>
        <w:jc w:val="center"/>
        <w:outlineLvl w:val="0"/>
        <w:rPr>
          <w:rFonts w:hint="default" w:ascii="Times New Roman" w:hAnsi="Times New Roman" w:eastAsia="黑体" w:cs="Times New Roman"/>
          <w:bCs/>
          <w:color w:val="000000"/>
          <w:sz w:val="32"/>
          <w:szCs w:val="32"/>
          <w:highlight w:val="none"/>
          <w:u w:val="none"/>
        </w:rPr>
      </w:pPr>
    </w:p>
    <w:p w14:paraId="3581360B">
      <w:pPr>
        <w:pStyle w:val="3"/>
        <w:rPr>
          <w:rFonts w:hint="default" w:ascii="Times New Roman" w:hAnsi="Times New Roman" w:cs="Times New Roman"/>
          <w:b/>
          <w:color w:val="000000"/>
          <w:highlight w:val="none"/>
          <w:u w:val="none"/>
        </w:rPr>
      </w:pPr>
      <w:bookmarkStart w:id="105" w:name="_Toc61268227"/>
      <w:r>
        <w:rPr>
          <w:rFonts w:hint="default" w:ascii="Times New Roman" w:hAnsi="Times New Roman" w:cs="Times New Roman"/>
          <w:b/>
          <w:color w:val="000000"/>
          <w:highlight w:val="none"/>
          <w:u w:val="none"/>
        </w:rPr>
        <w:t>第十二章  创新社会治理，切实维护社会安全稳定</w:t>
      </w:r>
      <w:bookmarkEnd w:id="103"/>
      <w:bookmarkEnd w:id="104"/>
      <w:bookmarkEnd w:id="105"/>
    </w:p>
    <w:p w14:paraId="4951F35F">
      <w:pPr>
        <w:spacing w:line="600" w:lineRule="exact"/>
        <w:ind w:firstLine="640" w:firstLineChars="200"/>
        <w:rPr>
          <w:rFonts w:hint="default" w:ascii="Times New Roman" w:hAnsi="Times New Roman" w:eastAsia="仿宋_GB2312" w:cs="Times New Roman"/>
          <w:color w:val="000000"/>
          <w:sz w:val="32"/>
          <w:szCs w:val="32"/>
          <w:highlight w:val="none"/>
          <w:u w:val="none"/>
        </w:rPr>
      </w:pPr>
    </w:p>
    <w:p w14:paraId="5663BC07">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总体国家安全观，统筹传统安全和非传统安全，加强和创新基层社会治理，完善共建共治共享社会治理制度，“八五”普法规划实施完成，社会治理法治化水平显著提高。加快构建党委领导、政府负责、民主协商、社会协同、公众参与、法治保障、科技支撑的社会治理体系，建设更高水平的“平安桦南”。</w:t>
      </w:r>
    </w:p>
    <w:p w14:paraId="12943C51">
      <w:pPr>
        <w:pStyle w:val="4"/>
        <w:rPr>
          <w:rFonts w:hint="default" w:ascii="Times New Roman" w:hAnsi="Times New Roman" w:cs="Times New Roman"/>
          <w:color w:val="000000"/>
          <w:highlight w:val="none"/>
          <w:u w:val="none"/>
        </w:rPr>
      </w:pPr>
      <w:bookmarkStart w:id="106" w:name="_Toc61268228"/>
      <w:r>
        <w:rPr>
          <w:rFonts w:hint="default" w:ascii="Times New Roman" w:hAnsi="Times New Roman" w:cs="Times New Roman"/>
          <w:color w:val="000000"/>
          <w:highlight w:val="none"/>
          <w:u w:val="none"/>
        </w:rPr>
        <w:t>第一节  深化法治桦南建设</w:t>
      </w:r>
      <w:bookmarkEnd w:id="106"/>
    </w:p>
    <w:p w14:paraId="496C138E">
      <w:pPr>
        <w:spacing w:line="600" w:lineRule="exact"/>
        <w:ind w:firstLine="643" w:firstLineChars="200"/>
        <w:rPr>
          <w:rFonts w:hint="default" w:ascii="Times New Roman" w:hAnsi="Times New Roman" w:eastAsia="仿宋_GB2312" w:cs="Times New Roman"/>
          <w:color w:val="000000"/>
          <w:highlight w:val="none"/>
          <w:u w:val="none"/>
        </w:rPr>
      </w:pPr>
      <w:r>
        <w:rPr>
          <w:rFonts w:hint="default" w:ascii="Times New Roman" w:hAnsi="Times New Roman" w:eastAsia="仿宋_GB2312" w:cs="Times New Roman"/>
          <w:b/>
          <w:bCs/>
          <w:color w:val="000000"/>
          <w:sz w:val="32"/>
          <w:szCs w:val="32"/>
          <w:highlight w:val="none"/>
          <w:u w:val="none"/>
        </w:rPr>
        <w:t>推进法治政府建设。</w:t>
      </w:r>
      <w:r>
        <w:rPr>
          <w:rFonts w:hint="default" w:ascii="Times New Roman" w:hAnsi="Times New Roman" w:eastAsia="仿宋_GB2312" w:cs="Times New Roman"/>
          <w:color w:val="000000"/>
          <w:sz w:val="32"/>
          <w:szCs w:val="32"/>
          <w:highlight w:val="none"/>
          <w:u w:val="none"/>
        </w:rPr>
        <w:t>持续深化“法治桦南”建设，健全依法决策和权力运行制约监督体系，落实法律顾问、公职律师在重大公共决策中发挥积极作用的制度机制，确保行政职权正确行使。深化行政执法体制改革，健全完善行政执法与刑事司法衔接机制，进一步完善诉调机制建设。聚焦财政资金分配使用、国有资产监管等权力集中部位，实行分事行权、分岗设权、分级授权、定期轮岗，防止权力滥用。依托“数字桦南”建设，探索建立“大数据+政务”“大数据+便民”“大数据+监管”的“三+”模式，推动法治政府建设更好、更快、更高水平发展。</w:t>
      </w:r>
    </w:p>
    <w:p w14:paraId="3222CAD6">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坚持公正公平司法。</w:t>
      </w:r>
      <w:r>
        <w:rPr>
          <w:rFonts w:hint="default" w:ascii="Times New Roman" w:hAnsi="Times New Roman" w:eastAsia="仿宋_GB2312" w:cs="Times New Roman"/>
          <w:color w:val="000000"/>
          <w:sz w:val="32"/>
          <w:szCs w:val="32"/>
          <w:highlight w:val="none"/>
          <w:u w:val="none"/>
        </w:rPr>
        <w:t>坚持法治国家、法治政府、法治社会一体建设，提高依法行政水平，促进司法公正公平，保障行政执法中当事人合法权益。深化司法体制改革，严格落实领导干部干预司法活动、插手案件处理记录、通报和责任追究制度，确保法院、检察院依法独立行使职权。强化司法公开制度化建设，完善人民陪审员和人民监督员制度，加强对司法工作监督，确保司法权威和公信力。</w:t>
      </w:r>
    </w:p>
    <w:p w14:paraId="6CB98EEE">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提高全民法治意识。</w:t>
      </w:r>
      <w:r>
        <w:rPr>
          <w:rFonts w:hint="default" w:ascii="Times New Roman" w:hAnsi="Times New Roman" w:eastAsia="仿宋_GB2312" w:cs="Times New Roman"/>
          <w:color w:val="000000"/>
          <w:sz w:val="32"/>
          <w:szCs w:val="32"/>
          <w:highlight w:val="none"/>
          <w:u w:val="none"/>
        </w:rPr>
        <w:t>全面实施“八五普法”规划，落实领导干部学法用法制度，推动落实“谁执法谁普法”普法责任制。深入开展以《民法典》为主的法治宣传教育，推动法治宣传教育进农村、进社区、进家庭、进机关、进学校、进企业，夯实依法治县群众基础。创新普法产品形式，充分利用融媒体等传播速度快、覆盖面积广的新兴宣传载体，实现普法宣传教育效果最大化。</w:t>
      </w:r>
    </w:p>
    <w:p w14:paraId="63236437">
      <w:pPr>
        <w:spacing w:line="600" w:lineRule="exact"/>
        <w:ind w:firstLine="643" w:firstLineChars="200"/>
        <w:rPr>
          <w:rFonts w:hint="default" w:ascii="Times New Roman" w:hAnsi="Times New Roman" w:eastAsia="仿宋_GB2312" w:cs="Times New Roman"/>
          <w:color w:val="000000"/>
          <w:szCs w:val="21"/>
          <w:highlight w:val="none"/>
          <w:u w:val="none"/>
          <w:shd w:val="clear" w:color="auto" w:fill="FFFFFF"/>
        </w:rPr>
      </w:pPr>
      <w:r>
        <w:rPr>
          <w:rFonts w:hint="default" w:ascii="Times New Roman" w:hAnsi="Times New Roman" w:eastAsia="仿宋_GB2312" w:cs="Times New Roman"/>
          <w:b/>
          <w:bCs/>
          <w:color w:val="000000"/>
          <w:sz w:val="32"/>
          <w:szCs w:val="32"/>
          <w:highlight w:val="none"/>
          <w:u w:val="none"/>
        </w:rPr>
        <w:t>推动社会治理法治化。</w:t>
      </w:r>
      <w:r>
        <w:rPr>
          <w:rFonts w:hint="default" w:ascii="Times New Roman" w:hAnsi="Times New Roman" w:eastAsia="仿宋_GB2312" w:cs="Times New Roman"/>
          <w:color w:val="000000"/>
          <w:sz w:val="32"/>
          <w:szCs w:val="32"/>
          <w:highlight w:val="none"/>
          <w:u w:val="none"/>
        </w:rPr>
        <w:t>坚持依法治理、系统治理、综合治理、源头治理，完善党委领导、政府主导、社会协同、公众参与、法治保障的社会治理体系。充分发挥领导干部“关键少数”模范带头作用，定期对领导干部开展法治培训，不断提升领导干部运用法治思维和法治手段解决问题的能力。创新法治人才培养机制，推进法治队伍正规化、专业化、职业化，为全面建设“法治桦南”提供强有力组织保障和人才保障。</w:t>
      </w:r>
    </w:p>
    <w:p w14:paraId="55B6CACA">
      <w:pPr>
        <w:spacing w:line="600" w:lineRule="exact"/>
        <w:ind w:firstLine="643" w:firstLineChars="200"/>
        <w:rPr>
          <w:rFonts w:hint="default" w:ascii="Times New Roman" w:hAnsi="Times New Roman" w:eastAsia="仿宋_GB2312" w:cs="Times New Roman"/>
          <w:b/>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实现公共法律服务均等化。</w:t>
      </w:r>
      <w:r>
        <w:rPr>
          <w:rFonts w:hint="default" w:ascii="Times New Roman" w:hAnsi="Times New Roman" w:eastAsia="仿宋_GB2312" w:cs="Times New Roman"/>
          <w:color w:val="000000"/>
          <w:kern w:val="0"/>
          <w:sz w:val="32"/>
          <w:szCs w:val="32"/>
          <w:highlight w:val="none"/>
          <w:u w:val="none"/>
        </w:rPr>
        <w:t>深化公共法律服务体系建设，推动公共法律服务实体、热线、网络平台融合发展，形成全业务、全时空的法律服务网络。实施“一村（社区）一法律顾问”制度，推动法律服务资源向相对贫困乡村倾斜，加快建设覆盖城乡、便捷高效、均等普惠的现代公共法律服务体系。促进公共法律服务多元化，创新公共法律服务管理体制和工作机制，</w:t>
      </w:r>
      <w:r>
        <w:rPr>
          <w:rFonts w:hint="default" w:ascii="Times New Roman" w:hAnsi="Times New Roman" w:eastAsia="仿宋_GB2312" w:cs="Times New Roman"/>
          <w:color w:val="000000"/>
          <w:sz w:val="32"/>
          <w:szCs w:val="32"/>
          <w:highlight w:val="none"/>
          <w:u w:val="none"/>
        </w:rPr>
        <w:t>推进公共法律服务标准化、规范化、精准化</w:t>
      </w:r>
      <w:r>
        <w:rPr>
          <w:rFonts w:hint="default" w:ascii="Times New Roman" w:hAnsi="Times New Roman" w:eastAsia="仿宋_GB2312" w:cs="Times New Roman"/>
          <w:color w:val="000000"/>
          <w:kern w:val="0"/>
          <w:sz w:val="32"/>
          <w:szCs w:val="32"/>
          <w:highlight w:val="none"/>
          <w:u w:val="none"/>
        </w:rPr>
        <w:t>。</w:t>
      </w:r>
    </w:p>
    <w:p w14:paraId="1C0A42A4">
      <w:pPr>
        <w:pStyle w:val="4"/>
        <w:rPr>
          <w:rFonts w:hint="default" w:ascii="Times New Roman" w:hAnsi="Times New Roman" w:cs="Times New Roman"/>
          <w:color w:val="000000"/>
          <w:highlight w:val="none"/>
          <w:u w:val="none"/>
        </w:rPr>
      </w:pPr>
      <w:bookmarkStart w:id="107" w:name="_Toc61268229"/>
      <w:r>
        <w:rPr>
          <w:rFonts w:hint="default" w:ascii="Times New Roman" w:hAnsi="Times New Roman" w:cs="Times New Roman"/>
          <w:color w:val="000000"/>
          <w:highlight w:val="none"/>
          <w:u w:val="none"/>
        </w:rPr>
        <w:t>第二节  加强应急管理体系建设</w:t>
      </w:r>
      <w:bookmarkEnd w:id="107"/>
    </w:p>
    <w:p w14:paraId="718D3C81">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提升智能监测预警能力。</w:t>
      </w:r>
      <w:r>
        <w:rPr>
          <w:rFonts w:hint="default" w:ascii="Times New Roman" w:hAnsi="Times New Roman" w:eastAsia="仿宋_GB2312" w:cs="Times New Roman"/>
          <w:color w:val="000000"/>
          <w:sz w:val="32"/>
          <w:szCs w:val="32"/>
          <w:highlight w:val="none"/>
          <w:u w:val="none"/>
        </w:rPr>
        <w:t>依靠科技提高应急管理科学化、专业化、智能化、精细化水平，强化应急管理装备技术支撑，建立自然灾害应急救助体系。完善综合监测预警机制，推进城市安全和应急管理领域物联网智能应用建设，建立集统一指挥、快速响应、信息共享、可视化管理于一体的智慧应急监测指挥平台。大力推广实用性强、性价比高、简便易行的自动监测技术装备，逐步实现智能化监测预警全覆盖。</w:t>
      </w:r>
    </w:p>
    <w:p w14:paraId="27170523">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加强应急管理队伍建设。</w:t>
      </w:r>
      <w:r>
        <w:rPr>
          <w:rFonts w:hint="default" w:ascii="Times New Roman" w:hAnsi="Times New Roman" w:eastAsia="仿宋_GB2312" w:cs="Times New Roman"/>
          <w:color w:val="000000"/>
          <w:sz w:val="32"/>
          <w:szCs w:val="32"/>
          <w:highlight w:val="none"/>
          <w:u w:val="none"/>
        </w:rPr>
        <w:t>强化县乡村三级应急救援专业队伍与志愿者队伍建设，优化防灾减灾救灾专家库，大力培养应急管理人才，打造一支“一队多用、一专多能”的综合应急救援铁军。根据城市扩容需要，完善消防设施和一、二级消防站建设，完善各级各类应急预案，建立应急维稳、抗洪抢险、森林防火、应急通信、医疗救护等专业应急救援队伍，开展经常性培训、集训、演练，不断提高应急救援实战能力，真正做到召之即来、来之能战、战之能胜。</w:t>
      </w:r>
    </w:p>
    <w:p w14:paraId="2CE51F26">
      <w:pPr>
        <w:spacing w:line="600" w:lineRule="exact"/>
        <w:ind w:firstLine="643" w:firstLineChars="200"/>
        <w:rPr>
          <w:rFonts w:hint="default" w:ascii="Times New Roman" w:hAnsi="Times New Roman" w:eastAsia="仿宋_GB2312" w:cs="Times New Roman"/>
          <w:b/>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强化防灾减灾设施建设。</w:t>
      </w:r>
      <w:r>
        <w:rPr>
          <w:rFonts w:hint="default" w:ascii="Times New Roman" w:hAnsi="Times New Roman" w:eastAsia="仿宋_GB2312" w:cs="Times New Roman"/>
          <w:color w:val="000000"/>
          <w:sz w:val="32"/>
          <w:szCs w:val="32"/>
          <w:highlight w:val="none"/>
          <w:u w:val="none"/>
        </w:rPr>
        <w:t>加快建设预警及应急系统，实现应急信息分类型、分级别、分区域、分人群的有效传播。完善应急物资保障系统，建设应急物资储备库。充分利用公园、广场等大型公共设施，因地制宜制定规划，建设防灾避难场所。增设城区内积水监测设备，增强城市防洪排涝能力，建设海绵城市、韧性城市，做到提前防范、及时预警、有效处置，补齐抵御灾害能力短板。</w:t>
      </w:r>
    </w:p>
    <w:p w14:paraId="797FD012">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color w:val="000000"/>
          <w:sz w:val="32"/>
          <w:szCs w:val="32"/>
          <w:highlight w:val="none"/>
          <w:u w:val="none"/>
        </w:rPr>
        <w:t>加大防灾减灾科普力度。</w:t>
      </w:r>
      <w:r>
        <w:rPr>
          <w:rFonts w:hint="default" w:ascii="Times New Roman" w:hAnsi="Times New Roman" w:eastAsia="仿宋_GB2312" w:cs="Times New Roman"/>
          <w:color w:val="000000"/>
          <w:sz w:val="32"/>
          <w:szCs w:val="32"/>
          <w:highlight w:val="none"/>
          <w:u w:val="none"/>
        </w:rPr>
        <w:t>坚持以相关法律法规、标准规范、风险管理、安全技术、事故案例分析为重点，着力提升各级监管执法人员业务水平。强化机关企事业单位人员培训，探索开发线上线下多种培训课程，建设自然灾害体验馆，拓展安全知识获取渠道。通过电视台、公益宣传、微信公众号等媒介，多渠道多形式开展防灾减灾宣传教育，普及安全知识，培育安全文化。结合各方面各领域各行业各地域各类别特点，开展与之相应的防灾应变教育和经常性演练，构建政府主导、多元联动、协同配合、有序参与的防灾减灾新格局。</w:t>
      </w:r>
    </w:p>
    <w:p w14:paraId="283D3721">
      <w:pPr>
        <w:pStyle w:val="4"/>
        <w:rPr>
          <w:rFonts w:hint="default" w:ascii="Times New Roman" w:hAnsi="Times New Roman" w:cs="Times New Roman"/>
          <w:color w:val="000000"/>
          <w:highlight w:val="none"/>
          <w:u w:val="none"/>
        </w:rPr>
      </w:pPr>
      <w:bookmarkStart w:id="108" w:name="_Toc61268230"/>
      <w:r>
        <w:rPr>
          <w:rFonts w:hint="default" w:ascii="Times New Roman" w:hAnsi="Times New Roman" w:cs="Times New Roman"/>
          <w:color w:val="000000"/>
          <w:highlight w:val="none"/>
          <w:u w:val="none"/>
        </w:rPr>
        <w:t>第三节  深入推进平安桦南建设</w:t>
      </w:r>
      <w:bookmarkEnd w:id="108"/>
    </w:p>
    <w:p w14:paraId="0F4F4BEB">
      <w:pPr>
        <w:spacing w:line="600" w:lineRule="exact"/>
        <w:ind w:firstLine="640" w:firstLineChars="200"/>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坚持把防范化解风险挑战作为建设更高水平平安桦南的“牛鼻子”，着力加强和创新社会治理，切实提高社会治理的社会化、法治化、智能化、专业化水平，全力维护社会大局和谐稳定。</w:t>
      </w:r>
    </w:p>
    <w:p w14:paraId="4E109E68">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加强安全体系和能力建设。</w:t>
      </w:r>
      <w:r>
        <w:rPr>
          <w:rFonts w:hint="default" w:ascii="Times New Roman" w:hAnsi="Times New Roman" w:eastAsia="仿宋_GB2312" w:cs="Times New Roman"/>
          <w:color w:val="000000"/>
          <w:sz w:val="32"/>
          <w:szCs w:val="32"/>
          <w:highlight w:val="none"/>
          <w:u w:val="none"/>
        </w:rPr>
        <w:t>严格落实总体国家安全观，健全国家安全法治体系、战略体系、政策体系、人才体系和运行机制。牢牢把握意识形态工作领导权、话语权、主动权，加快传统媒体和新兴媒体融合发展，加强网络安全保障能力建设，不断抢占意识形态领域制高点。深入开展爱国主义教育，坚决打好防范化解重大风险攻坚战，全面贯彻落实党的宗教工作方针，不断提高宗教工作水平，牢牢掌握宗教工作主动权。</w:t>
      </w:r>
    </w:p>
    <w:p w14:paraId="4CED4F3A">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加强社会治安综合治理。</w:t>
      </w:r>
      <w:r>
        <w:rPr>
          <w:rFonts w:hint="default" w:ascii="Times New Roman" w:hAnsi="Times New Roman" w:eastAsia="仿宋_GB2312" w:cs="Times New Roman"/>
          <w:color w:val="000000"/>
          <w:sz w:val="32"/>
          <w:szCs w:val="32"/>
          <w:highlight w:val="none"/>
          <w:u w:val="none"/>
        </w:rPr>
        <w:t>坚持打防管控相结合，健全社会治安防控运行机制，加快社会治安防控体系法治化、社会化、信息化建设进程，扩大视频监控联网应用，提升基层综合服务管理能力。建立扫黑除恶长效机制，坚决打击盗抢骗、黄赌毒和新型网络犯罪等违法犯罪行为，抓好禁毒工作，建立长效机制，打好打赢禁毒人民战争</w:t>
      </w:r>
      <w:r>
        <w:rPr>
          <w:rFonts w:hint="eastAsia"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打击非法邪教组织，强化反恐防暴，建立社会稳定、治理有效的和谐平安之城。推进智慧安防小区、智慧法院、智慧检务、智慧警务、网格+警格建设，增强维护社会安全稳定的能力水平。</w:t>
      </w:r>
    </w:p>
    <w:p w14:paraId="34941CD8">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加强基层治理体系建设。</w:t>
      </w:r>
      <w:r>
        <w:rPr>
          <w:rFonts w:hint="default" w:ascii="Times New Roman" w:hAnsi="Times New Roman" w:eastAsia="仿宋_GB2312" w:cs="Times New Roman"/>
          <w:color w:val="000000"/>
          <w:sz w:val="32"/>
          <w:szCs w:val="32"/>
          <w:highlight w:val="none"/>
          <w:u w:val="none"/>
        </w:rPr>
        <w:t>坚持“强化基层基础、强化责任意识、强化调控能力”导向，着力健全社会治理体制机制，完善街道“大工委”、社区“大党委”制，加强工会、妇联等群团组织建设，完善市场主体、社会力量广泛参与的网状治理模式，发挥县乡村三级基层社会治理指挥中心、社会服务管理中心作用，完善基层治理“一张网”网络体系，构建区域统筹、条块协同、共建共享的基层治理工作新格局。建立完善城市管理标准体系，全面提升基层治理体系和治理能力现代化水平。</w:t>
      </w:r>
    </w:p>
    <w:p w14:paraId="03539DA9">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完善矛盾纠纷多元化解。</w:t>
      </w:r>
      <w:r>
        <w:rPr>
          <w:rFonts w:hint="default" w:ascii="Times New Roman" w:hAnsi="Times New Roman" w:eastAsia="仿宋_GB2312" w:cs="Times New Roman"/>
          <w:color w:val="000000"/>
          <w:sz w:val="32"/>
          <w:szCs w:val="32"/>
          <w:highlight w:val="none"/>
          <w:u w:val="none"/>
        </w:rPr>
        <w:t>坚持和发展新时代“枫桥经验”，完善“1+10+X”网格化组团服务机制，建立健全社会矛盾纠纷多元预防调处化解综合机制，完善人民调解、行政调解、司法调解联动工作体系，全力解决好“政府守法”“执法严明”“行政效率”“公平正义”的问题。建立健全社会稳定风险监测预警指标体系和信息平台，充分利用网格化、信息化，探索建立“最多跑一地”接待机制。</w:t>
      </w:r>
    </w:p>
    <w:p w14:paraId="10CB8211">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强化安全生产管理。</w:t>
      </w:r>
      <w:r>
        <w:rPr>
          <w:rFonts w:hint="default" w:ascii="Times New Roman" w:hAnsi="Times New Roman" w:eastAsia="仿宋_GB2312" w:cs="Times New Roman"/>
          <w:color w:val="000000"/>
          <w:sz w:val="32"/>
          <w:szCs w:val="32"/>
          <w:highlight w:val="none"/>
          <w:u w:val="none"/>
        </w:rPr>
        <w:t>全面落实安全生产责任制，严格安全生产目标控制、考核、督办和责任追究，构建党政同责、一岗双责、失职追责的工作机制。加强安全生产监管监察能力、风险分级管控和隐患排查治理体系、企业安全生产诚信体系和“互联网+”安全监管信息化平台建设。加大安全监管执法力度，加强重点人员重点物品动态监管和新业态领域安全监管，及时排查治理安全隐患，遏制重特大事故发生。深入开展安全生产专项整治行动，持续推进消防、建筑施工、危化品等重点行业领域攻坚治理，夯实安全生产基层基础。</w:t>
      </w:r>
    </w:p>
    <w:p w14:paraId="41A5AE7C">
      <w:pPr>
        <w:spacing w:line="600" w:lineRule="exact"/>
        <w:ind w:firstLine="643"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b/>
          <w:bCs/>
          <w:color w:val="000000"/>
          <w:sz w:val="32"/>
          <w:szCs w:val="32"/>
          <w:highlight w:val="none"/>
          <w:u w:val="none"/>
        </w:rPr>
        <w:t>保障食品药品安全。</w:t>
      </w:r>
      <w:r>
        <w:rPr>
          <w:rFonts w:hint="default" w:ascii="Times New Roman" w:hAnsi="Times New Roman" w:eastAsia="仿宋_GB2312" w:cs="Times New Roman"/>
          <w:color w:val="000000"/>
          <w:sz w:val="32"/>
          <w:szCs w:val="32"/>
          <w:highlight w:val="none"/>
          <w:u w:val="none"/>
        </w:rPr>
        <w:t>持续加强食品药品安全监管，构建食品药品安全现代化治理体系，积极争创国家级食品安全示范城市。建设食品药品安全公众信息互动平台，建立农产品质量安全追溯体系，全面提升食品药品安全保障水平。加强县乡村三级监管机构和队伍建设，完善和严格落实群众监督举报制度，严厉打击食品药品违法犯罪行为。到2025年，全县食品质量合格率达到98%以上，药品评价性抽验总体合格率达99.5%以上，保健食品抽检合格率达98%以上。</w:t>
      </w:r>
    </w:p>
    <w:p w14:paraId="3C9F9514">
      <w:pPr>
        <w:jc w:val="center"/>
        <w:rPr>
          <w:rFonts w:hint="default" w:ascii="Times New Roman" w:hAnsi="Times New Roman" w:eastAsia="黑体" w:cs="Times New Roman"/>
          <w:color w:val="000000"/>
          <w:sz w:val="28"/>
          <w:szCs w:val="28"/>
          <w:highlight w:val="none"/>
          <w:u w:val="none"/>
        </w:rPr>
      </w:pPr>
      <w:bookmarkStart w:id="109" w:name="_Toc20420"/>
      <w:bookmarkStart w:id="110" w:name="_Toc32740"/>
      <w:r>
        <w:rPr>
          <w:rFonts w:hint="default" w:ascii="Times New Roman" w:hAnsi="Times New Roman" w:eastAsia="黑体" w:cs="Times New Roman"/>
          <w:color w:val="000000"/>
          <w:sz w:val="28"/>
          <w:szCs w:val="28"/>
          <w:highlight w:val="none"/>
          <w:u w:val="none"/>
        </w:rPr>
        <w:t>专栏27：“平安桦南”基础设施建设项目</w:t>
      </w:r>
    </w:p>
    <w:tbl>
      <w:tblPr>
        <w:tblStyle w:val="17"/>
        <w:tblW w:w="0" w:type="auto"/>
        <w:tblInd w:w="2" w:type="dxa"/>
        <w:tblLayout w:type="fixed"/>
        <w:tblCellMar>
          <w:top w:w="0" w:type="dxa"/>
          <w:left w:w="108" w:type="dxa"/>
          <w:bottom w:w="0" w:type="dxa"/>
          <w:right w:w="108" w:type="dxa"/>
        </w:tblCellMar>
      </w:tblPr>
      <w:tblGrid>
        <w:gridCol w:w="2020"/>
        <w:gridCol w:w="6606"/>
      </w:tblGrid>
      <w:tr w14:paraId="3D97AFEF">
        <w:tblPrEx>
          <w:tblCellMar>
            <w:top w:w="0" w:type="dxa"/>
            <w:left w:w="108" w:type="dxa"/>
            <w:bottom w:w="0" w:type="dxa"/>
            <w:right w:w="108" w:type="dxa"/>
          </w:tblCellMar>
        </w:tblPrEx>
        <w:trPr>
          <w:trHeight w:val="527" w:hRule="atLeast"/>
        </w:trPr>
        <w:tc>
          <w:tcPr>
            <w:tcW w:w="2020" w:type="dxa"/>
            <w:tcBorders>
              <w:top w:val="single" w:color="auto" w:sz="4" w:space="0"/>
              <w:left w:val="nil"/>
              <w:bottom w:val="single" w:color="auto" w:sz="4" w:space="0"/>
              <w:right w:val="single" w:color="auto" w:sz="4" w:space="0"/>
            </w:tcBorders>
            <w:noWrap w:val="0"/>
            <w:vAlign w:val="center"/>
          </w:tcPr>
          <w:p w14:paraId="047FE8C0">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领域</w:t>
            </w:r>
          </w:p>
        </w:tc>
        <w:tc>
          <w:tcPr>
            <w:tcW w:w="6606" w:type="dxa"/>
            <w:tcBorders>
              <w:top w:val="single" w:color="auto" w:sz="4" w:space="0"/>
              <w:left w:val="nil"/>
              <w:bottom w:val="single" w:color="auto" w:sz="4" w:space="0"/>
              <w:right w:val="nil"/>
            </w:tcBorders>
            <w:noWrap w:val="0"/>
            <w:vAlign w:val="center"/>
          </w:tcPr>
          <w:p w14:paraId="193662F2">
            <w:pPr>
              <w:widowControl/>
              <w:jc w:val="center"/>
              <w:rPr>
                <w:rFonts w:hint="default" w:ascii="Times New Roman" w:hAnsi="Times New Roman" w:cs="Times New Roman"/>
                <w:b/>
                <w:bCs/>
                <w:color w:val="000000"/>
                <w:kern w:val="0"/>
                <w:sz w:val="24"/>
                <w:highlight w:val="none"/>
                <w:u w:val="none"/>
              </w:rPr>
            </w:pPr>
            <w:r>
              <w:rPr>
                <w:rFonts w:hint="default" w:ascii="Times New Roman" w:hAnsi="Times New Roman" w:cs="Times New Roman"/>
                <w:b/>
                <w:bCs/>
                <w:color w:val="000000"/>
                <w:kern w:val="0"/>
                <w:sz w:val="24"/>
                <w:highlight w:val="none"/>
                <w:u w:val="none"/>
              </w:rPr>
              <w:t>重点项目及内容</w:t>
            </w:r>
          </w:p>
        </w:tc>
      </w:tr>
      <w:tr w14:paraId="30693B28">
        <w:tblPrEx>
          <w:tblCellMar>
            <w:top w:w="0" w:type="dxa"/>
            <w:left w:w="108" w:type="dxa"/>
            <w:bottom w:w="0" w:type="dxa"/>
            <w:right w:w="108" w:type="dxa"/>
          </w:tblCellMar>
        </w:tblPrEx>
        <w:trPr>
          <w:trHeight w:val="1073" w:hRule="atLeast"/>
        </w:trPr>
        <w:tc>
          <w:tcPr>
            <w:tcW w:w="2020" w:type="dxa"/>
            <w:tcBorders>
              <w:top w:val="single" w:color="auto" w:sz="4" w:space="0"/>
              <w:left w:val="nil"/>
              <w:bottom w:val="single" w:color="auto" w:sz="4" w:space="0"/>
              <w:right w:val="single" w:color="auto" w:sz="4" w:space="0"/>
            </w:tcBorders>
            <w:noWrap w:val="0"/>
            <w:vAlign w:val="center"/>
          </w:tcPr>
          <w:p w14:paraId="052EE611">
            <w:pPr>
              <w:widowControl/>
              <w:rPr>
                <w:rFonts w:hint="default" w:ascii="Times New Roman" w:hAnsi="Times New Roman" w:cs="Times New Roman"/>
                <w:b/>
                <w:color w:val="000000"/>
                <w:kern w:val="0"/>
                <w:sz w:val="24"/>
                <w:highlight w:val="none"/>
                <w:u w:val="none"/>
              </w:rPr>
            </w:pPr>
            <w:r>
              <w:rPr>
                <w:rFonts w:hint="default" w:ascii="Times New Roman" w:hAnsi="Times New Roman" w:cs="Times New Roman"/>
                <w:b/>
                <w:color w:val="000000"/>
                <w:kern w:val="0"/>
                <w:sz w:val="24"/>
                <w:highlight w:val="none"/>
                <w:u w:val="none"/>
              </w:rPr>
              <w:t>公共安全</w:t>
            </w:r>
          </w:p>
        </w:tc>
        <w:tc>
          <w:tcPr>
            <w:tcW w:w="6606" w:type="dxa"/>
            <w:tcBorders>
              <w:top w:val="single" w:color="auto" w:sz="4" w:space="0"/>
              <w:left w:val="nil"/>
              <w:bottom w:val="single" w:color="auto" w:sz="4" w:space="0"/>
              <w:right w:val="nil"/>
            </w:tcBorders>
            <w:noWrap w:val="0"/>
            <w:vAlign w:val="center"/>
          </w:tcPr>
          <w:p w14:paraId="47115AA1">
            <w:pPr>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桦南县智慧小区项目，石头河子镇派出所业务用房，梨树乡派出所业务用房，金沙乡派出所业务用房，孟家岗镇派出所业务用房，交警、巡特警业务用房。</w:t>
            </w:r>
          </w:p>
        </w:tc>
      </w:tr>
      <w:tr w14:paraId="25CAB767">
        <w:tblPrEx>
          <w:tblCellMar>
            <w:top w:w="0" w:type="dxa"/>
            <w:left w:w="108" w:type="dxa"/>
            <w:bottom w:w="0" w:type="dxa"/>
            <w:right w:w="108" w:type="dxa"/>
          </w:tblCellMar>
        </w:tblPrEx>
        <w:trPr>
          <w:trHeight w:val="869" w:hRule="atLeast"/>
        </w:trPr>
        <w:tc>
          <w:tcPr>
            <w:tcW w:w="2020" w:type="dxa"/>
            <w:tcBorders>
              <w:top w:val="single" w:color="auto" w:sz="4" w:space="0"/>
              <w:left w:val="nil"/>
              <w:bottom w:val="single" w:color="auto" w:sz="4" w:space="0"/>
              <w:right w:val="single" w:color="auto" w:sz="4" w:space="0"/>
            </w:tcBorders>
            <w:noWrap w:val="0"/>
            <w:vAlign w:val="center"/>
          </w:tcPr>
          <w:p w14:paraId="4FF7AD0C">
            <w:pPr>
              <w:widowControl/>
              <w:rPr>
                <w:rFonts w:hint="default" w:ascii="Times New Roman" w:hAnsi="Times New Roman" w:cs="Times New Roman"/>
                <w:b/>
                <w:color w:val="000000"/>
                <w:sz w:val="24"/>
                <w:highlight w:val="none"/>
                <w:u w:val="none"/>
              </w:rPr>
            </w:pPr>
            <w:r>
              <w:rPr>
                <w:rFonts w:hint="default" w:ascii="Times New Roman" w:hAnsi="Times New Roman" w:cs="Times New Roman"/>
                <w:b/>
                <w:color w:val="000000"/>
                <w:sz w:val="24"/>
                <w:highlight w:val="none"/>
                <w:u w:val="none"/>
              </w:rPr>
              <w:t>法制建设</w:t>
            </w:r>
          </w:p>
        </w:tc>
        <w:tc>
          <w:tcPr>
            <w:tcW w:w="6606" w:type="dxa"/>
            <w:tcBorders>
              <w:top w:val="single" w:color="auto" w:sz="4" w:space="0"/>
              <w:left w:val="nil"/>
              <w:bottom w:val="single" w:color="auto" w:sz="4" w:space="0"/>
              <w:right w:val="nil"/>
            </w:tcBorders>
            <w:noWrap w:val="0"/>
            <w:vAlign w:val="center"/>
          </w:tcPr>
          <w:p w14:paraId="09AE1891">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公共法律服务实体平台项目，梨树司法所建设项目，五道岗司法所建设项目，柳毛河司法所建设项目，金沙司法所建设项目，驼腰子司法所建设项目。</w:t>
            </w:r>
          </w:p>
        </w:tc>
      </w:tr>
      <w:tr w14:paraId="31F5E6B5">
        <w:tblPrEx>
          <w:tblCellMar>
            <w:top w:w="0" w:type="dxa"/>
            <w:left w:w="108" w:type="dxa"/>
            <w:bottom w:w="0" w:type="dxa"/>
            <w:right w:w="108" w:type="dxa"/>
          </w:tblCellMar>
        </w:tblPrEx>
        <w:trPr>
          <w:trHeight w:val="715" w:hRule="atLeast"/>
        </w:trPr>
        <w:tc>
          <w:tcPr>
            <w:tcW w:w="2020" w:type="dxa"/>
            <w:tcBorders>
              <w:top w:val="single" w:color="auto" w:sz="4" w:space="0"/>
              <w:left w:val="nil"/>
              <w:bottom w:val="single" w:color="auto" w:sz="4" w:space="0"/>
              <w:right w:val="single" w:color="auto" w:sz="4" w:space="0"/>
            </w:tcBorders>
            <w:noWrap w:val="0"/>
            <w:vAlign w:val="center"/>
          </w:tcPr>
          <w:p w14:paraId="4BB7EBF1">
            <w:pPr>
              <w:widowControl/>
              <w:rPr>
                <w:rFonts w:hint="default" w:ascii="Times New Roman" w:hAnsi="Times New Roman" w:cs="Times New Roman"/>
                <w:b/>
                <w:color w:val="000000"/>
                <w:sz w:val="24"/>
                <w:highlight w:val="none"/>
                <w:u w:val="none"/>
              </w:rPr>
            </w:pPr>
            <w:r>
              <w:rPr>
                <w:rFonts w:hint="default" w:ascii="Times New Roman" w:hAnsi="Times New Roman" w:cs="Times New Roman"/>
                <w:b/>
                <w:color w:val="000000"/>
                <w:sz w:val="24"/>
                <w:highlight w:val="none"/>
                <w:u w:val="none"/>
              </w:rPr>
              <w:t>应急管理</w:t>
            </w:r>
          </w:p>
        </w:tc>
        <w:tc>
          <w:tcPr>
            <w:tcW w:w="6606" w:type="dxa"/>
            <w:tcBorders>
              <w:top w:val="single" w:color="auto" w:sz="4" w:space="0"/>
              <w:left w:val="nil"/>
              <w:bottom w:val="single" w:color="auto" w:sz="4" w:space="0"/>
              <w:right w:val="nil"/>
            </w:tcBorders>
            <w:noWrap w:val="0"/>
            <w:vAlign w:val="center"/>
          </w:tcPr>
          <w:p w14:paraId="5DBD6780">
            <w:pPr>
              <w:widowControl/>
              <w:rPr>
                <w:rFonts w:hint="default" w:ascii="Times New Roman" w:hAnsi="Times New Roman" w:cs="Times New Roman"/>
                <w:color w:val="000000"/>
                <w:kern w:val="0"/>
                <w:sz w:val="24"/>
                <w:highlight w:val="none"/>
                <w:u w:val="none"/>
              </w:rPr>
            </w:pPr>
            <w:r>
              <w:rPr>
                <w:rFonts w:hint="default" w:ascii="Times New Roman" w:hAnsi="Times New Roman" w:cs="Times New Roman"/>
                <w:color w:val="000000"/>
                <w:kern w:val="0"/>
                <w:sz w:val="24"/>
                <w:highlight w:val="none"/>
                <w:u w:val="none"/>
              </w:rPr>
              <w:t>应急指挥中心建设项目，智慧应急平台建设项目，森林草原防火监测系统建设项目。</w:t>
            </w:r>
          </w:p>
        </w:tc>
      </w:tr>
    </w:tbl>
    <w:p w14:paraId="6B10D933">
      <w:pPr>
        <w:rPr>
          <w:rFonts w:hint="default" w:ascii="Times New Roman" w:hAnsi="Times New Roman" w:cs="Times New Roman"/>
          <w:color w:val="000000"/>
          <w:highlight w:val="none"/>
          <w:u w:val="none"/>
        </w:rPr>
      </w:pPr>
    </w:p>
    <w:p w14:paraId="51B05DD0">
      <w:pPr>
        <w:pStyle w:val="4"/>
        <w:rPr>
          <w:rFonts w:hint="default" w:ascii="Times New Roman" w:hAnsi="Times New Roman" w:cs="Times New Roman"/>
          <w:color w:val="000000"/>
          <w:highlight w:val="none"/>
          <w:u w:val="none"/>
        </w:rPr>
      </w:pPr>
      <w:bookmarkStart w:id="111" w:name="_Toc61268231"/>
      <w:r>
        <w:rPr>
          <w:rFonts w:hint="default" w:ascii="Times New Roman" w:hAnsi="Times New Roman" w:cs="Times New Roman"/>
          <w:color w:val="000000"/>
          <w:highlight w:val="none"/>
          <w:u w:val="none"/>
        </w:rPr>
        <w:t>第四节  加强党管武装工作</w:t>
      </w:r>
      <w:bookmarkEnd w:id="111"/>
    </w:p>
    <w:p w14:paraId="1A6ABB29">
      <w:pPr>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贯彻习近平强军思想，贯彻新时代军事战略方针，坚持党对武装力量的绝对领导，坚持政治建军、改革强军、科技强军、人才强军、依法治军，配合推动辖区部队机械化、信息化、智能化融合发展，全面推动武装力量练兵备战，提高国防动员能力，为实现2027年建军百年奋斗目标贡献力量。适应国防和军队改革需要，加强国防法规贯彻落实，加强民兵调整改革，动员挖掘国防动员新质作战力量，推动民兵建设现代化。支持预备役调整改革。严格落实军事政策制度要求，支持各类人才向武装力量流动，配合建设新型军事人才培养体系。促进国防动员能力和县域经济实力同步提升。着眼国家战略筹划需求，推进战略资源储备、要素共享，大力推进县新兴战略资源能源储备，着眼国防领域重大工程建设需求，加强人民防空建设，争取国防科技工业布局项目。完善国防动员体系，健全强边固防机制，创新全面国防教育，巩固军政军民团结。加强基层武装部建设，提升民兵基层建设基础，落实党管武装基本制度，探索建立智慧国防动员指挥体系。</w:t>
      </w:r>
    </w:p>
    <w:p w14:paraId="6FEAEC45">
      <w:pPr>
        <w:rPr>
          <w:rFonts w:hint="default" w:ascii="Times New Roman" w:hAnsi="Times New Roman" w:cs="Times New Roman"/>
          <w:color w:val="000000"/>
          <w:highlight w:val="none"/>
          <w:u w:val="none"/>
        </w:rPr>
      </w:pPr>
    </w:p>
    <w:p w14:paraId="2BD354B6">
      <w:pPr>
        <w:pStyle w:val="3"/>
        <w:rPr>
          <w:rFonts w:hint="default" w:ascii="Times New Roman" w:hAnsi="Times New Roman" w:cs="Times New Roman"/>
          <w:b/>
          <w:color w:val="000000"/>
          <w:highlight w:val="none"/>
          <w:u w:val="none"/>
        </w:rPr>
      </w:pPr>
      <w:bookmarkStart w:id="112" w:name="_Toc61268232"/>
      <w:r>
        <w:rPr>
          <w:rFonts w:hint="default" w:ascii="Times New Roman" w:hAnsi="Times New Roman" w:cs="Times New Roman"/>
          <w:b/>
          <w:color w:val="000000"/>
          <w:highlight w:val="none"/>
          <w:u w:val="none"/>
        </w:rPr>
        <w:t>第十三章 加强党的全面领导，</w:t>
      </w:r>
      <w:bookmarkEnd w:id="109"/>
      <w:bookmarkEnd w:id="110"/>
      <w:r>
        <w:rPr>
          <w:rFonts w:hint="default" w:ascii="Times New Roman" w:hAnsi="Times New Roman" w:cs="Times New Roman"/>
          <w:b/>
          <w:color w:val="000000"/>
          <w:highlight w:val="none"/>
          <w:u w:val="none"/>
        </w:rPr>
        <w:t>为规划实施提供坚强保障</w:t>
      </w:r>
      <w:bookmarkEnd w:id="112"/>
    </w:p>
    <w:p w14:paraId="6457B8BD">
      <w:pPr>
        <w:spacing w:line="600" w:lineRule="exact"/>
        <w:ind w:firstLine="640" w:firstLineChars="200"/>
        <w:rPr>
          <w:rFonts w:hint="default" w:ascii="Times New Roman" w:hAnsi="Times New Roman" w:eastAsia="仿宋_GB2312" w:cs="Times New Roman"/>
          <w:color w:val="000000"/>
          <w:sz w:val="32"/>
          <w:szCs w:val="32"/>
          <w:highlight w:val="none"/>
          <w:u w:val="none"/>
        </w:rPr>
      </w:pPr>
    </w:p>
    <w:p w14:paraId="3DB218AE">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实现“十四五”规划和二〇三五年远景目标，必须坚持党的全面领导，深化对发展规律的认识，维护规划的严肃性和权威性，完善规划实施机制，充分调动一切积极因素，形成推动发展的强大合力，保障规划顺利实施。</w:t>
      </w:r>
    </w:p>
    <w:p w14:paraId="3A69E34E">
      <w:pPr>
        <w:pStyle w:val="4"/>
        <w:rPr>
          <w:rFonts w:hint="default" w:ascii="Times New Roman" w:hAnsi="Times New Roman" w:cs="Times New Roman"/>
          <w:color w:val="000000"/>
          <w:highlight w:val="none"/>
          <w:u w:val="none"/>
        </w:rPr>
      </w:pPr>
      <w:bookmarkStart w:id="113" w:name="_Toc61268233"/>
      <w:r>
        <w:rPr>
          <w:rFonts w:hint="default" w:ascii="Times New Roman" w:hAnsi="Times New Roman" w:cs="Times New Roman"/>
          <w:color w:val="000000"/>
          <w:highlight w:val="none"/>
          <w:u w:val="none"/>
        </w:rPr>
        <w:t>第一节  加强党的全面领导</w:t>
      </w:r>
      <w:bookmarkEnd w:id="113"/>
    </w:p>
    <w:p w14:paraId="30A4FB9C">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充分发挥党总揽全局、协调各方的领导核心作用，深入学习贯彻习近平新时代中国特色社会主义思想，健全各级党组（党委）工作制度，完善党领导各项事业的具体制度，增强“四个意识”、坚定“四个自信”、做到“两个维护”，自觉在思想上政治上行动上同以习近平同志为核心的党中央保持高度一致，确保党中央和省市委决策部署在桦南落地生根、开花结果，为推动美好桦南全面振兴全方位振兴凝聚强大力量。</w:t>
      </w:r>
    </w:p>
    <w:p w14:paraId="11B79BD4">
      <w:pPr>
        <w:rPr>
          <w:rFonts w:hint="default" w:ascii="Times New Roman" w:hAnsi="Times New Roman" w:cs="Times New Roman"/>
          <w:color w:val="000000"/>
          <w:highlight w:val="none"/>
          <w:u w:val="none"/>
        </w:rPr>
      </w:pPr>
    </w:p>
    <w:p w14:paraId="399B3232">
      <w:pPr>
        <w:pStyle w:val="4"/>
        <w:rPr>
          <w:rFonts w:hint="default" w:ascii="Times New Roman" w:hAnsi="Times New Roman" w:cs="Times New Roman"/>
          <w:color w:val="000000"/>
          <w:highlight w:val="none"/>
          <w:u w:val="none"/>
        </w:rPr>
      </w:pPr>
      <w:bookmarkStart w:id="114" w:name="_Toc61268234"/>
      <w:r>
        <w:rPr>
          <w:rFonts w:hint="default" w:ascii="Times New Roman" w:hAnsi="Times New Roman" w:cs="Times New Roman"/>
          <w:color w:val="000000"/>
          <w:highlight w:val="none"/>
          <w:u w:val="none"/>
        </w:rPr>
        <w:t>第二节  推进全面从严治党</w:t>
      </w:r>
      <w:bookmarkEnd w:id="114"/>
    </w:p>
    <w:p w14:paraId="7C515A0D">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全面从严治党永远在路上，贯彻新时代党的建设总要求，以党的政治建设为统领，落实全面从严治党主体责任，不断把党建设得更加坚强有力。严格落实民主集中制，规范党内政治生活，完善科学决策、民主决策机制。落实新时代党的组织路线，大力选拔忠诚干净担当的专业化、年轻化干部，以正确用人导向引领干事创业导向。建立健全干部担当作为激励和保护机制，精准细化各级干部担当作为激励机制，分批推广增量工资主要激励重大任务专项的绩效工资新机制，实现干部“要我干”向“我要干”转变。坚持大抓基层的鲜明导向，增强基层党组织的政治功能和组织力，提高党的组织建设制度化、规范化、科学化水平，全力打造坚强战斗堡垒。持续深化作风整顿，严格落实中央“八项规定”和省市有关规定，深化警示教育，以“钉钉子”精神涤荡“四风”之弊，防止和纠治形式主义、官僚主义，创建亲清政商环境，健全和落实为基层减负长效机制。建立规范科学的问责程序和制度，推出一批容错纠错的典型案例，持续优化良好政治生态。</w:t>
      </w:r>
      <w:r>
        <w:rPr>
          <w:rFonts w:hint="eastAsia" w:ascii="Times New Roman" w:hAnsi="Times New Roman" w:eastAsia="仿宋_GB2312" w:cs="Times New Roman"/>
          <w:color w:val="000000"/>
          <w:sz w:val="32"/>
          <w:szCs w:val="32"/>
          <w:highlight w:val="none"/>
          <w:u w:val="none"/>
          <w:lang w:eastAsia="zh-CN"/>
        </w:rPr>
        <w:t>完善党和国家监督体系</w:t>
      </w:r>
      <w:r>
        <w:rPr>
          <w:rFonts w:hint="default" w:ascii="Times New Roman" w:hAnsi="Times New Roman" w:eastAsia="仿宋_GB2312" w:cs="Times New Roman"/>
          <w:color w:val="000000"/>
          <w:sz w:val="32"/>
          <w:szCs w:val="32"/>
          <w:highlight w:val="none"/>
          <w:u w:val="none"/>
        </w:rPr>
        <w:t>，切实发挥巡察“利剑”和派驻“探头”作用，充分运用监督执纪“四种形态”，完善一体推进不敢腐不能腐不想腐的体制机制，坚持政治生态考核制度化常态化，加强问题整改效果的利益攸关方评价，持续巩固反腐败斗争压倒性态势，实现正气充盈、政治清明。</w:t>
      </w:r>
    </w:p>
    <w:p w14:paraId="53A85F4A">
      <w:pPr>
        <w:pStyle w:val="4"/>
        <w:rPr>
          <w:rFonts w:hint="default" w:ascii="Times New Roman" w:hAnsi="Times New Roman" w:cs="Times New Roman"/>
          <w:color w:val="000000"/>
          <w:highlight w:val="none"/>
          <w:u w:val="none"/>
        </w:rPr>
      </w:pPr>
      <w:bookmarkStart w:id="115" w:name="_Toc61268235"/>
      <w:r>
        <w:rPr>
          <w:rFonts w:hint="default" w:ascii="Times New Roman" w:hAnsi="Times New Roman" w:cs="Times New Roman"/>
          <w:color w:val="000000"/>
          <w:highlight w:val="none"/>
          <w:u w:val="none"/>
        </w:rPr>
        <w:t>第三节  加强民主政治建设</w:t>
      </w:r>
      <w:bookmarkEnd w:id="115"/>
    </w:p>
    <w:p w14:paraId="402488C0">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坚持人民在治理中的主体地位，坚持人民代表大会制度，加强人大对“一府一委两院”的监督，探索人民通过人民代表大会行使国家权力的新机制。坚持中国共产党领导的多党合作和政治协商制度，加强人民政协专门协商机构建设，增强人民政协专门协商机构议政能力。充分发挥工商联和无党派人士作用，完善支持工商联、无党派人士履行职能方法，提高参政议政水平。完善大统战工作格局，发挥工青妇等群团组织和社会新阶层作用，落实党的民族政策，保障少数民族合法权益，最大限度凝聚全县各行各业群众推进改革发展、维护社会和谐稳定的共识和力量。提高电视问政效能，完善党委重大决策落实反馈机制，适时开展第三方评估。</w:t>
      </w:r>
    </w:p>
    <w:p w14:paraId="5492DADF">
      <w:pPr>
        <w:pStyle w:val="4"/>
        <w:rPr>
          <w:rFonts w:hint="default" w:ascii="Times New Roman" w:hAnsi="Times New Roman" w:cs="Times New Roman"/>
          <w:color w:val="000000"/>
          <w:highlight w:val="none"/>
          <w:u w:val="none"/>
        </w:rPr>
      </w:pPr>
      <w:bookmarkStart w:id="116" w:name="_Toc61268236"/>
      <w:r>
        <w:rPr>
          <w:rFonts w:hint="default" w:ascii="Times New Roman" w:hAnsi="Times New Roman" w:cs="Times New Roman"/>
          <w:color w:val="000000"/>
          <w:highlight w:val="none"/>
          <w:u w:val="none"/>
        </w:rPr>
        <w:t>第四节  健全统一规划体系</w:t>
      </w:r>
      <w:bookmarkEnd w:id="116"/>
    </w:p>
    <w:p w14:paraId="24AD2900">
      <w:pPr>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牢固树立新发展理念，落实高质量发展要求，理顺规划关系，统一规划体系，完善规划管理，提高规划质量，强化政策协同，增强经济社会发展规划的严肃性、权威性，更好发挥本规划的战略导向作用，坚持下位规划服从上位规划、下级规划服务上级规划、等位规划相互协调，形成以发展规划为统领，以国土空间规划为基础，以专项规划、区域规划为支撑，定位准确、边界清晰、功能互补、统一衔接的规划体系。坚持多规融合和规划衔接，确保各类规划在总体要求上方向一致、空间配置上相互协调、时序安排上科学有序，保证规划实施的系统性和连续性。</w:t>
      </w:r>
    </w:p>
    <w:p w14:paraId="024A6242">
      <w:pPr>
        <w:pStyle w:val="4"/>
        <w:rPr>
          <w:rFonts w:hint="default" w:ascii="Times New Roman" w:hAnsi="Times New Roman" w:cs="Times New Roman"/>
          <w:color w:val="000000"/>
          <w:highlight w:val="none"/>
          <w:u w:val="none"/>
        </w:rPr>
      </w:pPr>
      <w:bookmarkStart w:id="117" w:name="_Toc57842450"/>
      <w:bookmarkStart w:id="118" w:name="_Toc59437145"/>
      <w:bookmarkStart w:id="119" w:name="_Toc61268237"/>
      <w:bookmarkStart w:id="120" w:name="_Toc46474545"/>
      <w:bookmarkStart w:id="121" w:name="_Toc47894960"/>
      <w:r>
        <w:rPr>
          <w:rFonts w:hint="default" w:ascii="Times New Roman" w:hAnsi="Times New Roman" w:cs="Times New Roman"/>
          <w:color w:val="000000"/>
          <w:highlight w:val="none"/>
          <w:u w:val="none"/>
        </w:rPr>
        <w:t>第五节  强化政策项目支撑</w:t>
      </w:r>
      <w:bookmarkEnd w:id="117"/>
      <w:bookmarkEnd w:id="118"/>
      <w:bookmarkEnd w:id="119"/>
      <w:bookmarkEnd w:id="120"/>
      <w:bookmarkEnd w:id="121"/>
    </w:p>
    <w:p w14:paraId="00397105">
      <w:pPr>
        <w:spacing w:line="600" w:lineRule="exact"/>
        <w:ind w:firstLine="640" w:firstLineChars="200"/>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充分发挥政府投资、产业发展、社会事业、区域发展和改革创新等领域政策合力，用好用足国家、省、市在政策、项目、资金等方面的支持，改善政府投资和财政支出结构，加强存量整合，优化增量安排，优先安排涉及民生保障、公共服务、公共安全、生态环境等领域的财政投入，有效发挥政府引导作用，鼓励社会投资。强化项目带动，组织实施一批具有全局带动性和目标导向性的重大工程以及基础设施、产业发展、科技创新、社会民生、生态环保等重大项目。健全项目推进协调服务机制，完善重大项目“绿色通道”制度，形成“谋划一批、签约一批、开工一批、投产一批、增资一批”滚动发展态势，提高项目推进效率，为“十四五”时期经济社会发展提供有力的项目支撑。</w:t>
      </w:r>
    </w:p>
    <w:p w14:paraId="287AB8DA">
      <w:pPr>
        <w:pStyle w:val="4"/>
        <w:rPr>
          <w:rFonts w:hint="default" w:ascii="Times New Roman" w:hAnsi="Times New Roman" w:cs="Times New Roman"/>
          <w:color w:val="000000"/>
          <w:highlight w:val="none"/>
          <w:u w:val="none"/>
        </w:rPr>
      </w:pPr>
      <w:bookmarkStart w:id="122" w:name="_Toc61268238"/>
      <w:r>
        <w:rPr>
          <w:rFonts w:hint="default" w:ascii="Times New Roman" w:hAnsi="Times New Roman" w:cs="Times New Roman"/>
          <w:color w:val="000000"/>
          <w:highlight w:val="none"/>
          <w:u w:val="none"/>
        </w:rPr>
        <w:t>第六节  完善规划落实机制</w:t>
      </w:r>
      <w:bookmarkEnd w:id="122"/>
    </w:p>
    <w:p w14:paraId="71FF927A">
      <w:pPr>
        <w:spacing w:line="600" w:lineRule="exact"/>
        <w:ind w:firstLine="640" w:firstLineChars="200"/>
        <w:rPr>
          <w:rFonts w:hint="default" w:ascii="Times New Roman" w:hAnsi="Times New Roman" w:cs="Times New Roman"/>
          <w:color w:val="000000"/>
          <w:highlight w:val="none"/>
          <w:u w:val="none"/>
        </w:rPr>
      </w:pPr>
      <w:r>
        <w:rPr>
          <w:rFonts w:hint="default" w:ascii="Times New Roman" w:hAnsi="Times New Roman" w:eastAsia="仿宋_GB2312" w:cs="Times New Roman"/>
          <w:color w:val="000000"/>
          <w:sz w:val="32"/>
          <w:szCs w:val="32"/>
          <w:highlight w:val="none"/>
          <w:u w:val="none"/>
        </w:rPr>
        <w:t>完善规划实施监测和评估督导制度，健全规划动态调整和修订机制。落实规划实施责任，建立健全责任明确、分类实施、有效监督的规划实施制度，制定规划实施方案，落实牵头单位和工作责任，明确实施进度和推进措施，逐项落实目标任务。强化年度计划与发展规划衔接，将发展规划确定的主要指标分解纳入年度指标体系，明确重大工程、重大项目、重大举措的年度实施要求，确保规划目标任务有计划、有步骤、有重点地扎实推进，全面保障中央和省委、市委、县委决策部署落到实处。</w:t>
      </w:r>
    </w:p>
    <w:sectPr>
      <w:footerReference r:id="rId10" w:type="default"/>
      <w:pgSz w:w="11906" w:h="16838"/>
      <w:pgMar w:top="1474" w:right="1474" w:bottom="1474"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4B52C">
    <w:pPr>
      <w:pStyle w:val="9"/>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02EDA0B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E07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0201B">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BF908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14:paraId="53BF908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D2966">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BE1D3">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4F43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lGj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Q6&#10;y9MHqDHrIWBeGj74IadOfkBnZj2oaPMX+RCMo7ini7hySETkR6vlalVhSGBsviAOe3weIqSP0luS&#10;jYZGnF4RlR/vII2pc0qu5vytNgb9vDbuPwdiZg/LvY89ZisNu2FqfOfbE/LpcfANdbjnlJhPDnXN&#10;OzIbcTZ2s3EIUe+7skS5HoT3h4RNlN5yhRF2KowTK+ym7cor8e+9ZD3+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N5Ro/IAQAAmQMAAA4AAAAAAAAAAQAgAAAAHgEAAGRycy9lMm9Eb2Mu&#10;eG1sUEsFBgAAAAAGAAYAWQEAAFgFAAAAAA==&#10;">
              <v:fill on="f" focussize="0,0"/>
              <v:stroke on="f"/>
              <v:imagedata o:title=""/>
              <o:lock v:ext="edit" aspectratio="f"/>
              <v:textbox inset="0mm,0mm,0mm,0mm" style="mso-fit-shape-to-text:t;">
                <w:txbxContent>
                  <w:p w14:paraId="0344F43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30D31">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B0F35A">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8</w:t>
                          </w:r>
                          <w:r>
                            <w:rPr>
                              <w:sz w:val="21"/>
                              <w:szCs w:val="21"/>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5CB0F35A">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8</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AD1B3">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606BC">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NmUzNGM4NzAwMTU5OTkwM2I2MTc4MmYxMzdmN2IifQ=="/>
  </w:docVars>
  <w:rsids>
    <w:rsidRoot w:val="00172A27"/>
    <w:rsid w:val="011D737A"/>
    <w:rsid w:val="02176F61"/>
    <w:rsid w:val="03F46E18"/>
    <w:rsid w:val="05054F24"/>
    <w:rsid w:val="08C75C40"/>
    <w:rsid w:val="0A6314BE"/>
    <w:rsid w:val="11472D78"/>
    <w:rsid w:val="15B90A40"/>
    <w:rsid w:val="16250142"/>
    <w:rsid w:val="185E22FE"/>
    <w:rsid w:val="196D7F25"/>
    <w:rsid w:val="1D0E336A"/>
    <w:rsid w:val="1D2F2DBC"/>
    <w:rsid w:val="1DB7457C"/>
    <w:rsid w:val="212562CA"/>
    <w:rsid w:val="22D422CE"/>
    <w:rsid w:val="24EB57E8"/>
    <w:rsid w:val="24F437A3"/>
    <w:rsid w:val="28CE198E"/>
    <w:rsid w:val="29666128"/>
    <w:rsid w:val="29677355"/>
    <w:rsid w:val="29E0697E"/>
    <w:rsid w:val="2CBC01C6"/>
    <w:rsid w:val="30A422B3"/>
    <w:rsid w:val="30DC3711"/>
    <w:rsid w:val="325F647D"/>
    <w:rsid w:val="32F6179C"/>
    <w:rsid w:val="366E6660"/>
    <w:rsid w:val="36EC0CE6"/>
    <w:rsid w:val="371D1244"/>
    <w:rsid w:val="382852EA"/>
    <w:rsid w:val="3DB2289C"/>
    <w:rsid w:val="443717CC"/>
    <w:rsid w:val="44FF242B"/>
    <w:rsid w:val="452A77EA"/>
    <w:rsid w:val="48EB4C70"/>
    <w:rsid w:val="4A304CC8"/>
    <w:rsid w:val="4B8C36FE"/>
    <w:rsid w:val="4EE52EED"/>
    <w:rsid w:val="50D15E22"/>
    <w:rsid w:val="510A5B21"/>
    <w:rsid w:val="513C17E2"/>
    <w:rsid w:val="53026B02"/>
    <w:rsid w:val="55985BF9"/>
    <w:rsid w:val="56BB6328"/>
    <w:rsid w:val="57272EF0"/>
    <w:rsid w:val="574D5965"/>
    <w:rsid w:val="586354D7"/>
    <w:rsid w:val="59250EE6"/>
    <w:rsid w:val="5AAA19EF"/>
    <w:rsid w:val="5ADE2DF0"/>
    <w:rsid w:val="63B35274"/>
    <w:rsid w:val="63D249A8"/>
    <w:rsid w:val="63F9137C"/>
    <w:rsid w:val="658E116F"/>
    <w:rsid w:val="65BF3A73"/>
    <w:rsid w:val="65E62E3E"/>
    <w:rsid w:val="69675F86"/>
    <w:rsid w:val="69D45D90"/>
    <w:rsid w:val="6C30605A"/>
    <w:rsid w:val="6D623454"/>
    <w:rsid w:val="711373B1"/>
    <w:rsid w:val="75F17927"/>
    <w:rsid w:val="7A860B0F"/>
    <w:rsid w:val="7E7F15BC"/>
    <w:rsid w:val="7E9E50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600" w:lineRule="exact"/>
      <w:jc w:val="center"/>
      <w:outlineLvl w:val="0"/>
    </w:pPr>
    <w:rPr>
      <w:rFonts w:eastAsia="黑体"/>
      <w:bCs/>
      <w:kern w:val="44"/>
      <w:sz w:val="32"/>
      <w:szCs w:val="44"/>
    </w:rPr>
  </w:style>
  <w:style w:type="paragraph" w:styleId="4">
    <w:name w:val="heading 2"/>
    <w:basedOn w:val="1"/>
    <w:next w:val="1"/>
    <w:qFormat/>
    <w:uiPriority w:val="0"/>
    <w:pPr>
      <w:keepNext/>
      <w:keepLines/>
      <w:spacing w:line="600" w:lineRule="exact"/>
      <w:jc w:val="center"/>
      <w:outlineLvl w:val="1"/>
    </w:pPr>
    <w:rPr>
      <w:rFonts w:ascii="Arial" w:hAnsi="Arial" w:eastAsia="楷体_GB2312"/>
      <w:b/>
      <w:bCs/>
      <w:sz w:val="32"/>
      <w:szCs w:val="32"/>
    </w:rPr>
  </w:style>
  <w:style w:type="paragraph" w:styleId="5">
    <w:name w:val="heading 3"/>
    <w:basedOn w:val="1"/>
    <w:next w:val="1"/>
    <w:link w:val="23"/>
    <w:qFormat/>
    <w:uiPriority w:val="99"/>
    <w:pPr>
      <w:keepNext/>
      <w:keepLines/>
      <w:spacing w:before="260" w:beforeLines="0" w:after="260" w:afterLines="0" w:line="416" w:lineRule="auto"/>
      <w:outlineLvl w:val="2"/>
    </w:pPr>
    <w:rPr>
      <w:rFonts w:ascii="Calibri" w:hAnsi="Calibri" w:cs="Calibri"/>
      <w:b/>
      <w:bCs/>
      <w:sz w:val="32"/>
      <w:szCs w:val="32"/>
    </w:rPr>
  </w:style>
  <w:style w:type="character" w:default="1" w:styleId="18">
    <w:name w:val="Default Paragraph Font"/>
    <w:semiHidden/>
    <w:uiPriority w:val="0"/>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99"/>
    <w:pPr>
      <w:widowControl w:val="0"/>
      <w:spacing w:after="120" w:afterLines="0" w:line="600" w:lineRule="exact"/>
      <w:ind w:firstLine="1124" w:firstLineChars="200"/>
      <w:jc w:val="both"/>
    </w:pPr>
    <w:rPr>
      <w:rFonts w:eastAsia="仿宋_GB2312"/>
      <w:kern w:val="0"/>
      <w:sz w:val="24"/>
      <w:szCs w:val="24"/>
    </w:rPr>
  </w:style>
  <w:style w:type="paragraph" w:styleId="6">
    <w:name w:val="annotation text"/>
    <w:basedOn w:val="1"/>
    <w:link w:val="24"/>
    <w:qFormat/>
    <w:uiPriority w:val="0"/>
    <w:pPr>
      <w:jc w:val="left"/>
    </w:pPr>
  </w:style>
  <w:style w:type="paragraph" w:styleId="7">
    <w:name w:val="toc 3"/>
    <w:basedOn w:val="1"/>
    <w:next w:val="1"/>
    <w:uiPriority w:val="39"/>
    <w:pPr>
      <w:ind w:left="840" w:leftChars="400"/>
    </w:pPr>
  </w:style>
  <w:style w:type="paragraph" w:styleId="8">
    <w:name w:val="Balloon Text"/>
    <w:basedOn w:val="1"/>
    <w:link w:val="25"/>
    <w:qFormat/>
    <w:uiPriority w:val="0"/>
    <w:rPr>
      <w:sz w:val="18"/>
      <w:szCs w:val="18"/>
    </w:rPr>
  </w:style>
  <w:style w:type="paragraph" w:styleId="9">
    <w:name w:val="footer"/>
    <w:basedOn w:val="1"/>
    <w:link w:val="26"/>
    <w:uiPriority w:val="99"/>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link w:val="28"/>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13">
    <w:name w:val="toc 2"/>
    <w:basedOn w:val="1"/>
    <w:next w:val="1"/>
    <w:qFormat/>
    <w:uiPriority w:val="39"/>
    <w:pPr>
      <w:ind w:left="420" w:leftChars="200"/>
    </w:pPr>
    <w:rPr>
      <w:rFonts w:ascii="Calibri" w:hAnsi="Calibri" w:cs="Calibri"/>
      <w:szCs w:val="21"/>
    </w:r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5">
    <w:name w:val="Title"/>
    <w:basedOn w:val="1"/>
    <w:next w:val="1"/>
    <w:qFormat/>
    <w:uiPriority w:val="99"/>
    <w:pPr>
      <w:spacing w:before="240" w:beforeLines="0" w:after="60" w:afterLines="0"/>
      <w:jc w:val="center"/>
      <w:outlineLvl w:val="0"/>
    </w:pPr>
    <w:rPr>
      <w:rFonts w:ascii="Cambria" w:hAnsi="Cambria" w:cs="Cambria"/>
      <w:b/>
      <w:bCs/>
      <w:sz w:val="32"/>
      <w:szCs w:val="32"/>
    </w:rPr>
  </w:style>
  <w:style w:type="paragraph" w:styleId="16">
    <w:name w:val="annotation subject"/>
    <w:basedOn w:val="6"/>
    <w:next w:val="6"/>
    <w:link w:val="29"/>
    <w:qFormat/>
    <w:uiPriority w:val="0"/>
    <w:rPr>
      <w:b/>
      <w:bCs/>
    </w:rPr>
  </w:style>
  <w:style w:type="character" w:styleId="19">
    <w:name w:val="page number"/>
    <w:basedOn w:val="18"/>
    <w:qFormat/>
    <w:uiPriority w:val="0"/>
  </w:style>
  <w:style w:type="character" w:styleId="20">
    <w:name w:val="Emphasis"/>
    <w:qFormat/>
    <w:uiPriority w:val="0"/>
    <w:rPr>
      <w:i/>
      <w:iCs/>
    </w:rPr>
  </w:style>
  <w:style w:type="character" w:styleId="21">
    <w:name w:val="Hyperlink"/>
    <w:qFormat/>
    <w:uiPriority w:val="99"/>
    <w:rPr>
      <w:rFonts w:cs="Times New Roman"/>
      <w:color w:val="0000FF"/>
      <w:u w:val="single"/>
    </w:rPr>
  </w:style>
  <w:style w:type="character" w:styleId="22">
    <w:name w:val="annotation reference"/>
    <w:qFormat/>
    <w:uiPriority w:val="0"/>
    <w:rPr>
      <w:sz w:val="21"/>
      <w:szCs w:val="21"/>
    </w:rPr>
  </w:style>
  <w:style w:type="character" w:customStyle="1" w:styleId="23">
    <w:name w:val="标题 3 Char"/>
    <w:link w:val="5"/>
    <w:qFormat/>
    <w:locked/>
    <w:uiPriority w:val="99"/>
    <w:rPr>
      <w:rFonts w:ascii="Calibri" w:hAnsi="Calibri" w:eastAsia="宋体" w:cs="Calibri"/>
      <w:b/>
      <w:bCs/>
      <w:kern w:val="2"/>
      <w:sz w:val="32"/>
      <w:szCs w:val="32"/>
      <w:lang w:val="en-US" w:eastAsia="zh-CN" w:bidi="ar-SA"/>
    </w:rPr>
  </w:style>
  <w:style w:type="character" w:customStyle="1" w:styleId="24">
    <w:name w:val="批注文字 Char"/>
    <w:link w:val="6"/>
    <w:qFormat/>
    <w:uiPriority w:val="0"/>
    <w:rPr>
      <w:kern w:val="2"/>
      <w:sz w:val="21"/>
      <w:szCs w:val="24"/>
    </w:rPr>
  </w:style>
  <w:style w:type="character" w:customStyle="1" w:styleId="25">
    <w:name w:val="批注框文本 Char"/>
    <w:link w:val="8"/>
    <w:qFormat/>
    <w:uiPriority w:val="0"/>
    <w:rPr>
      <w:kern w:val="2"/>
      <w:sz w:val="18"/>
      <w:szCs w:val="18"/>
    </w:rPr>
  </w:style>
  <w:style w:type="character" w:customStyle="1" w:styleId="26">
    <w:name w:val="页脚 Char"/>
    <w:link w:val="9"/>
    <w:qFormat/>
    <w:uiPriority w:val="99"/>
    <w:rPr>
      <w:kern w:val="2"/>
      <w:sz w:val="18"/>
      <w:szCs w:val="18"/>
    </w:rPr>
  </w:style>
  <w:style w:type="character" w:customStyle="1" w:styleId="27">
    <w:name w:val="页眉 Char"/>
    <w:link w:val="10"/>
    <w:qFormat/>
    <w:uiPriority w:val="0"/>
    <w:rPr>
      <w:kern w:val="2"/>
      <w:sz w:val="18"/>
      <w:szCs w:val="18"/>
    </w:rPr>
  </w:style>
  <w:style w:type="character" w:customStyle="1" w:styleId="28">
    <w:name w:val="副标题 Char"/>
    <w:basedOn w:val="18"/>
    <w:link w:val="12"/>
    <w:qFormat/>
    <w:uiPriority w:val="0"/>
    <w:rPr>
      <w:rFonts w:ascii="Cambria" w:hAnsi="Cambria" w:cs="Times New Roman"/>
      <w:b/>
      <w:bCs/>
      <w:kern w:val="28"/>
      <w:sz w:val="32"/>
      <w:szCs w:val="32"/>
    </w:rPr>
  </w:style>
  <w:style w:type="character" w:customStyle="1" w:styleId="29">
    <w:name w:val="批注主题 Char"/>
    <w:link w:val="16"/>
    <w:uiPriority w:val="0"/>
    <w:rPr>
      <w:b/>
      <w:bCs/>
      <w:kern w:val="2"/>
      <w:sz w:val="21"/>
      <w:szCs w:val="2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3"/>
    <w:uiPriority w:val="0"/>
    <w:pPr>
      <w:ind w:leftChars="400"/>
    </w:pPr>
    <w:rPr>
      <w:rFonts w:ascii="Times New Roman" w:hAnsi="Times New Roman" w:eastAsia="宋体" w:cs="Times New Roman"/>
      <w:lang w:val="en-US" w:eastAsia="zh-CN" w:bidi="ar-SA"/>
    </w:rPr>
  </w:style>
  <w:style w:type="paragraph" w:customStyle="1" w:styleId="32">
    <w:name w:val="WPSOffice手动目录 2"/>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89</Pages>
  <Words>50470</Words>
  <Characters>51451</Characters>
  <Lines>408</Lines>
  <Paragraphs>114</Paragraphs>
  <TotalTime>2</TotalTime>
  <ScaleCrop>false</ScaleCrop>
  <LinksUpToDate>false</LinksUpToDate>
  <CharactersWithSpaces>51793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2020-12-19T06:09:00Z</dcterms:created>
  <dc:creator>AutoBVT</dc:creator>
  <cp:lastModifiedBy>dell</cp:lastModifiedBy>
  <cp:lastPrinted>2023-09-14T06:11:00Z</cp:lastPrinted>
  <dcterms:modified xsi:type="dcterms:W3CDTF">2024-09-09T08:09:29Z</dcterms:modified>
  <dc:title>中共桦南县委员会</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DC56248E4B3A44C88D7E38100ED50EB1_13</vt:lpwstr>
  </property>
</Properties>
</file>