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F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桦南县普惠高龄老人津贴管理制度</w:t>
      </w:r>
    </w:p>
    <w:p w14:paraId="4C4B3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（征求意见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稿）</w:t>
      </w:r>
    </w:p>
    <w:p w14:paraId="725A3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D270EC2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为规范我县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津贴发放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管理工作，确保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资金安全准确发放，促进我县高龄老人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津贴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工作公开、公平、公正实施，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根据国家高龄津贴制度和《黑龙江省普惠高龄津贴发放管理办法》文件规定，结合我县实际，制定本管理制度。</w:t>
      </w:r>
    </w:p>
    <w:p w14:paraId="758A6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所称普惠高龄津贴是指政府定期给予具有黑龙江省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佳木斯市桦南县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户籍，年满80周岁及以上的老年人发放的津贴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6AB5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普惠高龄津贴发放标准为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年龄在80至89周岁（含）的低保对象、低保边缘家庭成员、特困人员每人每月发放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元；年龄在90至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周岁（含）的老年人，每人每月发放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元；年龄在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周岁（含）及以上的老年人，每人每月发放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元；年龄在80至89周岁（含）的其他老年人，每人每月发放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元。</w:t>
      </w:r>
    </w:p>
    <w:p w14:paraId="624D7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第四条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县级民政、财政部门负责统筹协调、指导监督辖区内普惠高龄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津贴发放工作。公安、人力资源和社会保障、疾病预防控制等部门负责定期提供高龄老年人户口迁移、死亡等相关数据信息，协助民政部门开展高龄老年人信息查询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核实比对等工作。</w:t>
      </w:r>
    </w:p>
    <w:p w14:paraId="7A2BE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贴申报</w:t>
      </w:r>
    </w:p>
    <w:p w14:paraId="511CE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）凡户籍在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达到80周岁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以上的高龄老人均有权由本人或委托他人向其户籍所在地村（居）委会申报享受高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B4A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贴时必须向其户籍所在地乡镇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（社区管委会）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民政提供其本人有效身份证、户口薄原件及其复印件等相关资料，如实填报《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桦南县老年人一件事申请表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B4DA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贴相关工作部门职责</w:t>
      </w:r>
    </w:p>
    <w:p w14:paraId="30863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）乡镇人民政府（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社区管委会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）依托辖区老年人户籍基础信息，提前2个月通知村（社区）高龄老人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承办工作人员对即将年满80周岁的高龄老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人进行提醒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知其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进行身份认定。</w:t>
      </w:r>
    </w:p>
    <w:p w14:paraId="50A31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符合条件的高龄老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到户籍所在地村（社区）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本人身份证、户口簿及个人社会保障卡或银行账户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；失能失智或行动不便的高龄老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人可由本人亲属、村（社区）工作人员或志愿者持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老年人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身份证、户口簿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个人社会保障卡或银行账户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及代办人有效证件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；集中供养的特困高龄老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人由所在供养机构代为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办理，分散供养的特困老年人由本人以及代办人办理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。各乡镇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（社区管委会）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党委政府负责本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辖区普惠高龄津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贴工作的组织领导。</w:t>
      </w:r>
    </w:p>
    <w:p w14:paraId="423A3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贴对象户籍所在地村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贴工作的申报受理及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贴申报对象相关情况的调查核实工作，乡镇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（社区管委会）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民政负责进一步核实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本辖区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贴对象基本情况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并负责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贴享受对象的常态管理工作。</w:t>
      </w:r>
    </w:p>
    <w:p w14:paraId="513B8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（二）县民政局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贴工作的日常审批业务及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贴工作的日常管理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监督检查工作。</w:t>
      </w:r>
    </w:p>
    <w:p w14:paraId="4631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贴审核审批发放管理</w:t>
      </w:r>
    </w:p>
    <w:p w14:paraId="71480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贴资金实行按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各乡镇（社区管委会）民政月初上报高龄老人动态，月中旬县民政局核对老人动态信息及核算资金后，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向县财政局报送当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贴享受对象发放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数据及资金申请单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月末前完成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高龄老人津贴发放工作。</w:t>
      </w:r>
    </w:p>
    <w:p w14:paraId="5B8DD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津贴发放实行属地化管理，按户籍地发放原则，根据发放标准按月发放，达到规定年龄的次月起享受待遇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因老年人年龄增长需要调整发放标准的，由县民政部门统一调整，老年人无需提出申请。</w:t>
      </w:r>
    </w:p>
    <w:p w14:paraId="1EBB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津贴纳入全省惠民惠农财政补贴资金“一卡通”发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监管服务平台发放，对于不能办理社会保障卡的高龄老年人，通过平台非社保卡渠道发放。</w:t>
      </w:r>
    </w:p>
    <w:p w14:paraId="063CA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第八条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无法取得联系、迁出（迁入）人口户籍地未及时告知、人户分离、社会静默等情况，未能将符合条件的高龄老年人及时纳入发放范围的，经县民政部门确认后，可自符合发放条件且本管理制度实施之日起计算并给予补发。</w:t>
      </w:r>
    </w:p>
    <w:p w14:paraId="14E1F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对已享受普惠高龄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津贴的老年人，乡镇人民政府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社区管委会）应当指导村（社区）每月通过数据共享、电话了解、视频通话、上门走访、邻里访问等方式进行认证。</w:t>
      </w:r>
    </w:p>
    <w:p w14:paraId="1DD5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未按照规定参加认证的，且核查中也确实无法取得联系的，普惠高龄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津贴从次月起停止发放。待取得联系并通过资格认证当月起继续享受，停发期间的普惠高龄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津贴予以补发。享受普惠高龄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津贴老年人去世后，于次月起停止发放。</w:t>
      </w:r>
    </w:p>
    <w:p w14:paraId="284B9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贴工作动态管理</w:t>
      </w:r>
    </w:p>
    <w:p w14:paraId="65F8B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及时掌握、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核实普惠高龄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贴管理工作中的重要内容。在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贴动态管理工作中，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贴对象所在村委会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是本辖区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象动态管理的第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责任主体。各乡镇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（社区管委会）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民政是本乡镇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（社区管委会）普惠高龄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贴对象动态管理工作的管理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任主体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县民政局是全县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贴对象动态管理的监管主体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D5B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贴对象亡故或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迁离本县的次月必须终止其享受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贴对象所在村（居）委会向所属乡镇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（社区管委会）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民政报告，乡镇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（社区管委会）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民政每月汇总本乡镇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（社区管委会）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情况后向县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民政局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02D3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（社区管委会）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民政要严格按照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贴动态管理工作的相关要求，以月为时间单位调查、核实、统计本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贴对象亡故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、失联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人数并在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表中如实反映上报县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民政局。</w:t>
      </w:r>
    </w:p>
    <w:p w14:paraId="13FA7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）各乡镇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（社区管委会）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党委政府要认真抓好本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贴动态管理工作，特别要重视建立落实本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贴动态管理工作措施，及时、准确掌握本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贴对象亡故情况，防范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资金损失。</w:t>
      </w:r>
    </w:p>
    <w:p w14:paraId="05753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）凡弄虚作假伪造资料骗取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贴资金的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贴对象户籍迁离本县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亡故后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其家人（或其他监护）不尽报告义务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行为人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必须退还其不当领取的资金，在规定时间拒不退还的移交司法部门处理。</w:t>
      </w:r>
    </w:p>
    <w:p w14:paraId="36EF5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（五）各乡镇（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社区管委会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贴对象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有责任会同县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民政局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追缴本辖区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普惠高龄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贴不当领取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资金，追缴资金上缴县财政。</w:t>
      </w:r>
    </w:p>
    <w:p w14:paraId="0C303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本办法自2024年10月1日开始施行，有效期5年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本办法之前的所有关于高龄津贴的规定同时废止。</w:t>
      </w:r>
    </w:p>
    <w:p w14:paraId="6CE50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1E0A6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9C8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5C934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474" w:bottom="1474" w:left="1474" w:header="851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81A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4BFBE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A4BFBE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2JlMTdhNzY1YzY0MTI2YWQ0MDY3ZmM1NzIxNjkifQ=="/>
  </w:docVars>
  <w:rsids>
    <w:rsidRoot w:val="14553F54"/>
    <w:rsid w:val="000F3A35"/>
    <w:rsid w:val="03AB1655"/>
    <w:rsid w:val="0870581B"/>
    <w:rsid w:val="0DD00248"/>
    <w:rsid w:val="0F8B51C8"/>
    <w:rsid w:val="14553F54"/>
    <w:rsid w:val="193971F7"/>
    <w:rsid w:val="1BB67591"/>
    <w:rsid w:val="1CFC5477"/>
    <w:rsid w:val="1D547061"/>
    <w:rsid w:val="23384D2F"/>
    <w:rsid w:val="23502B24"/>
    <w:rsid w:val="23897339"/>
    <w:rsid w:val="2466736C"/>
    <w:rsid w:val="254479BB"/>
    <w:rsid w:val="287265EE"/>
    <w:rsid w:val="2A4B359A"/>
    <w:rsid w:val="2B141C3F"/>
    <w:rsid w:val="2D7C3A6A"/>
    <w:rsid w:val="2D87488A"/>
    <w:rsid w:val="31501496"/>
    <w:rsid w:val="32406EF5"/>
    <w:rsid w:val="32E91BA2"/>
    <w:rsid w:val="33EA3E24"/>
    <w:rsid w:val="341D7C9F"/>
    <w:rsid w:val="36DA7CA4"/>
    <w:rsid w:val="39697599"/>
    <w:rsid w:val="3C9568F7"/>
    <w:rsid w:val="3E287A22"/>
    <w:rsid w:val="3F634A8A"/>
    <w:rsid w:val="43112896"/>
    <w:rsid w:val="434626F9"/>
    <w:rsid w:val="44385F79"/>
    <w:rsid w:val="459C2AA4"/>
    <w:rsid w:val="488C1A0A"/>
    <w:rsid w:val="4AE632BB"/>
    <w:rsid w:val="4C5B5467"/>
    <w:rsid w:val="4EB66985"/>
    <w:rsid w:val="5005121C"/>
    <w:rsid w:val="51BF43E2"/>
    <w:rsid w:val="54224ABC"/>
    <w:rsid w:val="554A0835"/>
    <w:rsid w:val="5612303A"/>
    <w:rsid w:val="5A985AD8"/>
    <w:rsid w:val="5DAD18E5"/>
    <w:rsid w:val="5F2C2722"/>
    <w:rsid w:val="646B05EB"/>
    <w:rsid w:val="659F5F6D"/>
    <w:rsid w:val="695E7EED"/>
    <w:rsid w:val="6A5739E2"/>
    <w:rsid w:val="6A971908"/>
    <w:rsid w:val="6C3D64DF"/>
    <w:rsid w:val="6DBB3B60"/>
    <w:rsid w:val="750202C6"/>
    <w:rsid w:val="78591FAB"/>
    <w:rsid w:val="786664B3"/>
    <w:rsid w:val="78880AE2"/>
    <w:rsid w:val="789C2A58"/>
    <w:rsid w:val="795A0647"/>
    <w:rsid w:val="7A3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2394</Words>
  <Characters>2416</Characters>
  <Lines>0</Lines>
  <Paragraphs>0</Paragraphs>
  <TotalTime>1</TotalTime>
  <ScaleCrop>false</ScaleCrop>
  <LinksUpToDate>false</LinksUpToDate>
  <CharactersWithSpaces>2456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2022-10-24T06:32:00Z</dcterms:created>
  <dc:creator>细雨</dc:creator>
  <cp:lastModifiedBy>武先生^</cp:lastModifiedBy>
  <cp:lastPrinted>2024-09-10T08:17:00Z</cp:lastPrinted>
  <dcterms:modified xsi:type="dcterms:W3CDTF">2024-11-22T00:46:56Z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734ECE6F03454145A69C454BFB04EA99_13</vt:lpwstr>
  </property>
</Properties>
</file>