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B2F7B8">
      <w:pPr>
        <w:rPr>
          <w:rFonts w:hint="default" w:eastAsia="仿宋_GB2312"/>
          <w:color w:val="auto"/>
          <w:sz w:val="36"/>
          <w:szCs w:val="36"/>
          <w:lang w:val="en-US" w:eastAsia="zh-CN"/>
        </w:rPr>
      </w:pPr>
      <w:r>
        <w:rPr>
          <w:rFonts w:hint="eastAsia" w:eastAsia="仿宋_GB2312"/>
          <w:color w:val="auto"/>
          <w:sz w:val="36"/>
          <w:szCs w:val="36"/>
          <w:lang w:val="en-US" w:eastAsia="zh-CN"/>
        </w:rPr>
        <w:t xml:space="preserve">  </w:t>
      </w:r>
    </w:p>
    <w:p w14:paraId="7FFEBFDA">
      <w:pPr>
        <w:rPr>
          <w:rFonts w:eastAsia="仿宋_GB2312"/>
          <w:color w:val="auto"/>
          <w:sz w:val="36"/>
          <w:szCs w:val="36"/>
        </w:rPr>
      </w:pPr>
    </w:p>
    <w:p w14:paraId="2A2D9B31">
      <w:pPr>
        <w:rPr>
          <w:rFonts w:eastAsia="仿宋_GB2312"/>
          <w:color w:val="auto"/>
          <w:sz w:val="36"/>
          <w:szCs w:val="36"/>
        </w:rPr>
      </w:pPr>
    </w:p>
    <w:p w14:paraId="27436DB9">
      <w:pPr>
        <w:adjustRightInd w:val="0"/>
        <w:snapToGrid w:val="0"/>
        <w:spacing w:before="258" w:beforeLines="80"/>
        <w:jc w:val="center"/>
        <w:rPr>
          <w:rFonts w:asciiTheme="majorEastAsia" w:hAnsiTheme="majorEastAsia" w:eastAsiaTheme="majorEastAsia" w:cstheme="majorEastAsia"/>
          <w:bCs/>
          <w:color w:val="auto"/>
          <w:sz w:val="72"/>
          <w:szCs w:val="72"/>
        </w:rPr>
      </w:pPr>
      <w:bookmarkStart w:id="0" w:name="_Toc68786104"/>
      <w:bookmarkStart w:id="1" w:name="_Toc65222360"/>
      <w:bookmarkStart w:id="2" w:name="_Toc65504028"/>
      <w:bookmarkStart w:id="3" w:name="_Toc26907"/>
      <w:r>
        <w:rPr>
          <w:rFonts w:hint="eastAsia" w:asciiTheme="majorEastAsia" w:hAnsiTheme="majorEastAsia" w:eastAsiaTheme="majorEastAsia" w:cstheme="majorEastAsia"/>
          <w:bCs/>
          <w:color w:val="auto"/>
          <w:sz w:val="72"/>
          <w:szCs w:val="72"/>
        </w:rPr>
        <w:t>建设项目环境影响报告表</w:t>
      </w:r>
      <w:bookmarkEnd w:id="0"/>
      <w:bookmarkEnd w:id="1"/>
      <w:bookmarkEnd w:id="2"/>
      <w:bookmarkEnd w:id="3"/>
    </w:p>
    <w:p w14:paraId="41B22084">
      <w:pPr>
        <w:adjustRightInd w:val="0"/>
        <w:snapToGrid w:val="0"/>
        <w:spacing w:before="258" w:beforeLines="80"/>
        <w:jc w:val="center"/>
        <w:rPr>
          <w:rFonts w:eastAsia="楷体_GB2312"/>
          <w:bCs/>
          <w:color w:val="auto"/>
          <w:sz w:val="48"/>
          <w:szCs w:val="48"/>
        </w:rPr>
      </w:pPr>
    </w:p>
    <w:p w14:paraId="30899E43">
      <w:pPr>
        <w:jc w:val="center"/>
        <w:rPr>
          <w:rFonts w:eastAsia="仿宋"/>
          <w:color w:val="auto"/>
          <w:sz w:val="52"/>
          <w:szCs w:val="52"/>
        </w:rPr>
      </w:pPr>
    </w:p>
    <w:p w14:paraId="00A36846">
      <w:pPr>
        <w:jc w:val="center"/>
        <w:rPr>
          <w:rFonts w:eastAsia="仿宋"/>
          <w:color w:val="auto"/>
          <w:sz w:val="52"/>
          <w:szCs w:val="52"/>
        </w:rPr>
      </w:pPr>
    </w:p>
    <w:p w14:paraId="194DCB0B">
      <w:pPr>
        <w:ind w:firstLine="1040"/>
        <w:rPr>
          <w:rFonts w:eastAsia="仿宋"/>
          <w:color w:val="auto"/>
          <w:sz w:val="44"/>
          <w:szCs w:val="44"/>
        </w:rPr>
      </w:pPr>
    </w:p>
    <w:p w14:paraId="06539A58">
      <w:pPr>
        <w:pStyle w:val="30"/>
        <w:rPr>
          <w:rFonts w:eastAsia="仿宋"/>
          <w:color w:val="auto"/>
          <w:sz w:val="44"/>
          <w:szCs w:val="44"/>
        </w:rPr>
      </w:pPr>
    </w:p>
    <w:p w14:paraId="7156E1D1">
      <w:pPr>
        <w:rPr>
          <w:color w:val="auto"/>
        </w:rPr>
      </w:pPr>
    </w:p>
    <w:p w14:paraId="0172638E">
      <w:pPr>
        <w:ind w:firstLine="1040"/>
        <w:rPr>
          <w:rFonts w:eastAsia="仿宋"/>
          <w:color w:val="auto"/>
          <w:sz w:val="44"/>
          <w:szCs w:val="44"/>
        </w:rPr>
      </w:pPr>
    </w:p>
    <w:p w14:paraId="201169B5">
      <w:pPr>
        <w:pStyle w:val="30"/>
        <w:rPr>
          <w:color w:val="auto"/>
        </w:rPr>
      </w:pPr>
    </w:p>
    <w:p w14:paraId="182A7D4C">
      <w:pPr>
        <w:ind w:firstLine="1040"/>
        <w:rPr>
          <w:rFonts w:eastAsia="仿宋"/>
          <w:color w:val="auto"/>
          <w:sz w:val="44"/>
          <w:szCs w:val="44"/>
        </w:rPr>
      </w:pPr>
    </w:p>
    <w:p w14:paraId="227A0736">
      <w:pPr>
        <w:adjustRightInd w:val="0"/>
        <w:spacing w:line="360" w:lineRule="auto"/>
        <w:ind w:left="1192" w:leftChars="568"/>
        <w:rPr>
          <w:color w:val="auto"/>
          <w:sz w:val="30"/>
          <w:szCs w:val="30"/>
          <w:u w:val="single"/>
        </w:rPr>
      </w:pPr>
      <w:r>
        <w:rPr>
          <w:color w:val="auto"/>
          <w:sz w:val="30"/>
          <w:szCs w:val="30"/>
        </w:rPr>
        <w:t>项目名称：</w:t>
      </w:r>
      <w:r>
        <w:rPr>
          <w:rFonts w:hint="eastAsia"/>
          <w:color w:val="auto"/>
          <w:sz w:val="30"/>
          <w:szCs w:val="30"/>
        </w:rPr>
        <w:t xml:space="preserve"> </w:t>
      </w:r>
      <w:r>
        <w:rPr>
          <w:rFonts w:hint="eastAsia"/>
          <w:color w:val="auto"/>
          <w:sz w:val="30"/>
          <w:szCs w:val="30"/>
          <w:u w:val="single"/>
          <w:lang w:eastAsia="zh-CN"/>
        </w:rPr>
        <w:t>黑龙江宏昌生物科技有限公司日加工500吨大豆（米糠）双生产线建设项目（重新报批）</w:t>
      </w:r>
      <w:r>
        <w:rPr>
          <w:color w:val="auto"/>
          <w:sz w:val="30"/>
          <w:szCs w:val="30"/>
          <w:u w:val="single"/>
        </w:rPr>
        <w:t xml:space="preserve">  </w:t>
      </w:r>
    </w:p>
    <w:p w14:paraId="745B264F">
      <w:pPr>
        <w:adjustRightInd w:val="0"/>
        <w:spacing w:line="360" w:lineRule="auto"/>
        <w:ind w:left="1192" w:leftChars="568"/>
        <w:rPr>
          <w:color w:val="auto"/>
          <w:sz w:val="30"/>
          <w:szCs w:val="30"/>
          <w:u w:val="single"/>
        </w:rPr>
      </w:pPr>
      <w:r>
        <w:rPr>
          <w:color w:val="auto"/>
          <w:sz w:val="30"/>
          <w:szCs w:val="30"/>
        </w:rPr>
        <w:t>建设单位（盖章）：</w:t>
      </w:r>
      <w:r>
        <w:rPr>
          <w:rFonts w:hint="eastAsia"/>
          <w:color w:val="auto"/>
          <w:sz w:val="30"/>
          <w:szCs w:val="30"/>
          <w:u w:val="single"/>
        </w:rPr>
        <w:t>黑龙江宏昌生物科技有限公司</w:t>
      </w:r>
      <w:r>
        <w:rPr>
          <w:color w:val="auto"/>
          <w:sz w:val="30"/>
          <w:szCs w:val="30"/>
          <w:u w:val="single"/>
        </w:rPr>
        <w:t xml:space="preserve"> </w:t>
      </w:r>
    </w:p>
    <w:p w14:paraId="475E4723">
      <w:pPr>
        <w:adjustRightInd w:val="0"/>
        <w:spacing w:line="360" w:lineRule="auto"/>
        <w:ind w:firstLine="1200" w:firstLineChars="400"/>
        <w:rPr>
          <w:color w:val="auto"/>
          <w:sz w:val="36"/>
          <w:szCs w:val="36"/>
        </w:rPr>
      </w:pPr>
      <w:r>
        <w:rPr>
          <w:color w:val="auto"/>
          <w:sz w:val="30"/>
          <w:szCs w:val="30"/>
        </w:rPr>
        <w:t>编制日期：</w:t>
      </w:r>
      <w:r>
        <w:rPr>
          <w:color w:val="auto"/>
          <w:sz w:val="30"/>
          <w:szCs w:val="30"/>
          <w:u w:val="single"/>
        </w:rPr>
        <w:t xml:space="preserve">           202</w:t>
      </w:r>
      <w:r>
        <w:rPr>
          <w:rFonts w:hint="eastAsia"/>
          <w:color w:val="auto"/>
          <w:sz w:val="30"/>
          <w:szCs w:val="30"/>
          <w:u w:val="single"/>
          <w:lang w:val="en-US" w:eastAsia="zh-CN"/>
        </w:rPr>
        <w:t>5</w:t>
      </w:r>
      <w:r>
        <w:rPr>
          <w:color w:val="auto"/>
          <w:sz w:val="30"/>
          <w:szCs w:val="30"/>
          <w:u w:val="single"/>
        </w:rPr>
        <w:t>年</w:t>
      </w:r>
      <w:r>
        <w:rPr>
          <w:rFonts w:hint="eastAsia"/>
          <w:color w:val="auto"/>
          <w:sz w:val="30"/>
          <w:szCs w:val="30"/>
          <w:u w:val="single"/>
          <w:lang w:val="en-US" w:eastAsia="zh-CN"/>
        </w:rPr>
        <w:t>1</w:t>
      </w:r>
      <w:r>
        <w:rPr>
          <w:color w:val="auto"/>
          <w:sz w:val="30"/>
          <w:szCs w:val="30"/>
          <w:u w:val="single"/>
        </w:rPr>
        <w:t xml:space="preserve">月         </w:t>
      </w:r>
      <w:bookmarkStart w:id="4" w:name="_Hlk57884087"/>
      <w:r>
        <w:rPr>
          <w:color w:val="auto"/>
          <w:sz w:val="30"/>
          <w:szCs w:val="30"/>
          <w:u w:val="single"/>
        </w:rPr>
        <w:t xml:space="preserve">         </w:t>
      </w:r>
    </w:p>
    <w:p w14:paraId="599FEB89">
      <w:pPr>
        <w:adjustRightInd w:val="0"/>
        <w:snapToGrid w:val="0"/>
        <w:spacing w:line="288" w:lineRule="auto"/>
        <w:ind w:firstLine="1040"/>
        <w:rPr>
          <w:rFonts w:eastAsia="仿宋_GB2312"/>
          <w:color w:val="auto"/>
          <w:sz w:val="36"/>
          <w:szCs w:val="36"/>
        </w:rPr>
      </w:pPr>
    </w:p>
    <w:p w14:paraId="5126D5D8">
      <w:pPr>
        <w:adjustRightInd w:val="0"/>
        <w:snapToGrid w:val="0"/>
        <w:spacing w:line="288" w:lineRule="auto"/>
        <w:ind w:firstLine="1040"/>
        <w:rPr>
          <w:rFonts w:eastAsia="仿宋_GB2312"/>
          <w:color w:val="auto"/>
          <w:sz w:val="36"/>
          <w:szCs w:val="36"/>
        </w:rPr>
      </w:pPr>
    </w:p>
    <w:p w14:paraId="196838EA">
      <w:pPr>
        <w:keepNext/>
        <w:overflowPunct w:val="0"/>
        <w:snapToGrid w:val="0"/>
        <w:spacing w:line="260" w:lineRule="auto"/>
        <w:ind w:left="431" w:hanging="431"/>
        <w:rPr>
          <w:rFonts w:eastAsia="仿宋_GB2312"/>
          <w:color w:val="auto"/>
          <w:sz w:val="36"/>
          <w:szCs w:val="36"/>
        </w:rPr>
      </w:pPr>
    </w:p>
    <w:p w14:paraId="719839AD">
      <w:pPr>
        <w:keepNext/>
        <w:overflowPunct w:val="0"/>
        <w:snapToGrid w:val="0"/>
        <w:spacing w:line="260" w:lineRule="auto"/>
        <w:ind w:left="431" w:hanging="431"/>
        <w:rPr>
          <w:color w:val="auto"/>
        </w:rPr>
      </w:pPr>
    </w:p>
    <w:p w14:paraId="0EE189B1">
      <w:pPr>
        <w:adjustRightInd w:val="0"/>
        <w:spacing w:line="360" w:lineRule="auto"/>
        <w:ind w:firstLine="1040"/>
        <w:rPr>
          <w:rFonts w:eastAsia="仿宋_GB2312"/>
          <w:color w:val="auto"/>
          <w:sz w:val="32"/>
          <w:szCs w:val="32"/>
        </w:rPr>
      </w:pPr>
    </w:p>
    <w:bookmarkEnd w:id="4"/>
    <w:p w14:paraId="6DCA0C7D">
      <w:pPr>
        <w:spacing w:line="360" w:lineRule="auto"/>
        <w:jc w:val="center"/>
        <w:rPr>
          <w:rFonts w:hint="eastAsia" w:eastAsia="宋体"/>
          <w:color w:val="auto"/>
          <w:sz w:val="28"/>
          <w:szCs w:val="30"/>
          <w:lang w:eastAsia="zh-CN"/>
        </w:rPr>
      </w:pPr>
      <w:r>
        <w:rPr>
          <w:color w:val="auto"/>
          <w:sz w:val="32"/>
          <w:szCs w:val="32"/>
        </w:rPr>
        <w:t>中华人民共和国生态环境部制</w:t>
      </w:r>
    </w:p>
    <w:p w14:paraId="08D757EA">
      <w:pPr>
        <w:rPr>
          <w:rFonts w:eastAsia="楷体_GB2312"/>
          <w:color w:val="auto"/>
          <w:sz w:val="44"/>
          <w:szCs w:val="36"/>
        </w:rPr>
      </w:pPr>
      <w:r>
        <w:rPr>
          <w:rFonts w:eastAsia="楷体_GB2312"/>
          <w:color w:val="auto"/>
          <w:sz w:val="44"/>
          <w:szCs w:val="36"/>
        </w:rPr>
        <w:br w:type="page"/>
      </w:r>
    </w:p>
    <w:p w14:paraId="4B11A81A">
      <w:pPr>
        <w:adjustRightInd w:val="0"/>
        <w:snapToGrid w:val="0"/>
        <w:spacing w:line="288" w:lineRule="auto"/>
        <w:jc w:val="center"/>
        <w:rPr>
          <w:rFonts w:eastAsia="楷体_GB2312"/>
          <w:color w:val="auto"/>
          <w:sz w:val="44"/>
          <w:szCs w:val="36"/>
        </w:rPr>
      </w:pPr>
      <w:r>
        <w:rPr>
          <w:color w:val="auto"/>
        </w:rPr>
        <w:drawing>
          <wp:inline distT="0" distB="0" distL="114300" distR="114300">
            <wp:extent cx="6116955" cy="9130665"/>
            <wp:effectExtent l="0" t="0" r="17145" b="1333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7"/>
                    <a:stretch>
                      <a:fillRect/>
                    </a:stretch>
                  </pic:blipFill>
                  <pic:spPr>
                    <a:xfrm>
                      <a:off x="0" y="0"/>
                      <a:ext cx="6116955" cy="9130665"/>
                    </a:xfrm>
                    <a:prstGeom prst="rect">
                      <a:avLst/>
                    </a:prstGeom>
                    <a:noFill/>
                    <a:ln>
                      <a:noFill/>
                    </a:ln>
                  </pic:spPr>
                </pic:pic>
              </a:graphicData>
            </a:graphic>
          </wp:inline>
        </w:drawing>
      </w:r>
    </w:p>
    <w:p w14:paraId="0AC5443A">
      <w:pPr>
        <w:adjustRightInd w:val="0"/>
        <w:snapToGrid w:val="0"/>
        <w:spacing w:line="288" w:lineRule="auto"/>
        <w:jc w:val="center"/>
        <w:rPr>
          <w:rFonts w:eastAsia="楷体_GB2312"/>
          <w:color w:val="auto"/>
          <w:sz w:val="44"/>
          <w:szCs w:val="36"/>
        </w:rPr>
      </w:pPr>
      <w:r>
        <w:rPr>
          <w:rFonts w:eastAsia="楷体_GB2312"/>
          <w:color w:val="auto"/>
          <w:sz w:val="44"/>
          <w:szCs w:val="36"/>
        </w:rPr>
        <w:t>目  录</w:t>
      </w:r>
    </w:p>
    <w:p w14:paraId="4A0E3932">
      <w:pPr>
        <w:pStyle w:val="27"/>
        <w:tabs>
          <w:tab w:val="right" w:leader="dot" w:pos="9637"/>
        </w:tabs>
        <w:rPr>
          <w:color w:val="auto"/>
        </w:rPr>
      </w:pPr>
      <w:r>
        <w:rPr>
          <w:rFonts w:eastAsia="黑体"/>
          <w:color w:val="auto"/>
          <w:sz w:val="24"/>
        </w:rPr>
        <w:fldChar w:fldCharType="begin"/>
      </w:r>
      <w:r>
        <w:rPr>
          <w:rFonts w:eastAsia="黑体"/>
          <w:color w:val="auto"/>
          <w:sz w:val="24"/>
        </w:rPr>
        <w:instrText xml:space="preserve"> TOC \o "1-3" \h \z \u </w:instrText>
      </w:r>
      <w:r>
        <w:rPr>
          <w:rFonts w:eastAsia="黑体"/>
          <w:color w:val="auto"/>
          <w:sz w:val="24"/>
        </w:rPr>
        <w:fldChar w:fldCharType="separate"/>
      </w:r>
      <w:r>
        <w:rPr>
          <w:rFonts w:eastAsia="黑体"/>
          <w:color w:val="auto"/>
        </w:rPr>
        <w:fldChar w:fldCharType="begin"/>
      </w:r>
      <w:r>
        <w:rPr>
          <w:rFonts w:eastAsia="黑体"/>
          <w:color w:val="auto"/>
        </w:rPr>
        <w:instrText xml:space="preserve"> HYPERLINK \l _Toc16912 </w:instrText>
      </w:r>
      <w:r>
        <w:rPr>
          <w:rFonts w:eastAsia="黑体"/>
          <w:color w:val="auto"/>
        </w:rPr>
        <w:fldChar w:fldCharType="separate"/>
      </w:r>
      <w:r>
        <w:rPr>
          <w:rFonts w:ascii="Times New Roman" w:hAnsi="Times New Roman" w:eastAsia="黑体"/>
          <w:snapToGrid w:val="0"/>
          <w:color w:val="auto"/>
          <w:szCs w:val="30"/>
        </w:rPr>
        <w:t>一、建设项目基本情况</w:t>
      </w:r>
      <w:r>
        <w:rPr>
          <w:color w:val="auto"/>
        </w:rPr>
        <w:tab/>
      </w:r>
      <w:r>
        <w:rPr>
          <w:color w:val="auto"/>
        </w:rPr>
        <w:fldChar w:fldCharType="begin"/>
      </w:r>
      <w:r>
        <w:rPr>
          <w:color w:val="auto"/>
        </w:rPr>
        <w:instrText xml:space="preserve"> PAGEREF _Toc16912 \h </w:instrText>
      </w:r>
      <w:r>
        <w:rPr>
          <w:color w:val="auto"/>
        </w:rPr>
        <w:fldChar w:fldCharType="separate"/>
      </w:r>
      <w:r>
        <w:rPr>
          <w:color w:val="auto"/>
        </w:rPr>
        <w:t>1</w:t>
      </w:r>
      <w:r>
        <w:rPr>
          <w:color w:val="auto"/>
        </w:rPr>
        <w:fldChar w:fldCharType="end"/>
      </w:r>
      <w:r>
        <w:rPr>
          <w:rFonts w:eastAsia="黑体"/>
          <w:color w:val="auto"/>
        </w:rPr>
        <w:fldChar w:fldCharType="end"/>
      </w:r>
    </w:p>
    <w:p w14:paraId="27170F18">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_Toc15710 </w:instrText>
      </w:r>
      <w:r>
        <w:rPr>
          <w:rFonts w:eastAsia="黑体"/>
          <w:color w:val="auto"/>
        </w:rPr>
        <w:fldChar w:fldCharType="separate"/>
      </w:r>
      <w:r>
        <w:rPr>
          <w:rFonts w:ascii="Times New Roman" w:hAnsi="Times New Roman" w:eastAsia="黑体"/>
          <w:snapToGrid w:val="0"/>
          <w:color w:val="auto"/>
          <w:szCs w:val="30"/>
        </w:rPr>
        <w:t>二、建设项目工程分析</w:t>
      </w:r>
      <w:r>
        <w:rPr>
          <w:color w:val="auto"/>
        </w:rPr>
        <w:tab/>
      </w:r>
      <w:r>
        <w:rPr>
          <w:color w:val="auto"/>
        </w:rPr>
        <w:fldChar w:fldCharType="begin"/>
      </w:r>
      <w:r>
        <w:rPr>
          <w:color w:val="auto"/>
        </w:rPr>
        <w:instrText xml:space="preserve"> PAGEREF _Toc15710 \h </w:instrText>
      </w:r>
      <w:r>
        <w:rPr>
          <w:color w:val="auto"/>
        </w:rPr>
        <w:fldChar w:fldCharType="separate"/>
      </w:r>
      <w:r>
        <w:rPr>
          <w:color w:val="auto"/>
        </w:rPr>
        <w:t>25</w:t>
      </w:r>
      <w:r>
        <w:rPr>
          <w:color w:val="auto"/>
        </w:rPr>
        <w:fldChar w:fldCharType="end"/>
      </w:r>
      <w:r>
        <w:rPr>
          <w:rFonts w:eastAsia="黑体"/>
          <w:color w:val="auto"/>
        </w:rPr>
        <w:fldChar w:fldCharType="end"/>
      </w:r>
    </w:p>
    <w:p w14:paraId="1402AEA8">
      <w:pPr>
        <w:pStyle w:val="27"/>
        <w:tabs>
          <w:tab w:val="right" w:leader="dot" w:pos="9637"/>
        </w:tabs>
        <w:rPr>
          <w:color w:val="auto"/>
        </w:rPr>
      </w:pPr>
      <w:r>
        <w:rPr>
          <w:rFonts w:eastAsia="黑体"/>
          <w:color w:val="auto"/>
        </w:rPr>
        <w:fldChar w:fldCharType="begin"/>
      </w:r>
      <w:r>
        <w:rPr>
          <w:rFonts w:eastAsia="黑体"/>
          <w:color w:val="auto"/>
        </w:rPr>
        <w:instrText xml:space="preserve"> HYPERLINK \l _Toc28443 </w:instrText>
      </w:r>
      <w:r>
        <w:rPr>
          <w:rFonts w:eastAsia="黑体"/>
          <w:color w:val="auto"/>
        </w:rPr>
        <w:fldChar w:fldCharType="separate"/>
      </w:r>
      <w:r>
        <w:rPr>
          <w:rFonts w:ascii="Times New Roman" w:hAnsi="Times New Roman" w:eastAsia="黑体"/>
          <w:snapToGrid w:val="0"/>
          <w:color w:val="auto"/>
          <w:szCs w:val="30"/>
        </w:rPr>
        <w:t>三、区域环境质量现状、环境保护目标及评价标准</w:t>
      </w:r>
      <w:r>
        <w:rPr>
          <w:color w:val="auto"/>
        </w:rPr>
        <w:tab/>
      </w:r>
      <w:r>
        <w:rPr>
          <w:color w:val="auto"/>
        </w:rPr>
        <w:fldChar w:fldCharType="begin"/>
      </w:r>
      <w:r>
        <w:rPr>
          <w:color w:val="auto"/>
        </w:rPr>
        <w:instrText xml:space="preserve"> PAGEREF _Toc28443 \h </w:instrText>
      </w:r>
      <w:r>
        <w:rPr>
          <w:color w:val="auto"/>
        </w:rPr>
        <w:fldChar w:fldCharType="separate"/>
      </w:r>
      <w:r>
        <w:rPr>
          <w:color w:val="auto"/>
        </w:rPr>
        <w:t>43</w:t>
      </w:r>
      <w:r>
        <w:rPr>
          <w:color w:val="auto"/>
        </w:rPr>
        <w:fldChar w:fldCharType="end"/>
      </w:r>
      <w:r>
        <w:rPr>
          <w:rFonts w:eastAsia="黑体"/>
          <w:color w:val="auto"/>
        </w:rPr>
        <w:fldChar w:fldCharType="end"/>
      </w:r>
    </w:p>
    <w:p w14:paraId="5952A3BF">
      <w:pPr>
        <w:pStyle w:val="27"/>
        <w:tabs>
          <w:tab w:val="right" w:leader="dot" w:pos="9637"/>
        </w:tabs>
        <w:rPr>
          <w:color w:val="auto"/>
        </w:rPr>
      </w:pPr>
      <w:r>
        <w:rPr>
          <w:rFonts w:eastAsia="黑体"/>
          <w:color w:val="auto"/>
        </w:rPr>
        <w:fldChar w:fldCharType="begin"/>
      </w:r>
      <w:r>
        <w:rPr>
          <w:rFonts w:eastAsia="黑体"/>
          <w:color w:val="auto"/>
        </w:rPr>
        <w:instrText xml:space="preserve"> HYPERLINK \l _Toc5217 </w:instrText>
      </w:r>
      <w:r>
        <w:rPr>
          <w:rFonts w:eastAsia="黑体"/>
          <w:color w:val="auto"/>
        </w:rPr>
        <w:fldChar w:fldCharType="separate"/>
      </w:r>
      <w:r>
        <w:rPr>
          <w:rFonts w:ascii="Times New Roman" w:hAnsi="Times New Roman" w:eastAsia="黑体"/>
          <w:snapToGrid w:val="0"/>
          <w:color w:val="auto"/>
          <w:szCs w:val="30"/>
        </w:rPr>
        <w:t>四、主要环境影响和保护措施</w:t>
      </w:r>
      <w:r>
        <w:rPr>
          <w:color w:val="auto"/>
        </w:rPr>
        <w:tab/>
      </w:r>
      <w:r>
        <w:rPr>
          <w:color w:val="auto"/>
        </w:rPr>
        <w:fldChar w:fldCharType="begin"/>
      </w:r>
      <w:r>
        <w:rPr>
          <w:color w:val="auto"/>
        </w:rPr>
        <w:instrText xml:space="preserve"> PAGEREF _Toc5217 \h </w:instrText>
      </w:r>
      <w:r>
        <w:rPr>
          <w:color w:val="auto"/>
        </w:rPr>
        <w:fldChar w:fldCharType="separate"/>
      </w:r>
      <w:r>
        <w:rPr>
          <w:color w:val="auto"/>
        </w:rPr>
        <w:t>48</w:t>
      </w:r>
      <w:r>
        <w:rPr>
          <w:color w:val="auto"/>
        </w:rPr>
        <w:fldChar w:fldCharType="end"/>
      </w:r>
      <w:r>
        <w:rPr>
          <w:rFonts w:eastAsia="黑体"/>
          <w:color w:val="auto"/>
        </w:rPr>
        <w:fldChar w:fldCharType="end"/>
      </w:r>
    </w:p>
    <w:p w14:paraId="3CCB1741">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_Toc15879 </w:instrText>
      </w:r>
      <w:r>
        <w:rPr>
          <w:rFonts w:eastAsia="黑体"/>
          <w:color w:val="auto"/>
        </w:rPr>
        <w:fldChar w:fldCharType="separate"/>
      </w:r>
      <w:r>
        <w:rPr>
          <w:rFonts w:ascii="Times New Roman" w:hAnsi="Times New Roman" w:eastAsia="黑体"/>
          <w:snapToGrid w:val="0"/>
          <w:color w:val="auto"/>
          <w:szCs w:val="30"/>
        </w:rPr>
        <w:t>五、环境保护措施监督检查清单</w:t>
      </w:r>
      <w:r>
        <w:rPr>
          <w:color w:val="auto"/>
        </w:rPr>
        <w:tab/>
      </w:r>
      <w:r>
        <w:rPr>
          <w:color w:val="auto"/>
        </w:rPr>
        <w:fldChar w:fldCharType="begin"/>
      </w:r>
      <w:r>
        <w:rPr>
          <w:color w:val="auto"/>
        </w:rPr>
        <w:instrText xml:space="preserve"> PAGEREF _Toc15879 \h </w:instrText>
      </w:r>
      <w:r>
        <w:rPr>
          <w:color w:val="auto"/>
        </w:rPr>
        <w:fldChar w:fldCharType="separate"/>
      </w:r>
      <w:r>
        <w:rPr>
          <w:color w:val="auto"/>
        </w:rPr>
        <w:t>68</w:t>
      </w:r>
      <w:r>
        <w:rPr>
          <w:color w:val="auto"/>
        </w:rPr>
        <w:fldChar w:fldCharType="end"/>
      </w:r>
      <w:r>
        <w:rPr>
          <w:rFonts w:eastAsia="黑体"/>
          <w:color w:val="auto"/>
        </w:rPr>
        <w:fldChar w:fldCharType="end"/>
      </w:r>
    </w:p>
    <w:p w14:paraId="01DA25ED">
      <w:pPr>
        <w:pStyle w:val="27"/>
        <w:tabs>
          <w:tab w:val="right" w:leader="dot" w:pos="9637"/>
        </w:tabs>
        <w:rPr>
          <w:color w:val="auto"/>
        </w:rPr>
      </w:pPr>
      <w:r>
        <w:rPr>
          <w:rFonts w:eastAsia="黑体"/>
          <w:color w:val="auto"/>
        </w:rPr>
        <w:fldChar w:fldCharType="begin"/>
      </w:r>
      <w:r>
        <w:rPr>
          <w:rFonts w:eastAsia="黑体"/>
          <w:color w:val="auto"/>
        </w:rPr>
        <w:instrText xml:space="preserve"> HYPERLINK \l _Toc23008 </w:instrText>
      </w:r>
      <w:r>
        <w:rPr>
          <w:rFonts w:eastAsia="黑体"/>
          <w:color w:val="auto"/>
        </w:rPr>
        <w:fldChar w:fldCharType="separate"/>
      </w:r>
      <w:r>
        <w:rPr>
          <w:rFonts w:ascii="Times New Roman" w:hAnsi="Times New Roman" w:eastAsia="黑体"/>
          <w:snapToGrid w:val="0"/>
          <w:color w:val="auto"/>
          <w:szCs w:val="30"/>
        </w:rPr>
        <w:t>六、结论</w:t>
      </w:r>
      <w:r>
        <w:rPr>
          <w:color w:val="auto"/>
        </w:rPr>
        <w:tab/>
      </w:r>
      <w:r>
        <w:rPr>
          <w:color w:val="auto"/>
        </w:rPr>
        <w:fldChar w:fldCharType="begin"/>
      </w:r>
      <w:r>
        <w:rPr>
          <w:color w:val="auto"/>
        </w:rPr>
        <w:instrText xml:space="preserve"> PAGEREF _Toc23008 \h </w:instrText>
      </w:r>
      <w:r>
        <w:rPr>
          <w:color w:val="auto"/>
        </w:rPr>
        <w:fldChar w:fldCharType="separate"/>
      </w:r>
      <w:r>
        <w:rPr>
          <w:color w:val="auto"/>
        </w:rPr>
        <w:t>71</w:t>
      </w:r>
      <w:r>
        <w:rPr>
          <w:color w:val="auto"/>
        </w:rPr>
        <w:fldChar w:fldCharType="end"/>
      </w:r>
      <w:r>
        <w:rPr>
          <w:rFonts w:eastAsia="黑体"/>
          <w:color w:val="auto"/>
        </w:rPr>
        <w:fldChar w:fldCharType="end"/>
      </w:r>
    </w:p>
    <w:p w14:paraId="02DB57A1">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_Toc19561 </w:instrText>
      </w:r>
      <w:r>
        <w:rPr>
          <w:rFonts w:eastAsia="黑体"/>
          <w:color w:val="auto"/>
        </w:rPr>
        <w:fldChar w:fldCharType="separate"/>
      </w:r>
      <w:r>
        <w:rPr>
          <w:rFonts w:ascii="Times New Roman" w:hAnsi="Times New Roman" w:eastAsia="方正小标宋_GBK"/>
          <w:snapToGrid w:val="0"/>
          <w:color w:val="auto"/>
          <w:szCs w:val="38"/>
        </w:rPr>
        <w:t>建设项目污染物排放量汇总表</w:t>
      </w:r>
      <w:r>
        <w:rPr>
          <w:color w:val="auto"/>
        </w:rPr>
        <w:tab/>
      </w:r>
      <w:r>
        <w:rPr>
          <w:color w:val="auto"/>
        </w:rPr>
        <w:fldChar w:fldCharType="begin"/>
      </w:r>
      <w:r>
        <w:rPr>
          <w:color w:val="auto"/>
        </w:rPr>
        <w:instrText xml:space="preserve"> PAGEREF _Toc19561 \h </w:instrText>
      </w:r>
      <w:r>
        <w:rPr>
          <w:color w:val="auto"/>
        </w:rPr>
        <w:fldChar w:fldCharType="separate"/>
      </w:r>
      <w:r>
        <w:rPr>
          <w:color w:val="auto"/>
        </w:rPr>
        <w:t>72</w:t>
      </w:r>
      <w:r>
        <w:rPr>
          <w:color w:val="auto"/>
        </w:rPr>
        <w:fldChar w:fldCharType="end"/>
      </w:r>
      <w:r>
        <w:rPr>
          <w:rFonts w:eastAsia="黑体"/>
          <w:color w:val="auto"/>
        </w:rPr>
        <w:fldChar w:fldCharType="end"/>
      </w:r>
    </w:p>
    <w:p w14:paraId="76CB4338">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_Toc12609 </w:instrText>
      </w:r>
      <w:r>
        <w:rPr>
          <w:rFonts w:eastAsia="黑体"/>
          <w:color w:val="auto"/>
        </w:rPr>
        <w:fldChar w:fldCharType="separate"/>
      </w:r>
      <w:r>
        <w:rPr>
          <w:rFonts w:eastAsia="黑体"/>
          <w:color w:val="auto"/>
          <w:szCs w:val="28"/>
        </w:rPr>
        <w:t>附图1 项目地理位置图</w:t>
      </w:r>
      <w:r>
        <w:rPr>
          <w:color w:val="auto"/>
        </w:rPr>
        <w:tab/>
      </w:r>
      <w:r>
        <w:rPr>
          <w:color w:val="auto"/>
        </w:rPr>
        <w:fldChar w:fldCharType="begin"/>
      </w:r>
      <w:r>
        <w:rPr>
          <w:color w:val="auto"/>
        </w:rPr>
        <w:instrText xml:space="preserve"> PAGEREF _Toc12609 \h </w:instrText>
      </w:r>
      <w:r>
        <w:rPr>
          <w:color w:val="auto"/>
        </w:rPr>
        <w:fldChar w:fldCharType="separate"/>
      </w:r>
      <w:r>
        <w:rPr>
          <w:color w:val="auto"/>
        </w:rPr>
        <w:t>74</w:t>
      </w:r>
      <w:r>
        <w:rPr>
          <w:color w:val="auto"/>
        </w:rPr>
        <w:fldChar w:fldCharType="end"/>
      </w:r>
      <w:r>
        <w:rPr>
          <w:rFonts w:eastAsia="黑体"/>
          <w:color w:val="auto"/>
        </w:rPr>
        <w:fldChar w:fldCharType="end"/>
      </w:r>
    </w:p>
    <w:p w14:paraId="121C7B8D">
      <w:pPr>
        <w:pStyle w:val="27"/>
        <w:tabs>
          <w:tab w:val="right" w:leader="dot" w:pos="9637"/>
        </w:tabs>
        <w:rPr>
          <w:color w:val="auto"/>
        </w:rPr>
      </w:pPr>
      <w:r>
        <w:rPr>
          <w:rFonts w:eastAsia="黑体"/>
          <w:color w:val="auto"/>
        </w:rPr>
        <w:fldChar w:fldCharType="begin"/>
      </w:r>
      <w:r>
        <w:rPr>
          <w:rFonts w:eastAsia="黑体"/>
          <w:color w:val="auto"/>
        </w:rPr>
        <w:instrText xml:space="preserve"> HYPERLINK \l _Toc24911 </w:instrText>
      </w:r>
      <w:r>
        <w:rPr>
          <w:rFonts w:eastAsia="黑体"/>
          <w:color w:val="auto"/>
        </w:rPr>
        <w:fldChar w:fldCharType="separate"/>
      </w:r>
      <w:r>
        <w:rPr>
          <w:rFonts w:eastAsia="黑体"/>
          <w:color w:val="auto"/>
          <w:szCs w:val="28"/>
        </w:rPr>
        <w:t>附图</w:t>
      </w:r>
      <w:r>
        <w:rPr>
          <w:rFonts w:hint="eastAsia" w:eastAsia="黑体"/>
          <w:color w:val="auto"/>
          <w:szCs w:val="28"/>
        </w:rPr>
        <w:t>2</w:t>
      </w:r>
      <w:r>
        <w:rPr>
          <w:rFonts w:eastAsia="黑体"/>
          <w:color w:val="auto"/>
          <w:szCs w:val="28"/>
        </w:rPr>
        <w:t xml:space="preserve"> 项目</w:t>
      </w:r>
      <w:r>
        <w:rPr>
          <w:rFonts w:hint="eastAsia" w:eastAsia="黑体"/>
          <w:color w:val="auto"/>
          <w:szCs w:val="28"/>
        </w:rPr>
        <w:t>平面布置</w:t>
      </w:r>
      <w:r>
        <w:rPr>
          <w:rFonts w:eastAsia="黑体"/>
          <w:color w:val="auto"/>
          <w:szCs w:val="28"/>
        </w:rPr>
        <w:t>图</w:t>
      </w:r>
      <w:r>
        <w:rPr>
          <w:color w:val="auto"/>
        </w:rPr>
        <w:tab/>
      </w:r>
      <w:r>
        <w:rPr>
          <w:color w:val="auto"/>
        </w:rPr>
        <w:fldChar w:fldCharType="begin"/>
      </w:r>
      <w:r>
        <w:rPr>
          <w:color w:val="auto"/>
        </w:rPr>
        <w:instrText xml:space="preserve"> PAGEREF _Toc24911 \h </w:instrText>
      </w:r>
      <w:r>
        <w:rPr>
          <w:color w:val="auto"/>
        </w:rPr>
        <w:fldChar w:fldCharType="separate"/>
      </w:r>
      <w:r>
        <w:rPr>
          <w:color w:val="auto"/>
        </w:rPr>
        <w:t>75</w:t>
      </w:r>
      <w:r>
        <w:rPr>
          <w:color w:val="auto"/>
        </w:rPr>
        <w:fldChar w:fldCharType="end"/>
      </w:r>
      <w:r>
        <w:rPr>
          <w:rFonts w:eastAsia="黑体"/>
          <w:color w:val="auto"/>
        </w:rPr>
        <w:fldChar w:fldCharType="end"/>
      </w:r>
    </w:p>
    <w:p w14:paraId="7643E5F8">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_Toc14747 </w:instrText>
      </w:r>
      <w:r>
        <w:rPr>
          <w:rFonts w:eastAsia="黑体"/>
          <w:color w:val="auto"/>
        </w:rPr>
        <w:fldChar w:fldCharType="separate"/>
      </w:r>
      <w:r>
        <w:rPr>
          <w:rFonts w:eastAsia="黑体"/>
          <w:color w:val="auto"/>
          <w:szCs w:val="28"/>
        </w:rPr>
        <w:t>附图</w:t>
      </w:r>
      <w:r>
        <w:rPr>
          <w:rFonts w:hint="eastAsia" w:eastAsia="黑体"/>
          <w:color w:val="auto"/>
          <w:szCs w:val="28"/>
        </w:rPr>
        <w:t>3</w:t>
      </w:r>
      <w:r>
        <w:rPr>
          <w:rFonts w:eastAsia="黑体"/>
          <w:color w:val="auto"/>
          <w:szCs w:val="28"/>
        </w:rPr>
        <w:t xml:space="preserve"> 环境空气现状监测点位图（引用）</w:t>
      </w:r>
      <w:r>
        <w:rPr>
          <w:color w:val="auto"/>
        </w:rPr>
        <w:tab/>
      </w:r>
      <w:r>
        <w:rPr>
          <w:color w:val="auto"/>
        </w:rPr>
        <w:fldChar w:fldCharType="begin"/>
      </w:r>
      <w:r>
        <w:rPr>
          <w:color w:val="auto"/>
        </w:rPr>
        <w:instrText xml:space="preserve"> PAGEREF _Toc14747 \h </w:instrText>
      </w:r>
      <w:r>
        <w:rPr>
          <w:color w:val="auto"/>
        </w:rPr>
        <w:fldChar w:fldCharType="separate"/>
      </w:r>
      <w:r>
        <w:rPr>
          <w:color w:val="auto"/>
        </w:rPr>
        <w:t>76</w:t>
      </w:r>
      <w:r>
        <w:rPr>
          <w:color w:val="auto"/>
        </w:rPr>
        <w:fldChar w:fldCharType="end"/>
      </w:r>
      <w:r>
        <w:rPr>
          <w:rFonts w:eastAsia="黑体"/>
          <w:color w:val="auto"/>
        </w:rPr>
        <w:fldChar w:fldCharType="end"/>
      </w:r>
    </w:p>
    <w:p w14:paraId="74A5900C">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_Toc10948 </w:instrText>
      </w:r>
      <w:r>
        <w:rPr>
          <w:rFonts w:eastAsia="黑体"/>
          <w:color w:val="auto"/>
        </w:rPr>
        <w:fldChar w:fldCharType="separate"/>
      </w:r>
      <w:r>
        <w:rPr>
          <w:rFonts w:eastAsia="黑体"/>
          <w:color w:val="auto"/>
          <w:szCs w:val="28"/>
        </w:rPr>
        <w:t>附件1 营业执照</w:t>
      </w:r>
      <w:r>
        <w:rPr>
          <w:color w:val="auto"/>
        </w:rPr>
        <w:tab/>
      </w:r>
      <w:r>
        <w:rPr>
          <w:color w:val="auto"/>
        </w:rPr>
        <w:fldChar w:fldCharType="begin"/>
      </w:r>
      <w:r>
        <w:rPr>
          <w:color w:val="auto"/>
        </w:rPr>
        <w:instrText xml:space="preserve"> PAGEREF _Toc10948 \h </w:instrText>
      </w:r>
      <w:r>
        <w:rPr>
          <w:color w:val="auto"/>
        </w:rPr>
        <w:fldChar w:fldCharType="separate"/>
      </w:r>
      <w:r>
        <w:rPr>
          <w:color w:val="auto"/>
        </w:rPr>
        <w:t>77</w:t>
      </w:r>
      <w:r>
        <w:rPr>
          <w:color w:val="auto"/>
        </w:rPr>
        <w:fldChar w:fldCharType="end"/>
      </w:r>
      <w:r>
        <w:rPr>
          <w:rFonts w:eastAsia="黑体"/>
          <w:color w:val="auto"/>
        </w:rPr>
        <w:fldChar w:fldCharType="end"/>
      </w:r>
    </w:p>
    <w:p w14:paraId="09448AC9">
      <w:pPr>
        <w:pStyle w:val="27"/>
        <w:tabs>
          <w:tab w:val="right" w:leader="dot" w:pos="9637"/>
        </w:tabs>
        <w:rPr>
          <w:color w:val="auto"/>
        </w:rPr>
      </w:pPr>
      <w:r>
        <w:rPr>
          <w:rFonts w:eastAsia="黑体"/>
          <w:color w:val="auto"/>
        </w:rPr>
        <w:fldChar w:fldCharType="begin"/>
      </w:r>
      <w:r>
        <w:rPr>
          <w:rFonts w:eastAsia="黑体"/>
          <w:color w:val="auto"/>
        </w:rPr>
        <w:instrText xml:space="preserve"> HYPERLINK \l _Toc3790 </w:instrText>
      </w:r>
      <w:r>
        <w:rPr>
          <w:rFonts w:eastAsia="黑体"/>
          <w:color w:val="auto"/>
        </w:rPr>
        <w:fldChar w:fldCharType="separate"/>
      </w:r>
      <w:r>
        <w:rPr>
          <w:rFonts w:hint="eastAsia" w:eastAsia="黑体"/>
          <w:color w:val="auto"/>
          <w:szCs w:val="28"/>
        </w:rPr>
        <w:t>附件2 土地证</w:t>
      </w:r>
      <w:r>
        <w:rPr>
          <w:color w:val="auto"/>
        </w:rPr>
        <w:tab/>
      </w:r>
      <w:r>
        <w:rPr>
          <w:color w:val="auto"/>
        </w:rPr>
        <w:fldChar w:fldCharType="begin"/>
      </w:r>
      <w:r>
        <w:rPr>
          <w:color w:val="auto"/>
        </w:rPr>
        <w:instrText xml:space="preserve"> PAGEREF _Toc3790 \h </w:instrText>
      </w:r>
      <w:r>
        <w:rPr>
          <w:color w:val="auto"/>
        </w:rPr>
        <w:fldChar w:fldCharType="separate"/>
      </w:r>
      <w:r>
        <w:rPr>
          <w:color w:val="auto"/>
        </w:rPr>
        <w:t>78</w:t>
      </w:r>
      <w:r>
        <w:rPr>
          <w:color w:val="auto"/>
        </w:rPr>
        <w:fldChar w:fldCharType="end"/>
      </w:r>
      <w:r>
        <w:rPr>
          <w:rFonts w:eastAsia="黑体"/>
          <w:color w:val="auto"/>
        </w:rPr>
        <w:fldChar w:fldCharType="end"/>
      </w:r>
    </w:p>
    <w:p w14:paraId="44A005F7">
      <w:pPr>
        <w:pStyle w:val="27"/>
        <w:tabs>
          <w:tab w:val="right" w:leader="dot" w:pos="9637"/>
        </w:tabs>
        <w:rPr>
          <w:color w:val="auto"/>
        </w:rPr>
      </w:pPr>
      <w:r>
        <w:rPr>
          <w:rFonts w:eastAsia="黑体"/>
          <w:color w:val="auto"/>
        </w:rPr>
        <w:fldChar w:fldCharType="begin"/>
      </w:r>
      <w:r>
        <w:rPr>
          <w:rFonts w:eastAsia="黑体"/>
          <w:color w:val="auto"/>
        </w:rPr>
        <w:instrText xml:space="preserve"> HYPERLINK \l _Toc2829 </w:instrText>
      </w:r>
      <w:r>
        <w:rPr>
          <w:rFonts w:eastAsia="黑体"/>
          <w:color w:val="auto"/>
        </w:rPr>
        <w:fldChar w:fldCharType="separate"/>
      </w:r>
      <w:r>
        <w:rPr>
          <w:rFonts w:hint="eastAsia" w:eastAsia="黑体"/>
          <w:color w:val="auto"/>
          <w:szCs w:val="28"/>
        </w:rPr>
        <w:t>附件3 生物质成分分析报告</w:t>
      </w:r>
      <w:r>
        <w:rPr>
          <w:color w:val="auto"/>
        </w:rPr>
        <w:tab/>
      </w:r>
      <w:r>
        <w:rPr>
          <w:color w:val="auto"/>
        </w:rPr>
        <w:fldChar w:fldCharType="begin"/>
      </w:r>
      <w:r>
        <w:rPr>
          <w:color w:val="auto"/>
        </w:rPr>
        <w:instrText xml:space="preserve"> PAGEREF _Toc2829 \h </w:instrText>
      </w:r>
      <w:r>
        <w:rPr>
          <w:color w:val="auto"/>
        </w:rPr>
        <w:fldChar w:fldCharType="separate"/>
      </w:r>
      <w:r>
        <w:rPr>
          <w:color w:val="auto"/>
        </w:rPr>
        <w:t>79</w:t>
      </w:r>
      <w:r>
        <w:rPr>
          <w:color w:val="auto"/>
        </w:rPr>
        <w:fldChar w:fldCharType="end"/>
      </w:r>
      <w:r>
        <w:rPr>
          <w:rFonts w:eastAsia="黑体"/>
          <w:color w:val="auto"/>
        </w:rPr>
        <w:fldChar w:fldCharType="end"/>
      </w:r>
    </w:p>
    <w:p w14:paraId="2505C0DE">
      <w:pPr>
        <w:pStyle w:val="27"/>
        <w:tabs>
          <w:tab w:val="right" w:leader="dot" w:pos="9637"/>
        </w:tabs>
        <w:rPr>
          <w:color w:val="auto"/>
        </w:rPr>
      </w:pPr>
      <w:r>
        <w:rPr>
          <w:rFonts w:eastAsia="黑体"/>
          <w:color w:val="auto"/>
        </w:rPr>
        <w:fldChar w:fldCharType="begin"/>
      </w:r>
      <w:r>
        <w:rPr>
          <w:rFonts w:eastAsia="黑体"/>
          <w:color w:val="auto"/>
        </w:rPr>
        <w:instrText xml:space="preserve"> HYPERLINK \l _Toc28783 </w:instrText>
      </w:r>
      <w:r>
        <w:rPr>
          <w:rFonts w:eastAsia="黑体"/>
          <w:color w:val="auto"/>
        </w:rPr>
        <w:fldChar w:fldCharType="separate"/>
      </w:r>
      <w:r>
        <w:rPr>
          <w:rFonts w:eastAsia="黑体"/>
          <w:color w:val="auto"/>
          <w:szCs w:val="28"/>
        </w:rPr>
        <w:t>附件</w:t>
      </w:r>
      <w:r>
        <w:rPr>
          <w:rFonts w:hint="eastAsia" w:eastAsia="黑体"/>
          <w:color w:val="auto"/>
          <w:szCs w:val="28"/>
        </w:rPr>
        <w:t>4</w:t>
      </w:r>
      <w:r>
        <w:rPr>
          <w:rFonts w:eastAsia="黑体"/>
          <w:color w:val="auto"/>
          <w:szCs w:val="28"/>
        </w:rPr>
        <w:t xml:space="preserve"> 监测报告</w:t>
      </w:r>
      <w:r>
        <w:rPr>
          <w:rFonts w:hint="eastAsia" w:eastAsia="黑体"/>
          <w:color w:val="auto"/>
          <w:szCs w:val="28"/>
        </w:rPr>
        <w:t>（引用）</w:t>
      </w:r>
      <w:r>
        <w:rPr>
          <w:color w:val="auto"/>
        </w:rPr>
        <w:tab/>
      </w:r>
      <w:r>
        <w:rPr>
          <w:color w:val="auto"/>
        </w:rPr>
        <w:fldChar w:fldCharType="begin"/>
      </w:r>
      <w:r>
        <w:rPr>
          <w:color w:val="auto"/>
        </w:rPr>
        <w:instrText xml:space="preserve"> PAGEREF _Toc28783 \h </w:instrText>
      </w:r>
      <w:r>
        <w:rPr>
          <w:color w:val="auto"/>
        </w:rPr>
        <w:fldChar w:fldCharType="separate"/>
      </w:r>
      <w:r>
        <w:rPr>
          <w:color w:val="auto"/>
        </w:rPr>
        <w:t>80</w:t>
      </w:r>
      <w:r>
        <w:rPr>
          <w:color w:val="auto"/>
        </w:rPr>
        <w:fldChar w:fldCharType="end"/>
      </w:r>
      <w:r>
        <w:rPr>
          <w:rFonts w:eastAsia="黑体"/>
          <w:color w:val="auto"/>
        </w:rPr>
        <w:fldChar w:fldCharType="end"/>
      </w:r>
    </w:p>
    <w:p w14:paraId="3AC89191">
      <w:pPr>
        <w:pStyle w:val="27"/>
        <w:tabs>
          <w:tab w:val="right" w:leader="dot" w:pos="9637"/>
        </w:tabs>
        <w:rPr>
          <w:color w:val="auto"/>
        </w:rPr>
      </w:pPr>
      <w:r>
        <w:rPr>
          <w:rFonts w:eastAsia="黑体"/>
          <w:color w:val="auto"/>
        </w:rPr>
        <w:fldChar w:fldCharType="begin"/>
      </w:r>
      <w:r>
        <w:rPr>
          <w:rFonts w:eastAsia="黑体"/>
          <w:color w:val="auto"/>
        </w:rPr>
        <w:instrText xml:space="preserve"> HYPERLINK \l _Toc30812 </w:instrText>
      </w:r>
      <w:r>
        <w:rPr>
          <w:rFonts w:eastAsia="黑体"/>
          <w:color w:val="auto"/>
        </w:rPr>
        <w:fldChar w:fldCharType="separate"/>
      </w:r>
      <w:r>
        <w:rPr>
          <w:rFonts w:eastAsia="黑体"/>
          <w:color w:val="auto"/>
          <w:szCs w:val="28"/>
        </w:rPr>
        <w:t>附件</w:t>
      </w:r>
      <w:r>
        <w:rPr>
          <w:rFonts w:hint="eastAsia" w:eastAsia="黑体"/>
          <w:color w:val="auto"/>
          <w:szCs w:val="28"/>
          <w:lang w:val="en-US" w:eastAsia="zh-CN"/>
        </w:rPr>
        <w:t>5</w:t>
      </w:r>
      <w:r>
        <w:rPr>
          <w:rFonts w:eastAsia="黑体"/>
          <w:color w:val="auto"/>
          <w:szCs w:val="28"/>
        </w:rPr>
        <w:t xml:space="preserve"> </w:t>
      </w:r>
      <w:r>
        <w:rPr>
          <w:rFonts w:hint="eastAsia" w:eastAsia="黑体"/>
          <w:color w:val="auto"/>
          <w:szCs w:val="28"/>
          <w:lang w:eastAsia="zh-CN"/>
        </w:rPr>
        <w:t>备案文件</w:t>
      </w:r>
      <w:r>
        <w:rPr>
          <w:color w:val="auto"/>
        </w:rPr>
        <w:tab/>
      </w:r>
      <w:r>
        <w:rPr>
          <w:color w:val="auto"/>
        </w:rPr>
        <w:fldChar w:fldCharType="begin"/>
      </w:r>
      <w:r>
        <w:rPr>
          <w:color w:val="auto"/>
        </w:rPr>
        <w:instrText xml:space="preserve"> PAGEREF _Toc30812 \h </w:instrText>
      </w:r>
      <w:r>
        <w:rPr>
          <w:color w:val="auto"/>
        </w:rPr>
        <w:fldChar w:fldCharType="separate"/>
      </w:r>
      <w:r>
        <w:rPr>
          <w:color w:val="auto"/>
        </w:rPr>
        <w:t>84</w:t>
      </w:r>
      <w:r>
        <w:rPr>
          <w:color w:val="auto"/>
        </w:rPr>
        <w:fldChar w:fldCharType="end"/>
      </w:r>
      <w:r>
        <w:rPr>
          <w:rFonts w:eastAsia="黑体"/>
          <w:color w:val="auto"/>
        </w:rPr>
        <w:fldChar w:fldCharType="end"/>
      </w:r>
    </w:p>
    <w:p w14:paraId="3F8A66DF">
      <w:pPr>
        <w:pStyle w:val="27"/>
        <w:tabs>
          <w:tab w:val="right" w:leader="dot" w:pos="9637"/>
        </w:tabs>
        <w:rPr>
          <w:color w:val="auto"/>
        </w:rPr>
      </w:pPr>
      <w:r>
        <w:rPr>
          <w:rFonts w:eastAsia="黑体"/>
          <w:color w:val="auto"/>
        </w:rPr>
        <w:fldChar w:fldCharType="begin"/>
      </w:r>
      <w:r>
        <w:rPr>
          <w:rFonts w:eastAsia="黑体"/>
          <w:color w:val="auto"/>
        </w:rPr>
        <w:instrText xml:space="preserve"> HYPERLINK \l _Toc9483 </w:instrText>
      </w:r>
      <w:r>
        <w:rPr>
          <w:rFonts w:eastAsia="黑体"/>
          <w:color w:val="auto"/>
        </w:rPr>
        <w:fldChar w:fldCharType="separate"/>
      </w:r>
      <w:r>
        <w:rPr>
          <w:rFonts w:ascii="Times New Roman" w:hAnsi="Times New Roman" w:eastAsia="黑体" w:cs="Times New Roman"/>
          <w:color w:val="auto"/>
          <w:szCs w:val="28"/>
          <w:highlight w:val="none"/>
        </w:rPr>
        <w:t>附件</w:t>
      </w:r>
      <w:r>
        <w:rPr>
          <w:rFonts w:hint="eastAsia" w:eastAsia="黑体" w:cs="Times New Roman"/>
          <w:color w:val="auto"/>
          <w:szCs w:val="28"/>
          <w:highlight w:val="none"/>
          <w:lang w:val="en-US" w:eastAsia="zh-CN"/>
        </w:rPr>
        <w:t>6</w:t>
      </w:r>
      <w:r>
        <w:rPr>
          <w:rFonts w:ascii="Times New Roman" w:hAnsi="Times New Roman" w:eastAsia="黑体" w:cs="Times New Roman"/>
          <w:color w:val="auto"/>
          <w:szCs w:val="28"/>
          <w:highlight w:val="none"/>
        </w:rPr>
        <w:t xml:space="preserve"> 生态环境分区管控分析报告</w:t>
      </w:r>
      <w:r>
        <w:rPr>
          <w:color w:val="auto"/>
        </w:rPr>
        <w:tab/>
      </w:r>
      <w:r>
        <w:rPr>
          <w:color w:val="auto"/>
        </w:rPr>
        <w:fldChar w:fldCharType="begin"/>
      </w:r>
      <w:r>
        <w:rPr>
          <w:color w:val="auto"/>
        </w:rPr>
        <w:instrText xml:space="preserve"> PAGEREF _Toc9483 \h </w:instrText>
      </w:r>
      <w:r>
        <w:rPr>
          <w:color w:val="auto"/>
        </w:rPr>
        <w:fldChar w:fldCharType="separate"/>
      </w:r>
      <w:r>
        <w:rPr>
          <w:color w:val="auto"/>
        </w:rPr>
        <w:t>85</w:t>
      </w:r>
      <w:r>
        <w:rPr>
          <w:color w:val="auto"/>
        </w:rPr>
        <w:fldChar w:fldCharType="end"/>
      </w:r>
      <w:r>
        <w:rPr>
          <w:rFonts w:eastAsia="黑体"/>
          <w:color w:val="auto"/>
        </w:rPr>
        <w:fldChar w:fldCharType="end"/>
      </w:r>
    </w:p>
    <w:p w14:paraId="62876E04">
      <w:pPr>
        <w:pStyle w:val="27"/>
        <w:tabs>
          <w:tab w:val="right" w:leader="dot" w:pos="9637"/>
        </w:tabs>
        <w:rPr>
          <w:color w:val="auto"/>
        </w:rPr>
      </w:pPr>
      <w:r>
        <w:rPr>
          <w:rFonts w:eastAsia="黑体"/>
          <w:color w:val="auto"/>
        </w:rPr>
        <w:fldChar w:fldCharType="begin"/>
      </w:r>
      <w:r>
        <w:rPr>
          <w:rFonts w:eastAsia="黑体"/>
          <w:color w:val="auto"/>
        </w:rPr>
        <w:instrText xml:space="preserve"> HYPERLINK \l _Toc19340 </w:instrText>
      </w:r>
      <w:r>
        <w:rPr>
          <w:rFonts w:eastAsia="黑体"/>
          <w:color w:val="auto"/>
        </w:rPr>
        <w:fldChar w:fldCharType="separate"/>
      </w:r>
      <w:r>
        <w:rPr>
          <w:rFonts w:eastAsia="黑体"/>
          <w:color w:val="auto"/>
          <w:szCs w:val="28"/>
        </w:rPr>
        <w:t>附件</w:t>
      </w:r>
      <w:r>
        <w:rPr>
          <w:rFonts w:hint="eastAsia" w:eastAsia="黑体"/>
          <w:color w:val="auto"/>
          <w:szCs w:val="28"/>
          <w:lang w:val="en-US" w:eastAsia="zh-CN"/>
        </w:rPr>
        <w:t>7</w:t>
      </w:r>
      <w:r>
        <w:rPr>
          <w:rFonts w:eastAsia="黑体"/>
          <w:color w:val="auto"/>
          <w:szCs w:val="28"/>
        </w:rPr>
        <w:t xml:space="preserve"> </w:t>
      </w:r>
      <w:r>
        <w:rPr>
          <w:rFonts w:hint="eastAsia" w:eastAsia="黑体"/>
          <w:color w:val="auto"/>
          <w:szCs w:val="28"/>
          <w:lang w:val="en-US" w:eastAsia="zh-CN"/>
        </w:rPr>
        <w:t>原有环评批复</w:t>
      </w:r>
      <w:r>
        <w:rPr>
          <w:color w:val="auto"/>
        </w:rPr>
        <w:tab/>
      </w:r>
      <w:r>
        <w:rPr>
          <w:color w:val="auto"/>
        </w:rPr>
        <w:fldChar w:fldCharType="begin"/>
      </w:r>
      <w:r>
        <w:rPr>
          <w:color w:val="auto"/>
        </w:rPr>
        <w:instrText xml:space="preserve"> PAGEREF _Toc19340 \h </w:instrText>
      </w:r>
      <w:r>
        <w:rPr>
          <w:color w:val="auto"/>
        </w:rPr>
        <w:fldChar w:fldCharType="separate"/>
      </w:r>
      <w:r>
        <w:rPr>
          <w:color w:val="auto"/>
        </w:rPr>
        <w:t>98</w:t>
      </w:r>
      <w:r>
        <w:rPr>
          <w:color w:val="auto"/>
        </w:rPr>
        <w:fldChar w:fldCharType="end"/>
      </w:r>
      <w:r>
        <w:rPr>
          <w:rFonts w:eastAsia="黑体"/>
          <w:color w:val="auto"/>
        </w:rPr>
        <w:fldChar w:fldCharType="end"/>
      </w:r>
    </w:p>
    <w:p w14:paraId="6F2CA5FC">
      <w:pPr>
        <w:pStyle w:val="27"/>
        <w:tabs>
          <w:tab w:val="right" w:leader="dot" w:pos="9637"/>
        </w:tabs>
        <w:rPr>
          <w:color w:val="auto"/>
        </w:rPr>
      </w:pPr>
      <w:r>
        <w:rPr>
          <w:rFonts w:eastAsia="黑体"/>
          <w:color w:val="auto"/>
        </w:rPr>
        <w:fldChar w:fldCharType="begin"/>
      </w:r>
      <w:r>
        <w:rPr>
          <w:rFonts w:eastAsia="黑体"/>
          <w:color w:val="auto"/>
        </w:rPr>
        <w:instrText xml:space="preserve"> HYPERLINK \l _Toc9357 </w:instrText>
      </w:r>
      <w:r>
        <w:rPr>
          <w:rFonts w:eastAsia="黑体"/>
          <w:color w:val="auto"/>
        </w:rPr>
        <w:fldChar w:fldCharType="separate"/>
      </w:r>
      <w:r>
        <w:rPr>
          <w:rFonts w:eastAsia="黑体"/>
          <w:color w:val="auto"/>
          <w:szCs w:val="28"/>
        </w:rPr>
        <w:t>附件</w:t>
      </w:r>
      <w:r>
        <w:rPr>
          <w:rFonts w:hint="eastAsia" w:eastAsia="黑体"/>
          <w:color w:val="auto"/>
          <w:szCs w:val="28"/>
          <w:lang w:val="en-US" w:eastAsia="zh-CN"/>
        </w:rPr>
        <w:t>8</w:t>
      </w:r>
      <w:r>
        <w:rPr>
          <w:rFonts w:eastAsia="黑体"/>
          <w:color w:val="auto"/>
          <w:szCs w:val="28"/>
        </w:rPr>
        <w:t xml:space="preserve"> 环境风险专项评价</w:t>
      </w:r>
      <w:r>
        <w:rPr>
          <w:color w:val="auto"/>
        </w:rPr>
        <w:tab/>
      </w:r>
      <w:r>
        <w:rPr>
          <w:color w:val="auto"/>
        </w:rPr>
        <w:fldChar w:fldCharType="begin"/>
      </w:r>
      <w:r>
        <w:rPr>
          <w:color w:val="auto"/>
        </w:rPr>
        <w:instrText xml:space="preserve"> PAGEREF _Toc9357 \h </w:instrText>
      </w:r>
      <w:r>
        <w:rPr>
          <w:color w:val="auto"/>
        </w:rPr>
        <w:fldChar w:fldCharType="separate"/>
      </w:r>
      <w:r>
        <w:rPr>
          <w:color w:val="auto"/>
        </w:rPr>
        <w:t>100</w:t>
      </w:r>
      <w:r>
        <w:rPr>
          <w:color w:val="auto"/>
        </w:rPr>
        <w:fldChar w:fldCharType="end"/>
      </w:r>
      <w:r>
        <w:rPr>
          <w:rFonts w:eastAsia="黑体"/>
          <w:color w:val="auto"/>
        </w:rPr>
        <w:fldChar w:fldCharType="end"/>
      </w:r>
    </w:p>
    <w:p w14:paraId="7BA1E66A">
      <w:pPr>
        <w:spacing w:line="360" w:lineRule="auto"/>
        <w:rPr>
          <w:color w:val="auto"/>
          <w:sz w:val="28"/>
          <w:szCs w:val="28"/>
        </w:rPr>
      </w:pPr>
      <w:r>
        <w:rPr>
          <w:rFonts w:eastAsia="黑体"/>
          <w:color w:val="auto"/>
        </w:rPr>
        <w:fldChar w:fldCharType="end"/>
      </w:r>
    </w:p>
    <w:p w14:paraId="0E604B6A">
      <w:pPr>
        <w:adjustRightInd w:val="0"/>
        <w:snapToGrid w:val="0"/>
        <w:spacing w:line="500" w:lineRule="exact"/>
        <w:rPr>
          <w:color w:val="auto"/>
          <w:sz w:val="28"/>
          <w:szCs w:val="28"/>
        </w:rPr>
      </w:pPr>
    </w:p>
    <w:p w14:paraId="78D26FA8">
      <w:pPr>
        <w:adjustRightInd w:val="0"/>
        <w:snapToGrid w:val="0"/>
        <w:spacing w:line="500" w:lineRule="exact"/>
        <w:rPr>
          <w:color w:val="auto"/>
          <w:sz w:val="28"/>
          <w:szCs w:val="28"/>
        </w:rPr>
      </w:pPr>
    </w:p>
    <w:p w14:paraId="328FA98B">
      <w:pPr>
        <w:adjustRightInd w:val="0"/>
        <w:snapToGrid w:val="0"/>
        <w:spacing w:line="288" w:lineRule="auto"/>
        <w:ind w:firstLine="1040"/>
        <w:rPr>
          <w:rFonts w:eastAsia="仿宋_GB2312"/>
          <w:color w:val="auto"/>
          <w:sz w:val="36"/>
          <w:szCs w:val="36"/>
        </w:rPr>
        <w:sectPr>
          <w:footerReference r:id="rId3" w:type="default"/>
          <w:footerReference r:id="rId4" w:type="even"/>
          <w:pgSz w:w="11905" w:h="16838"/>
          <w:pgMar w:top="1134" w:right="1134" w:bottom="1134" w:left="1134" w:header="851" w:footer="1077" w:gutter="0"/>
          <w:pgBorders>
            <w:top w:val="none" w:sz="0" w:space="0"/>
            <w:left w:val="none" w:sz="0" w:space="0"/>
            <w:bottom w:val="none" w:sz="0" w:space="0"/>
            <w:right w:val="none" w:sz="0" w:space="0"/>
          </w:pgBorders>
          <w:pgNumType w:start="3"/>
          <w:cols w:space="720" w:num="1"/>
          <w:docGrid w:type="linesAndChars" w:linePitch="323" w:charSpace="0"/>
        </w:sectPr>
      </w:pPr>
    </w:p>
    <w:p w14:paraId="31D1ACBE">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bookmarkStart w:id="5" w:name="_Toc16912"/>
      <w:bookmarkStart w:id="6" w:name="_Toc15214"/>
      <w:r>
        <w:rPr>
          <w:rFonts w:ascii="Times New Roman" w:hAnsi="Times New Roman" w:eastAsia="黑体"/>
          <w:snapToGrid w:val="0"/>
          <w:color w:val="auto"/>
          <w:sz w:val="30"/>
          <w:szCs w:val="30"/>
        </w:rPr>
        <w:t>一、建设项目基本情况</w:t>
      </w:r>
      <w:bookmarkEnd w:id="5"/>
      <w:bookmarkEnd w:id="6"/>
    </w:p>
    <w:tbl>
      <w:tblPr>
        <w:tblStyle w:val="38"/>
        <w:tblW w:w="49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97"/>
        <w:gridCol w:w="3062"/>
        <w:gridCol w:w="2270"/>
        <w:gridCol w:w="3583"/>
      </w:tblGrid>
      <w:tr w14:paraId="53A22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4CC358B4">
            <w:pPr>
              <w:adjustRightInd w:val="0"/>
              <w:snapToGrid w:val="0"/>
              <w:jc w:val="center"/>
              <w:rPr>
                <w:color w:val="auto"/>
                <w:sz w:val="24"/>
              </w:rPr>
            </w:pPr>
            <w:r>
              <w:rPr>
                <w:color w:val="auto"/>
                <w:sz w:val="24"/>
              </w:rPr>
              <w:t>建设项目名称</w:t>
            </w:r>
          </w:p>
        </w:tc>
        <w:tc>
          <w:tcPr>
            <w:tcW w:w="4637" w:type="pct"/>
            <w:gridSpan w:val="3"/>
            <w:vAlign w:val="center"/>
          </w:tcPr>
          <w:p w14:paraId="207FDA03">
            <w:pPr>
              <w:adjustRightInd w:val="0"/>
              <w:snapToGrid w:val="0"/>
              <w:jc w:val="center"/>
              <w:rPr>
                <w:rFonts w:hint="default" w:eastAsia="宋体"/>
                <w:color w:val="auto"/>
                <w:sz w:val="24"/>
                <w:lang w:val="en-US" w:eastAsia="zh-CN"/>
              </w:rPr>
            </w:pPr>
            <w:r>
              <w:rPr>
                <w:rFonts w:hint="eastAsia"/>
                <w:color w:val="auto"/>
                <w:sz w:val="24"/>
                <w:lang w:eastAsia="zh-CN"/>
              </w:rPr>
              <w:t>黑龙江宏昌生物科技有限公司日加工500吨大豆（米糠）双生产线建设项目（重新报批）</w:t>
            </w:r>
          </w:p>
        </w:tc>
      </w:tr>
      <w:tr w14:paraId="0D0F53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362" w:type="pct"/>
            <w:tcMar>
              <w:top w:w="16" w:type="dxa"/>
              <w:left w:w="16" w:type="dxa"/>
              <w:right w:w="16" w:type="dxa"/>
            </w:tcMar>
            <w:vAlign w:val="center"/>
          </w:tcPr>
          <w:p w14:paraId="4431E4CA">
            <w:pPr>
              <w:adjustRightInd w:val="0"/>
              <w:snapToGrid w:val="0"/>
              <w:jc w:val="center"/>
              <w:rPr>
                <w:color w:val="auto"/>
                <w:sz w:val="24"/>
              </w:rPr>
            </w:pPr>
            <w:r>
              <w:rPr>
                <w:color w:val="auto"/>
                <w:sz w:val="24"/>
              </w:rPr>
              <w:t>项目代码</w:t>
            </w:r>
          </w:p>
        </w:tc>
        <w:tc>
          <w:tcPr>
            <w:tcW w:w="4637" w:type="pct"/>
            <w:gridSpan w:val="3"/>
            <w:vAlign w:val="center"/>
          </w:tcPr>
          <w:p w14:paraId="6CA8E6AB">
            <w:pPr>
              <w:adjustRightInd w:val="0"/>
              <w:snapToGrid w:val="0"/>
              <w:jc w:val="center"/>
              <w:rPr>
                <w:color w:val="auto"/>
                <w:sz w:val="24"/>
              </w:rPr>
            </w:pPr>
            <w:r>
              <w:rPr>
                <w:rFonts w:hint="eastAsia"/>
                <w:color w:val="auto"/>
                <w:sz w:val="24"/>
              </w:rPr>
              <w:t>2301-230822-04-02-731760</w:t>
            </w:r>
          </w:p>
        </w:tc>
      </w:tr>
      <w:tr w14:paraId="11CAB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2C4A4B8B">
            <w:pPr>
              <w:adjustRightInd w:val="0"/>
              <w:snapToGrid w:val="0"/>
              <w:jc w:val="center"/>
              <w:rPr>
                <w:color w:val="auto"/>
                <w:sz w:val="24"/>
              </w:rPr>
            </w:pPr>
            <w:r>
              <w:rPr>
                <w:color w:val="auto"/>
                <w:sz w:val="24"/>
              </w:rPr>
              <w:t>建设单位联系人</w:t>
            </w:r>
          </w:p>
        </w:tc>
        <w:tc>
          <w:tcPr>
            <w:tcW w:w="1592" w:type="pct"/>
            <w:vAlign w:val="center"/>
          </w:tcPr>
          <w:p w14:paraId="03D46B3F">
            <w:pPr>
              <w:adjustRightInd w:val="0"/>
              <w:snapToGrid w:val="0"/>
              <w:jc w:val="center"/>
              <w:rPr>
                <w:color w:val="auto"/>
                <w:sz w:val="24"/>
              </w:rPr>
            </w:pPr>
            <w:r>
              <w:rPr>
                <w:rFonts w:hint="eastAsia"/>
                <w:color w:val="auto"/>
                <w:sz w:val="24"/>
              </w:rPr>
              <w:t>张靖坤</w:t>
            </w:r>
          </w:p>
        </w:tc>
        <w:tc>
          <w:tcPr>
            <w:tcW w:w="1180" w:type="pct"/>
            <w:vAlign w:val="center"/>
          </w:tcPr>
          <w:p w14:paraId="5AEDFED8">
            <w:pPr>
              <w:adjustRightInd w:val="0"/>
              <w:snapToGrid w:val="0"/>
              <w:jc w:val="center"/>
              <w:rPr>
                <w:color w:val="auto"/>
                <w:sz w:val="24"/>
              </w:rPr>
            </w:pPr>
            <w:r>
              <w:rPr>
                <w:color w:val="auto"/>
                <w:sz w:val="24"/>
              </w:rPr>
              <w:t>联系方式</w:t>
            </w:r>
          </w:p>
        </w:tc>
        <w:tc>
          <w:tcPr>
            <w:tcW w:w="1863" w:type="pct"/>
            <w:vAlign w:val="center"/>
          </w:tcPr>
          <w:p w14:paraId="0EAE67F6">
            <w:pPr>
              <w:adjustRightInd w:val="0"/>
              <w:snapToGrid w:val="0"/>
              <w:jc w:val="center"/>
              <w:rPr>
                <w:color w:val="auto"/>
                <w:sz w:val="24"/>
              </w:rPr>
            </w:pPr>
            <w:r>
              <w:rPr>
                <w:rFonts w:hint="eastAsia"/>
                <w:color w:val="auto"/>
                <w:sz w:val="24"/>
              </w:rPr>
              <w:t>18045463999</w:t>
            </w:r>
          </w:p>
        </w:tc>
      </w:tr>
      <w:tr w14:paraId="1715CA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1EF06E75">
            <w:pPr>
              <w:adjustRightInd w:val="0"/>
              <w:snapToGrid w:val="0"/>
              <w:jc w:val="center"/>
              <w:rPr>
                <w:color w:val="auto"/>
                <w:sz w:val="24"/>
              </w:rPr>
            </w:pPr>
            <w:r>
              <w:rPr>
                <w:color w:val="auto"/>
                <w:sz w:val="24"/>
              </w:rPr>
              <w:t>建设地点</w:t>
            </w:r>
          </w:p>
        </w:tc>
        <w:tc>
          <w:tcPr>
            <w:tcW w:w="4637" w:type="pct"/>
            <w:gridSpan w:val="3"/>
            <w:vAlign w:val="center"/>
          </w:tcPr>
          <w:p w14:paraId="1E76BBC2">
            <w:pPr>
              <w:adjustRightInd w:val="0"/>
              <w:snapToGrid w:val="0"/>
              <w:jc w:val="center"/>
              <w:rPr>
                <w:color w:val="auto"/>
                <w:sz w:val="24"/>
              </w:rPr>
            </w:pPr>
            <w:r>
              <w:rPr>
                <w:rFonts w:hint="eastAsia"/>
                <w:color w:val="auto"/>
                <w:sz w:val="24"/>
              </w:rPr>
              <w:t>佳木斯市桦南县双果路与龙兴街交叉口西南侧</w:t>
            </w:r>
          </w:p>
        </w:tc>
      </w:tr>
      <w:tr w14:paraId="0956C8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6E57B4F7">
            <w:pPr>
              <w:adjustRightInd w:val="0"/>
              <w:snapToGrid w:val="0"/>
              <w:jc w:val="center"/>
              <w:rPr>
                <w:color w:val="auto"/>
                <w:sz w:val="24"/>
              </w:rPr>
            </w:pPr>
            <w:r>
              <w:rPr>
                <w:color w:val="auto"/>
                <w:sz w:val="24"/>
              </w:rPr>
              <w:t>地理坐标</w:t>
            </w:r>
          </w:p>
        </w:tc>
        <w:tc>
          <w:tcPr>
            <w:tcW w:w="4637" w:type="pct"/>
            <w:gridSpan w:val="3"/>
            <w:vAlign w:val="center"/>
          </w:tcPr>
          <w:p w14:paraId="1BDF3DD8">
            <w:pPr>
              <w:jc w:val="center"/>
              <w:rPr>
                <w:color w:val="auto"/>
                <w:sz w:val="24"/>
              </w:rPr>
            </w:pPr>
            <w:r>
              <w:rPr>
                <w:color w:val="auto"/>
                <w:sz w:val="24"/>
              </w:rPr>
              <w:t>（</w:t>
            </w:r>
            <w:r>
              <w:rPr>
                <w:rFonts w:hint="eastAsia"/>
                <w:color w:val="auto"/>
                <w:sz w:val="24"/>
              </w:rPr>
              <w:t>130</w:t>
            </w:r>
            <w:r>
              <w:rPr>
                <w:color w:val="auto"/>
                <w:sz w:val="24"/>
              </w:rPr>
              <w:t>度</w:t>
            </w:r>
            <w:r>
              <w:rPr>
                <w:rFonts w:hint="eastAsia"/>
                <w:color w:val="auto"/>
                <w:sz w:val="24"/>
              </w:rPr>
              <w:t>33</w:t>
            </w:r>
            <w:r>
              <w:rPr>
                <w:color w:val="auto"/>
                <w:sz w:val="24"/>
              </w:rPr>
              <w:t>分</w:t>
            </w:r>
            <w:r>
              <w:rPr>
                <w:rFonts w:hint="eastAsia"/>
                <w:color w:val="auto"/>
                <w:sz w:val="24"/>
              </w:rPr>
              <w:t>33.160</w:t>
            </w:r>
            <w:r>
              <w:rPr>
                <w:color w:val="auto"/>
                <w:sz w:val="24"/>
              </w:rPr>
              <w:t>秒，4</w:t>
            </w:r>
            <w:r>
              <w:rPr>
                <w:rFonts w:hint="eastAsia"/>
                <w:color w:val="auto"/>
                <w:sz w:val="24"/>
              </w:rPr>
              <w:t>6</w:t>
            </w:r>
            <w:r>
              <w:rPr>
                <w:color w:val="auto"/>
                <w:sz w:val="24"/>
              </w:rPr>
              <w:t>度</w:t>
            </w:r>
            <w:r>
              <w:rPr>
                <w:rFonts w:hint="eastAsia"/>
                <w:color w:val="auto"/>
                <w:sz w:val="24"/>
              </w:rPr>
              <w:t>16</w:t>
            </w:r>
            <w:r>
              <w:rPr>
                <w:color w:val="auto"/>
                <w:sz w:val="24"/>
              </w:rPr>
              <w:t>分</w:t>
            </w:r>
            <w:r>
              <w:rPr>
                <w:rFonts w:hint="eastAsia"/>
                <w:color w:val="auto"/>
                <w:sz w:val="24"/>
              </w:rPr>
              <w:t>07.344</w:t>
            </w:r>
            <w:r>
              <w:rPr>
                <w:color w:val="auto"/>
                <w:sz w:val="24"/>
              </w:rPr>
              <w:t>秒）</w:t>
            </w:r>
          </w:p>
        </w:tc>
      </w:tr>
      <w:tr w14:paraId="4F88DE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362" w:type="pct"/>
            <w:tcMar>
              <w:top w:w="16" w:type="dxa"/>
              <w:left w:w="16" w:type="dxa"/>
              <w:right w:w="16" w:type="dxa"/>
            </w:tcMar>
            <w:vAlign w:val="center"/>
          </w:tcPr>
          <w:p w14:paraId="75FB15DF">
            <w:pPr>
              <w:adjustRightInd w:val="0"/>
              <w:snapToGrid w:val="0"/>
              <w:jc w:val="center"/>
              <w:rPr>
                <w:color w:val="auto"/>
                <w:sz w:val="24"/>
              </w:rPr>
            </w:pPr>
            <w:r>
              <w:rPr>
                <w:color w:val="auto"/>
                <w:sz w:val="24"/>
              </w:rPr>
              <w:t>国民经济</w:t>
            </w:r>
          </w:p>
          <w:p w14:paraId="2FE77350">
            <w:pPr>
              <w:adjustRightInd w:val="0"/>
              <w:snapToGrid w:val="0"/>
              <w:jc w:val="center"/>
              <w:rPr>
                <w:color w:val="auto"/>
                <w:sz w:val="24"/>
              </w:rPr>
            </w:pPr>
            <w:r>
              <w:rPr>
                <w:color w:val="auto"/>
                <w:sz w:val="24"/>
              </w:rPr>
              <w:t>行业类别</w:t>
            </w:r>
          </w:p>
        </w:tc>
        <w:tc>
          <w:tcPr>
            <w:tcW w:w="1592" w:type="pct"/>
            <w:vAlign w:val="center"/>
          </w:tcPr>
          <w:p w14:paraId="4EDA5439">
            <w:pPr>
              <w:adjustRightInd w:val="0"/>
              <w:snapToGrid w:val="0"/>
              <w:jc w:val="center"/>
              <w:rPr>
                <w:color w:val="auto"/>
                <w:sz w:val="24"/>
              </w:rPr>
            </w:pPr>
            <w:r>
              <w:rPr>
                <w:color w:val="auto"/>
                <w:sz w:val="24"/>
              </w:rPr>
              <w:t>C1331 食用植物油加工</w:t>
            </w:r>
          </w:p>
          <w:p w14:paraId="535A43B3">
            <w:pPr>
              <w:bidi w:val="0"/>
              <w:rPr>
                <w:color w:val="auto"/>
              </w:rPr>
            </w:pPr>
            <w:r>
              <w:rPr>
                <w:color w:val="auto"/>
                <w:lang w:val="en-US" w:eastAsia="zh-CN"/>
              </w:rPr>
              <w:t>D4430热力生产和供应</w:t>
            </w:r>
          </w:p>
        </w:tc>
        <w:tc>
          <w:tcPr>
            <w:tcW w:w="1180" w:type="pct"/>
            <w:vAlign w:val="center"/>
          </w:tcPr>
          <w:p w14:paraId="3F741127">
            <w:pPr>
              <w:adjustRightInd w:val="0"/>
              <w:snapToGrid w:val="0"/>
              <w:jc w:val="center"/>
              <w:rPr>
                <w:color w:val="auto"/>
                <w:sz w:val="24"/>
              </w:rPr>
            </w:pPr>
            <w:bookmarkStart w:id="7" w:name="_Hlk49843745"/>
            <w:r>
              <w:rPr>
                <w:color w:val="auto"/>
                <w:sz w:val="24"/>
              </w:rPr>
              <w:t>建设项目</w:t>
            </w:r>
          </w:p>
          <w:p w14:paraId="5D83109A">
            <w:pPr>
              <w:adjustRightInd w:val="0"/>
              <w:snapToGrid w:val="0"/>
              <w:jc w:val="center"/>
              <w:rPr>
                <w:color w:val="auto"/>
                <w:sz w:val="24"/>
              </w:rPr>
            </w:pPr>
            <w:r>
              <w:rPr>
                <w:color w:val="auto"/>
                <w:sz w:val="24"/>
              </w:rPr>
              <w:t>行业类别</w:t>
            </w:r>
            <w:bookmarkEnd w:id="7"/>
          </w:p>
        </w:tc>
        <w:tc>
          <w:tcPr>
            <w:tcW w:w="1863" w:type="pct"/>
            <w:vAlign w:val="center"/>
          </w:tcPr>
          <w:p w14:paraId="30AFB20B">
            <w:pPr>
              <w:numPr>
                <w:ilvl w:val="0"/>
                <w:numId w:val="2"/>
              </w:numPr>
              <w:adjustRightInd w:val="0"/>
              <w:snapToGrid w:val="0"/>
              <w:jc w:val="center"/>
              <w:rPr>
                <w:rFonts w:hint="eastAsia"/>
                <w:color w:val="auto"/>
                <w:sz w:val="24"/>
              </w:rPr>
            </w:pPr>
            <w:r>
              <w:rPr>
                <w:rFonts w:hint="eastAsia"/>
                <w:color w:val="auto"/>
                <w:sz w:val="24"/>
              </w:rPr>
              <w:t>农副食品加工业13；16</w:t>
            </w:r>
            <w:r>
              <w:rPr>
                <w:rFonts w:hint="eastAsia"/>
                <w:color w:val="auto"/>
              </w:rPr>
              <w:t>.</w:t>
            </w:r>
            <w:r>
              <w:rPr>
                <w:rFonts w:hint="eastAsia"/>
                <w:color w:val="auto"/>
                <w:sz w:val="24"/>
              </w:rPr>
              <w:t>植物油加工133*</w:t>
            </w:r>
          </w:p>
          <w:p w14:paraId="065CDEFA">
            <w:pPr>
              <w:bidi w:val="0"/>
              <w:rPr>
                <w:color w:val="auto"/>
              </w:rPr>
            </w:pPr>
            <w:r>
              <w:rPr>
                <w:rFonts w:hint="eastAsia"/>
                <w:color w:val="auto"/>
                <w:lang w:val="en-US" w:eastAsia="zh-CN"/>
              </w:rPr>
              <w:t>四十一、电力、热力生产和供应业-91热力生产和供应工程（包括建设单位自建自用的供热工程），燃煤、燃油锅炉总容量65吨/小时(45.5兆瓦)及以下的；天然气锅炉总容量1吨/小时(0.7兆瓦)以上的；使用其他高污染燃料的（高污染燃料指国环规大气【2017】2号《高污染燃料目录》中规定的燃料）</w:t>
            </w:r>
          </w:p>
        </w:tc>
      </w:tr>
      <w:tr w14:paraId="1F9B42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362" w:type="pct"/>
            <w:tcMar>
              <w:top w:w="16" w:type="dxa"/>
              <w:left w:w="16" w:type="dxa"/>
              <w:right w:w="16" w:type="dxa"/>
            </w:tcMar>
            <w:vAlign w:val="center"/>
          </w:tcPr>
          <w:p w14:paraId="0F00BF1D">
            <w:pPr>
              <w:adjustRightInd w:val="0"/>
              <w:snapToGrid w:val="0"/>
              <w:jc w:val="center"/>
              <w:rPr>
                <w:color w:val="auto"/>
                <w:sz w:val="24"/>
              </w:rPr>
            </w:pPr>
            <w:r>
              <w:rPr>
                <w:color w:val="auto"/>
                <w:sz w:val="24"/>
              </w:rPr>
              <w:t>建设性质</w:t>
            </w:r>
          </w:p>
        </w:tc>
        <w:tc>
          <w:tcPr>
            <w:tcW w:w="1592" w:type="pct"/>
            <w:vAlign w:val="center"/>
          </w:tcPr>
          <w:p w14:paraId="5E4BC81E">
            <w:pPr>
              <w:jc w:val="center"/>
              <w:rPr>
                <w:color w:val="auto"/>
                <w:sz w:val="24"/>
              </w:rPr>
            </w:pPr>
            <w:r>
              <w:rPr>
                <w:color w:val="auto"/>
                <w:sz w:val="24"/>
              </w:rPr>
              <w:sym w:font="Wingdings 2" w:char="0052"/>
            </w:r>
            <w:r>
              <w:rPr>
                <w:color w:val="auto"/>
                <w:sz w:val="24"/>
              </w:rPr>
              <w:t>新建（迁建）</w:t>
            </w:r>
          </w:p>
          <w:p w14:paraId="3E6627C1">
            <w:pPr>
              <w:jc w:val="center"/>
              <w:rPr>
                <w:color w:val="auto"/>
                <w:sz w:val="24"/>
              </w:rPr>
            </w:pPr>
            <w:r>
              <w:rPr>
                <w:rFonts w:hint="eastAsia"/>
                <w:color w:val="auto"/>
                <w:sz w:val="24"/>
                <w:lang w:eastAsia="zh-CN"/>
              </w:rPr>
              <w:t>□</w:t>
            </w:r>
            <w:r>
              <w:rPr>
                <w:color w:val="auto"/>
                <w:sz w:val="24"/>
              </w:rPr>
              <w:t>改建</w:t>
            </w:r>
          </w:p>
          <w:p w14:paraId="2CD66184">
            <w:pPr>
              <w:jc w:val="center"/>
              <w:rPr>
                <w:color w:val="auto"/>
                <w:sz w:val="24"/>
              </w:rPr>
            </w:pPr>
            <w:r>
              <w:rPr>
                <w:rFonts w:hint="eastAsia"/>
                <w:color w:val="auto"/>
                <w:sz w:val="24"/>
                <w:lang w:eastAsia="zh-CN"/>
              </w:rPr>
              <w:t>□</w:t>
            </w:r>
            <w:r>
              <w:rPr>
                <w:color w:val="auto"/>
                <w:sz w:val="24"/>
              </w:rPr>
              <w:t>扩建</w:t>
            </w:r>
          </w:p>
          <w:p w14:paraId="706DD977">
            <w:pPr>
              <w:jc w:val="center"/>
              <w:rPr>
                <w:color w:val="auto"/>
                <w:sz w:val="24"/>
              </w:rPr>
            </w:pPr>
            <w:r>
              <w:rPr>
                <w:rFonts w:hint="eastAsia"/>
                <w:color w:val="auto"/>
                <w:sz w:val="24"/>
                <w:lang w:eastAsia="zh-CN"/>
              </w:rPr>
              <w:t>□</w:t>
            </w:r>
            <w:r>
              <w:rPr>
                <w:color w:val="auto"/>
                <w:sz w:val="24"/>
              </w:rPr>
              <w:t>技术改造</w:t>
            </w:r>
          </w:p>
        </w:tc>
        <w:tc>
          <w:tcPr>
            <w:tcW w:w="1180" w:type="pct"/>
            <w:vAlign w:val="center"/>
          </w:tcPr>
          <w:p w14:paraId="3F7FE615">
            <w:pPr>
              <w:adjustRightInd w:val="0"/>
              <w:snapToGrid w:val="0"/>
              <w:jc w:val="center"/>
              <w:rPr>
                <w:color w:val="auto"/>
                <w:sz w:val="24"/>
              </w:rPr>
            </w:pPr>
            <w:r>
              <w:rPr>
                <w:color w:val="auto"/>
                <w:sz w:val="24"/>
              </w:rPr>
              <w:t>建设项目</w:t>
            </w:r>
          </w:p>
          <w:p w14:paraId="1C9827E5">
            <w:pPr>
              <w:adjustRightInd w:val="0"/>
              <w:snapToGrid w:val="0"/>
              <w:jc w:val="center"/>
              <w:rPr>
                <w:color w:val="auto"/>
                <w:sz w:val="24"/>
              </w:rPr>
            </w:pPr>
            <w:r>
              <w:rPr>
                <w:color w:val="auto"/>
                <w:sz w:val="24"/>
              </w:rPr>
              <w:t>申报情形</w:t>
            </w:r>
          </w:p>
        </w:tc>
        <w:tc>
          <w:tcPr>
            <w:tcW w:w="1863" w:type="pct"/>
            <w:vAlign w:val="center"/>
          </w:tcPr>
          <w:p w14:paraId="288403CD">
            <w:pPr>
              <w:jc w:val="center"/>
              <w:rPr>
                <w:color w:val="auto"/>
                <w:sz w:val="24"/>
              </w:rPr>
            </w:pPr>
            <w:r>
              <w:rPr>
                <w:color w:val="auto"/>
                <w:sz w:val="24"/>
              </w:rPr>
              <w:sym w:font="Wingdings 2" w:char="00A3"/>
            </w:r>
            <w:r>
              <w:rPr>
                <w:color w:val="auto"/>
                <w:sz w:val="24"/>
              </w:rPr>
              <w:t xml:space="preserve">首次申报项目             </w:t>
            </w:r>
          </w:p>
          <w:p w14:paraId="148ED29F">
            <w:pPr>
              <w:jc w:val="center"/>
              <w:rPr>
                <w:color w:val="auto"/>
                <w:sz w:val="24"/>
              </w:rPr>
            </w:pPr>
            <w:r>
              <w:rPr>
                <w:rFonts w:hint="eastAsia"/>
                <w:color w:val="auto"/>
                <w:sz w:val="24"/>
                <w:lang w:eastAsia="zh-CN"/>
              </w:rPr>
              <w:t>□</w:t>
            </w:r>
            <w:r>
              <w:rPr>
                <w:color w:val="auto"/>
                <w:sz w:val="24"/>
              </w:rPr>
              <w:t>不予批准后再次申报项目</w:t>
            </w:r>
          </w:p>
          <w:p w14:paraId="2F2C2805">
            <w:pPr>
              <w:jc w:val="center"/>
              <w:rPr>
                <w:color w:val="auto"/>
                <w:sz w:val="24"/>
              </w:rPr>
            </w:pPr>
            <w:r>
              <w:rPr>
                <w:rFonts w:hint="eastAsia"/>
                <w:color w:val="auto"/>
                <w:sz w:val="24"/>
                <w:lang w:eastAsia="zh-CN"/>
              </w:rPr>
              <w:t>□</w:t>
            </w:r>
            <w:r>
              <w:rPr>
                <w:color w:val="auto"/>
                <w:sz w:val="24"/>
              </w:rPr>
              <w:t xml:space="preserve">超五年重新审核项目     </w:t>
            </w:r>
          </w:p>
          <w:p w14:paraId="578BE92C">
            <w:pPr>
              <w:jc w:val="center"/>
              <w:rPr>
                <w:color w:val="auto"/>
                <w:sz w:val="24"/>
              </w:rPr>
            </w:pPr>
            <w:r>
              <w:rPr>
                <w:color w:val="auto"/>
                <w:sz w:val="24"/>
              </w:rPr>
              <w:sym w:font="Wingdings 2" w:char="0052"/>
            </w:r>
            <w:r>
              <w:rPr>
                <w:color w:val="auto"/>
                <w:sz w:val="24"/>
              </w:rPr>
              <w:t>重大变动重新报批项目</w:t>
            </w:r>
          </w:p>
        </w:tc>
      </w:tr>
      <w:tr w14:paraId="7B60C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08" w:hRule="atLeast"/>
          <w:jc w:val="center"/>
        </w:trPr>
        <w:tc>
          <w:tcPr>
            <w:tcW w:w="362" w:type="pct"/>
            <w:tcMar>
              <w:top w:w="16" w:type="dxa"/>
              <w:left w:w="16" w:type="dxa"/>
              <w:right w:w="16" w:type="dxa"/>
            </w:tcMar>
            <w:vAlign w:val="center"/>
          </w:tcPr>
          <w:p w14:paraId="01C86156">
            <w:pPr>
              <w:adjustRightInd w:val="0"/>
              <w:snapToGrid w:val="0"/>
              <w:jc w:val="center"/>
              <w:rPr>
                <w:color w:val="auto"/>
                <w:sz w:val="24"/>
              </w:rPr>
            </w:pPr>
            <w:r>
              <w:rPr>
                <w:color w:val="auto"/>
                <w:sz w:val="24"/>
              </w:rPr>
              <w:t>项目审批（核准/</w:t>
            </w:r>
          </w:p>
          <w:p w14:paraId="74BB943C">
            <w:pPr>
              <w:adjustRightInd w:val="0"/>
              <w:snapToGrid w:val="0"/>
              <w:jc w:val="center"/>
              <w:rPr>
                <w:color w:val="auto"/>
                <w:sz w:val="24"/>
              </w:rPr>
            </w:pPr>
            <w:r>
              <w:rPr>
                <w:color w:val="auto"/>
                <w:sz w:val="24"/>
              </w:rPr>
              <w:t>备案）部门（选填）</w:t>
            </w:r>
          </w:p>
        </w:tc>
        <w:tc>
          <w:tcPr>
            <w:tcW w:w="1592" w:type="pct"/>
            <w:vAlign w:val="center"/>
          </w:tcPr>
          <w:p w14:paraId="09A7BAF5">
            <w:pPr>
              <w:adjustRightInd w:val="0"/>
              <w:snapToGrid w:val="0"/>
              <w:jc w:val="center"/>
              <w:rPr>
                <w:color w:val="auto"/>
                <w:sz w:val="24"/>
              </w:rPr>
            </w:pPr>
            <w:r>
              <w:rPr>
                <w:color w:val="auto"/>
                <w:sz w:val="24"/>
              </w:rPr>
              <w:t>/</w:t>
            </w:r>
          </w:p>
        </w:tc>
        <w:tc>
          <w:tcPr>
            <w:tcW w:w="1180" w:type="pct"/>
            <w:vAlign w:val="center"/>
          </w:tcPr>
          <w:p w14:paraId="1185DF28">
            <w:pPr>
              <w:adjustRightInd w:val="0"/>
              <w:snapToGrid w:val="0"/>
              <w:jc w:val="center"/>
              <w:rPr>
                <w:color w:val="auto"/>
                <w:sz w:val="24"/>
              </w:rPr>
            </w:pPr>
            <w:r>
              <w:rPr>
                <w:color w:val="auto"/>
                <w:sz w:val="24"/>
              </w:rPr>
              <w:t>项目审批（核准/</w:t>
            </w:r>
          </w:p>
          <w:p w14:paraId="16F3F4AF">
            <w:pPr>
              <w:adjustRightInd w:val="0"/>
              <w:snapToGrid w:val="0"/>
              <w:jc w:val="center"/>
              <w:rPr>
                <w:color w:val="auto"/>
                <w:sz w:val="24"/>
              </w:rPr>
            </w:pPr>
            <w:r>
              <w:rPr>
                <w:color w:val="auto"/>
                <w:sz w:val="24"/>
              </w:rPr>
              <w:t>备案）文号（选填）</w:t>
            </w:r>
          </w:p>
        </w:tc>
        <w:tc>
          <w:tcPr>
            <w:tcW w:w="1863" w:type="pct"/>
            <w:vAlign w:val="center"/>
          </w:tcPr>
          <w:p w14:paraId="3F6E3D9E">
            <w:pPr>
              <w:adjustRightInd w:val="0"/>
              <w:snapToGrid w:val="0"/>
              <w:jc w:val="center"/>
              <w:rPr>
                <w:color w:val="auto"/>
                <w:sz w:val="24"/>
              </w:rPr>
            </w:pPr>
            <w:r>
              <w:rPr>
                <w:color w:val="auto"/>
                <w:sz w:val="24"/>
              </w:rPr>
              <w:t>/</w:t>
            </w:r>
          </w:p>
        </w:tc>
      </w:tr>
      <w:tr w14:paraId="7C21D7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49DAA0A0">
            <w:pPr>
              <w:adjustRightInd w:val="0"/>
              <w:snapToGrid w:val="0"/>
              <w:jc w:val="center"/>
              <w:rPr>
                <w:color w:val="auto"/>
                <w:sz w:val="24"/>
              </w:rPr>
            </w:pPr>
            <w:r>
              <w:rPr>
                <w:color w:val="auto"/>
                <w:sz w:val="24"/>
              </w:rPr>
              <w:t>总投资（万元）</w:t>
            </w:r>
          </w:p>
        </w:tc>
        <w:tc>
          <w:tcPr>
            <w:tcW w:w="1592" w:type="pct"/>
            <w:vAlign w:val="center"/>
          </w:tcPr>
          <w:p w14:paraId="2F300855">
            <w:pPr>
              <w:adjustRightInd w:val="0"/>
              <w:snapToGrid w:val="0"/>
              <w:jc w:val="center"/>
              <w:rPr>
                <w:color w:val="auto"/>
                <w:sz w:val="24"/>
              </w:rPr>
            </w:pPr>
            <w:r>
              <w:rPr>
                <w:rFonts w:hint="eastAsia"/>
                <w:color w:val="auto"/>
                <w:sz w:val="24"/>
              </w:rPr>
              <w:t>18000.00</w:t>
            </w:r>
          </w:p>
        </w:tc>
        <w:tc>
          <w:tcPr>
            <w:tcW w:w="1180" w:type="pct"/>
            <w:tcMar>
              <w:top w:w="16" w:type="dxa"/>
              <w:left w:w="16" w:type="dxa"/>
              <w:right w:w="16" w:type="dxa"/>
            </w:tcMar>
            <w:vAlign w:val="center"/>
          </w:tcPr>
          <w:p w14:paraId="5F3F51A0">
            <w:pPr>
              <w:adjustRightInd w:val="0"/>
              <w:snapToGrid w:val="0"/>
              <w:jc w:val="center"/>
              <w:rPr>
                <w:color w:val="auto"/>
                <w:sz w:val="24"/>
              </w:rPr>
            </w:pPr>
            <w:r>
              <w:rPr>
                <w:color w:val="auto"/>
                <w:sz w:val="24"/>
              </w:rPr>
              <w:t>环保投资（万元）</w:t>
            </w:r>
          </w:p>
        </w:tc>
        <w:tc>
          <w:tcPr>
            <w:tcW w:w="1863" w:type="pct"/>
            <w:vAlign w:val="center"/>
          </w:tcPr>
          <w:p w14:paraId="4625EBBB">
            <w:pPr>
              <w:adjustRightInd w:val="0"/>
              <w:snapToGrid w:val="0"/>
              <w:jc w:val="center"/>
              <w:rPr>
                <w:rFonts w:hint="default" w:eastAsia="宋体"/>
                <w:color w:val="auto"/>
                <w:sz w:val="24"/>
                <w:lang w:val="en-US" w:eastAsia="zh-CN"/>
              </w:rPr>
            </w:pPr>
            <w:r>
              <w:rPr>
                <w:rFonts w:hint="eastAsia"/>
                <w:color w:val="auto"/>
                <w:sz w:val="24"/>
                <w:lang w:val="en-US" w:eastAsia="zh-CN"/>
              </w:rPr>
              <w:t>120</w:t>
            </w:r>
          </w:p>
        </w:tc>
      </w:tr>
      <w:tr w14:paraId="1A1C7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4568B80D">
            <w:pPr>
              <w:adjustRightInd w:val="0"/>
              <w:snapToGrid w:val="0"/>
              <w:jc w:val="center"/>
              <w:rPr>
                <w:color w:val="auto"/>
                <w:sz w:val="24"/>
              </w:rPr>
            </w:pPr>
            <w:r>
              <w:rPr>
                <w:color w:val="auto"/>
                <w:sz w:val="24"/>
              </w:rPr>
              <w:t>环保投资占比（%）</w:t>
            </w:r>
          </w:p>
        </w:tc>
        <w:tc>
          <w:tcPr>
            <w:tcW w:w="1592" w:type="pct"/>
            <w:vAlign w:val="center"/>
          </w:tcPr>
          <w:p w14:paraId="22271265">
            <w:pPr>
              <w:adjustRightInd w:val="0"/>
              <w:snapToGrid w:val="0"/>
              <w:jc w:val="center"/>
              <w:rPr>
                <w:rFonts w:hint="default" w:eastAsia="宋体"/>
                <w:color w:val="auto"/>
                <w:sz w:val="24"/>
                <w:lang w:val="en-US" w:eastAsia="zh-CN"/>
              </w:rPr>
            </w:pPr>
            <w:r>
              <w:rPr>
                <w:rFonts w:hint="eastAsia"/>
                <w:color w:val="auto"/>
                <w:sz w:val="24"/>
                <w:lang w:val="en-US" w:eastAsia="zh-CN"/>
              </w:rPr>
              <w:t>0.67</w:t>
            </w:r>
          </w:p>
        </w:tc>
        <w:tc>
          <w:tcPr>
            <w:tcW w:w="1180" w:type="pct"/>
            <w:tcMar>
              <w:top w:w="16" w:type="dxa"/>
              <w:left w:w="16" w:type="dxa"/>
              <w:right w:w="16" w:type="dxa"/>
            </w:tcMar>
            <w:vAlign w:val="center"/>
          </w:tcPr>
          <w:p w14:paraId="206B6054">
            <w:pPr>
              <w:adjustRightInd w:val="0"/>
              <w:snapToGrid w:val="0"/>
              <w:jc w:val="center"/>
              <w:rPr>
                <w:color w:val="auto"/>
                <w:sz w:val="24"/>
              </w:rPr>
            </w:pPr>
            <w:r>
              <w:rPr>
                <w:color w:val="auto"/>
                <w:sz w:val="24"/>
              </w:rPr>
              <w:t>施工工期</w:t>
            </w:r>
          </w:p>
        </w:tc>
        <w:tc>
          <w:tcPr>
            <w:tcW w:w="1863" w:type="pct"/>
            <w:vAlign w:val="center"/>
          </w:tcPr>
          <w:p w14:paraId="727D11CB">
            <w:pPr>
              <w:adjustRightInd w:val="0"/>
              <w:snapToGrid w:val="0"/>
              <w:jc w:val="center"/>
              <w:rPr>
                <w:color w:val="auto"/>
                <w:sz w:val="24"/>
              </w:rPr>
            </w:pPr>
            <w:r>
              <w:rPr>
                <w:color w:val="auto"/>
                <w:sz w:val="24"/>
              </w:rPr>
              <w:t>202</w:t>
            </w:r>
            <w:r>
              <w:rPr>
                <w:rFonts w:hint="eastAsia"/>
                <w:color w:val="auto"/>
                <w:sz w:val="24"/>
                <w:lang w:val="en-US" w:eastAsia="zh-CN"/>
              </w:rPr>
              <w:t>5</w:t>
            </w:r>
            <w:r>
              <w:rPr>
                <w:color w:val="auto"/>
                <w:sz w:val="24"/>
              </w:rPr>
              <w:t>年</w:t>
            </w:r>
            <w:r>
              <w:rPr>
                <w:rFonts w:hint="eastAsia"/>
                <w:color w:val="auto"/>
                <w:sz w:val="24"/>
                <w:lang w:val="en-US" w:eastAsia="zh-CN"/>
              </w:rPr>
              <w:t>7</w:t>
            </w:r>
            <w:r>
              <w:rPr>
                <w:color w:val="auto"/>
                <w:sz w:val="24"/>
              </w:rPr>
              <w:t>月-202</w:t>
            </w:r>
            <w:r>
              <w:rPr>
                <w:rFonts w:hint="eastAsia"/>
                <w:color w:val="auto"/>
                <w:sz w:val="24"/>
                <w:lang w:val="en-US" w:eastAsia="zh-CN"/>
              </w:rPr>
              <w:t>5</w:t>
            </w:r>
            <w:r>
              <w:rPr>
                <w:color w:val="auto"/>
                <w:sz w:val="24"/>
              </w:rPr>
              <w:t>年</w:t>
            </w:r>
            <w:r>
              <w:rPr>
                <w:rFonts w:hint="eastAsia"/>
                <w:color w:val="auto"/>
                <w:sz w:val="24"/>
                <w:lang w:val="en-US" w:eastAsia="zh-CN"/>
              </w:rPr>
              <w:t>10</w:t>
            </w:r>
            <w:r>
              <w:rPr>
                <w:color w:val="auto"/>
                <w:sz w:val="24"/>
              </w:rPr>
              <w:t>月</w:t>
            </w:r>
          </w:p>
        </w:tc>
      </w:tr>
      <w:tr w14:paraId="17B1A9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362" w:type="pct"/>
            <w:tcMar>
              <w:top w:w="16" w:type="dxa"/>
              <w:left w:w="16" w:type="dxa"/>
              <w:right w:w="16" w:type="dxa"/>
            </w:tcMar>
            <w:vAlign w:val="center"/>
          </w:tcPr>
          <w:p w14:paraId="3CB34B33">
            <w:pPr>
              <w:adjustRightInd w:val="0"/>
              <w:snapToGrid w:val="0"/>
              <w:jc w:val="center"/>
              <w:rPr>
                <w:color w:val="auto"/>
                <w:sz w:val="24"/>
              </w:rPr>
            </w:pPr>
            <w:r>
              <w:rPr>
                <w:color w:val="auto"/>
                <w:sz w:val="24"/>
              </w:rPr>
              <w:t>是否开工建设</w:t>
            </w:r>
          </w:p>
        </w:tc>
        <w:tc>
          <w:tcPr>
            <w:tcW w:w="1592" w:type="pct"/>
            <w:vAlign w:val="center"/>
          </w:tcPr>
          <w:p w14:paraId="66DD601E">
            <w:pPr>
              <w:adjustRightInd w:val="0"/>
              <w:snapToGrid w:val="0"/>
              <w:jc w:val="center"/>
              <w:rPr>
                <w:color w:val="auto"/>
                <w:sz w:val="24"/>
              </w:rPr>
            </w:pPr>
            <w:r>
              <w:rPr>
                <w:color w:val="auto"/>
                <w:sz w:val="24"/>
              </w:rPr>
              <w:sym w:font="Wingdings 2" w:char="00A3"/>
            </w:r>
            <w:r>
              <w:rPr>
                <w:color w:val="auto"/>
                <w:sz w:val="24"/>
              </w:rPr>
              <w:t>否</w:t>
            </w:r>
          </w:p>
          <w:p w14:paraId="1A13214D">
            <w:pPr>
              <w:adjustRightInd w:val="0"/>
              <w:snapToGrid w:val="0"/>
              <w:jc w:val="center"/>
              <w:rPr>
                <w:color w:val="auto"/>
                <w:sz w:val="24"/>
              </w:rPr>
            </w:pPr>
            <w:r>
              <w:rPr>
                <w:color w:val="auto"/>
                <w:sz w:val="24"/>
              </w:rPr>
              <w:sym w:font="Wingdings 2" w:char="0052"/>
            </w:r>
            <w:r>
              <w:rPr>
                <w:color w:val="auto"/>
                <w:sz w:val="24"/>
              </w:rPr>
              <w:t>是</w:t>
            </w:r>
            <w:r>
              <w:rPr>
                <w:rFonts w:hint="eastAsia"/>
                <w:color w:val="auto"/>
                <w:sz w:val="24"/>
                <w:u w:val="single"/>
                <w:lang w:eastAsia="zh-CN"/>
              </w:rPr>
              <w:t>黑龙江宏昌生物科技有限公司日加工500吨大豆（米糠）双生产线建设项目</w:t>
            </w:r>
            <w:r>
              <w:rPr>
                <w:rFonts w:hint="eastAsia"/>
                <w:color w:val="auto"/>
                <w:sz w:val="24"/>
                <w:u w:val="single"/>
                <w:lang w:val="en-US" w:eastAsia="zh-CN"/>
              </w:rPr>
              <w:t>于2024年建成，于2023年6月30日取得批复</w:t>
            </w:r>
            <w:r>
              <w:rPr>
                <w:rFonts w:hint="eastAsia" w:ascii="Times New Roman" w:hAnsi="Times New Roman" w:eastAsia="宋体" w:cs="Times New Roman"/>
                <w:color w:val="auto"/>
                <w:sz w:val="24"/>
                <w:highlight w:val="none"/>
                <w:u w:val="single"/>
                <w:lang w:val="en-US" w:eastAsia="zh-CN"/>
              </w:rPr>
              <w:t>佳桦环承审〔2023]3号</w:t>
            </w:r>
            <w:r>
              <w:rPr>
                <w:rFonts w:hint="eastAsia"/>
                <w:color w:val="auto"/>
                <w:sz w:val="24"/>
                <w:u w:val="single"/>
                <w:lang w:val="en-US" w:eastAsia="zh-CN"/>
              </w:rPr>
              <w:t>。</w:t>
            </w:r>
          </w:p>
        </w:tc>
        <w:tc>
          <w:tcPr>
            <w:tcW w:w="1180" w:type="pct"/>
            <w:tcMar>
              <w:top w:w="16" w:type="dxa"/>
              <w:left w:w="16" w:type="dxa"/>
              <w:right w:w="16" w:type="dxa"/>
            </w:tcMar>
            <w:vAlign w:val="center"/>
          </w:tcPr>
          <w:p w14:paraId="59997209">
            <w:pPr>
              <w:adjustRightInd w:val="0"/>
              <w:snapToGrid w:val="0"/>
              <w:jc w:val="center"/>
              <w:rPr>
                <w:color w:val="auto"/>
                <w:sz w:val="24"/>
              </w:rPr>
            </w:pPr>
            <w:r>
              <w:rPr>
                <w:color w:val="auto"/>
                <w:spacing w:val="-6"/>
                <w:sz w:val="24"/>
              </w:rPr>
              <w:t>用地面积（m</w:t>
            </w:r>
            <w:r>
              <w:rPr>
                <w:color w:val="auto"/>
                <w:spacing w:val="-6"/>
                <w:sz w:val="24"/>
                <w:vertAlign w:val="superscript"/>
              </w:rPr>
              <w:t>2</w:t>
            </w:r>
            <w:r>
              <w:rPr>
                <w:color w:val="auto"/>
                <w:spacing w:val="-6"/>
                <w:sz w:val="24"/>
              </w:rPr>
              <w:t>）</w:t>
            </w:r>
          </w:p>
        </w:tc>
        <w:tc>
          <w:tcPr>
            <w:tcW w:w="1863" w:type="pct"/>
            <w:vAlign w:val="center"/>
          </w:tcPr>
          <w:p w14:paraId="68D07C89">
            <w:pPr>
              <w:adjustRightInd w:val="0"/>
              <w:snapToGrid w:val="0"/>
              <w:jc w:val="center"/>
              <w:rPr>
                <w:rFonts w:hint="eastAsia" w:eastAsia="宋体"/>
                <w:color w:val="auto"/>
                <w:sz w:val="24"/>
                <w:lang w:eastAsia="zh-CN"/>
              </w:rPr>
            </w:pPr>
            <w:r>
              <w:rPr>
                <w:rFonts w:hint="eastAsia"/>
                <w:color w:val="auto"/>
                <w:sz w:val="24"/>
              </w:rPr>
              <w:t>3496</w:t>
            </w:r>
            <w:r>
              <w:rPr>
                <w:rFonts w:hint="eastAsia"/>
                <w:color w:val="auto"/>
                <w:sz w:val="24"/>
                <w:lang w:val="en-US" w:eastAsia="zh-CN"/>
              </w:rPr>
              <w:t>5</w:t>
            </w:r>
          </w:p>
        </w:tc>
      </w:tr>
      <w:tr w14:paraId="21802B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2" w:type="pct"/>
            <w:vAlign w:val="center"/>
          </w:tcPr>
          <w:p w14:paraId="5D4B9D3E">
            <w:pPr>
              <w:autoSpaceDE w:val="0"/>
              <w:autoSpaceDN w:val="0"/>
              <w:adjustRightInd w:val="0"/>
              <w:snapToGrid w:val="0"/>
              <w:jc w:val="center"/>
              <w:rPr>
                <w:color w:val="auto"/>
                <w:kern w:val="0"/>
                <w:sz w:val="24"/>
              </w:rPr>
            </w:pPr>
            <w:r>
              <w:rPr>
                <w:color w:val="auto"/>
                <w:kern w:val="0"/>
                <w:sz w:val="24"/>
              </w:rPr>
              <w:t>专项评价设置情况</w:t>
            </w:r>
          </w:p>
        </w:tc>
        <w:tc>
          <w:tcPr>
            <w:tcW w:w="4637" w:type="pct"/>
            <w:gridSpan w:val="3"/>
            <w:vAlign w:val="center"/>
          </w:tcPr>
          <w:p w14:paraId="3C286834">
            <w:pPr>
              <w:keepNext w:val="0"/>
              <w:keepLines w:val="0"/>
              <w:suppressLineNumbers w:val="0"/>
              <w:spacing w:before="0" w:beforeAutospacing="0" w:after="0" w:afterAutospacing="0"/>
              <w:ind w:left="0" w:right="0"/>
              <w:jc w:val="center"/>
              <w:rPr>
                <w:rFonts w:hint="eastAsia"/>
                <w:b w:val="0"/>
                <w:bCs w:val="0"/>
                <w:color w:val="auto"/>
                <w:sz w:val="24"/>
                <w:highlight w:val="none"/>
              </w:rPr>
            </w:pPr>
            <w:r>
              <w:rPr>
                <w:rFonts w:hint="eastAsia"/>
                <w:b w:val="0"/>
                <w:bCs w:val="0"/>
                <w:color w:val="auto"/>
                <w:sz w:val="24"/>
                <w:highlight w:val="none"/>
              </w:rPr>
              <w:t>专项评价设置表</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3397"/>
              <w:gridCol w:w="3292"/>
              <w:gridCol w:w="858"/>
            </w:tblGrid>
            <w:tr w14:paraId="5A80A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tcBorders>
                    <w:tl2br w:val="nil"/>
                    <w:tr2bl w:val="nil"/>
                  </w:tcBorders>
                  <w:noWrap w:val="0"/>
                  <w:vAlign w:val="center"/>
                </w:tcPr>
                <w:p w14:paraId="24A277D2">
                  <w:pPr>
                    <w:pStyle w:val="37"/>
                    <w:keepNext w:val="0"/>
                    <w:keepLines w:val="0"/>
                    <w:suppressLineNumbers w:val="0"/>
                    <w:spacing w:before="0" w:beforeAutospacing="0" w:after="0" w:afterAutospacing="0"/>
                    <w:ind w:left="0" w:leftChars="0" w:right="-105" w:rightChars="-5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专项评价类别</w:t>
                  </w:r>
                </w:p>
              </w:tc>
              <w:tc>
                <w:tcPr>
                  <w:tcW w:w="1952" w:type="pct"/>
                  <w:tcBorders>
                    <w:tl2br w:val="nil"/>
                    <w:tr2bl w:val="nil"/>
                  </w:tcBorders>
                  <w:noWrap w:val="0"/>
                  <w:vAlign w:val="center"/>
                </w:tcPr>
                <w:p w14:paraId="4D482CA2">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设置原则</w:t>
                  </w:r>
                </w:p>
              </w:tc>
              <w:tc>
                <w:tcPr>
                  <w:tcW w:w="1892" w:type="pct"/>
                  <w:tcBorders>
                    <w:tl2br w:val="nil"/>
                    <w:tr2bl w:val="nil"/>
                  </w:tcBorders>
                  <w:noWrap w:val="0"/>
                  <w:vAlign w:val="center"/>
                </w:tcPr>
                <w:p w14:paraId="7B4FD3E6">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本项目建设情况</w:t>
                  </w:r>
                </w:p>
              </w:tc>
              <w:tc>
                <w:tcPr>
                  <w:tcW w:w="493" w:type="pct"/>
                  <w:tcBorders>
                    <w:tl2br w:val="nil"/>
                    <w:tr2bl w:val="nil"/>
                  </w:tcBorders>
                  <w:noWrap w:val="0"/>
                  <w:vAlign w:val="center"/>
                </w:tcPr>
                <w:p w14:paraId="7713BB55">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设置情况</w:t>
                  </w:r>
                </w:p>
              </w:tc>
            </w:tr>
            <w:tr w14:paraId="62A121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tcBorders>
                    <w:tl2br w:val="nil"/>
                    <w:tr2bl w:val="nil"/>
                  </w:tcBorders>
                  <w:noWrap w:val="0"/>
                  <w:vAlign w:val="center"/>
                </w:tcPr>
                <w:p w14:paraId="1D6E12A4">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大气</w:t>
                  </w:r>
                </w:p>
              </w:tc>
              <w:tc>
                <w:tcPr>
                  <w:tcW w:w="1952" w:type="pct"/>
                  <w:tcBorders>
                    <w:tl2br w:val="nil"/>
                    <w:tr2bl w:val="nil"/>
                  </w:tcBorders>
                  <w:noWrap w:val="0"/>
                  <w:vAlign w:val="center"/>
                </w:tcPr>
                <w:p w14:paraId="7C978A6B">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排放废气含有毒有害污染物、二噁英、苯并[a]芘、氰化物、氯气且厂界外500米范围内有环境空气保护目标的建设项目</w:t>
                  </w:r>
                </w:p>
              </w:tc>
              <w:tc>
                <w:tcPr>
                  <w:tcW w:w="1892" w:type="pct"/>
                  <w:tcBorders>
                    <w:tl2br w:val="nil"/>
                    <w:tr2bl w:val="nil"/>
                  </w:tcBorders>
                  <w:noWrap w:val="0"/>
                  <w:vAlign w:val="center"/>
                </w:tcPr>
                <w:p w14:paraId="515894A4">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不排放有毒有害污染物、二噁英、苯并[a]芘、氰化物、氯气等废气</w:t>
                  </w:r>
                </w:p>
              </w:tc>
              <w:tc>
                <w:tcPr>
                  <w:tcW w:w="493" w:type="pct"/>
                  <w:tcBorders>
                    <w:tl2br w:val="nil"/>
                    <w:tr2bl w:val="nil"/>
                  </w:tcBorders>
                  <w:noWrap w:val="0"/>
                  <w:vAlign w:val="center"/>
                </w:tcPr>
                <w:p w14:paraId="468FEA34">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无</w:t>
                  </w:r>
                </w:p>
              </w:tc>
            </w:tr>
            <w:tr w14:paraId="431001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tcBorders>
                    <w:tl2br w:val="nil"/>
                    <w:tr2bl w:val="nil"/>
                  </w:tcBorders>
                  <w:noWrap w:val="0"/>
                  <w:vAlign w:val="center"/>
                </w:tcPr>
                <w:p w14:paraId="2FBF08B8">
                  <w:pPr>
                    <w:pStyle w:val="37"/>
                    <w:keepNext w:val="0"/>
                    <w:keepLines w:val="0"/>
                    <w:suppressLineNumbers w:val="0"/>
                    <w:spacing w:before="0" w:beforeAutospacing="0" w:after="0" w:afterAutospacing="0"/>
                    <w:ind w:left="0" w:leftChars="0" w:right="0" w:firstLine="0" w:firstLineChars="0"/>
                    <w:jc w:val="center"/>
                    <w:rPr>
                      <w:rFonts w:hint="default"/>
                      <w:b w:val="0"/>
                      <w:bCs w:val="0"/>
                      <w:color w:val="auto"/>
                      <w:highlight w:val="none"/>
                      <w:lang w:val="en-US" w:eastAsia="zh-CN"/>
                    </w:rPr>
                  </w:pPr>
                </w:p>
                <w:p w14:paraId="382E5C99">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地表水</w:t>
                  </w:r>
                </w:p>
              </w:tc>
              <w:tc>
                <w:tcPr>
                  <w:tcW w:w="1952" w:type="pct"/>
                  <w:tcBorders>
                    <w:tl2br w:val="nil"/>
                    <w:tr2bl w:val="nil"/>
                  </w:tcBorders>
                  <w:noWrap w:val="0"/>
                  <w:vAlign w:val="center"/>
                </w:tcPr>
                <w:p w14:paraId="333D31C4">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新增工业废水直排建设项目（槽罐车外送污水处理厂的除外）：新增废水直排的污水集中处理厂</w:t>
                  </w:r>
                </w:p>
              </w:tc>
              <w:tc>
                <w:tcPr>
                  <w:tcW w:w="1892" w:type="pct"/>
                  <w:tcBorders>
                    <w:tl2br w:val="nil"/>
                    <w:tr2bl w:val="nil"/>
                  </w:tcBorders>
                  <w:noWrap w:val="0"/>
                  <w:vAlign w:val="center"/>
                </w:tcPr>
                <w:p w14:paraId="4FCFC0F3">
                  <w:pPr>
                    <w:pStyle w:val="37"/>
                    <w:keepNext w:val="0"/>
                    <w:keepLines w:val="0"/>
                    <w:suppressLineNumbers w:val="0"/>
                    <w:spacing w:before="0" w:beforeAutospacing="0" w:after="0" w:afterAutospacing="0"/>
                    <w:ind w:left="0" w:leftChars="0" w:right="0" w:firstLine="0" w:firstLineChars="0"/>
                    <w:jc w:val="center"/>
                    <w:rPr>
                      <w:rFonts w:hint="default"/>
                      <w:b w:val="0"/>
                      <w:bCs w:val="0"/>
                      <w:color w:val="auto"/>
                      <w:highlight w:val="none"/>
                      <w:lang w:val="en-US" w:eastAsia="zh-CN"/>
                    </w:rPr>
                  </w:pPr>
                  <w:r>
                    <w:rPr>
                      <w:rFonts w:hint="eastAsia"/>
                      <w:b w:val="0"/>
                      <w:bCs w:val="0"/>
                      <w:color w:val="auto"/>
                      <w:highlight w:val="none"/>
                      <w:lang w:val="en-US" w:eastAsia="zh-CN"/>
                    </w:rPr>
                    <w:t>废水不外排</w:t>
                  </w:r>
                </w:p>
              </w:tc>
              <w:tc>
                <w:tcPr>
                  <w:tcW w:w="493" w:type="pct"/>
                  <w:tcBorders>
                    <w:tl2br w:val="nil"/>
                    <w:tr2bl w:val="nil"/>
                  </w:tcBorders>
                  <w:noWrap w:val="0"/>
                  <w:vAlign w:val="center"/>
                </w:tcPr>
                <w:p w14:paraId="652F7643">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无</w:t>
                  </w:r>
                </w:p>
              </w:tc>
            </w:tr>
            <w:tr w14:paraId="2A0F3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tcBorders>
                    <w:tl2br w:val="nil"/>
                    <w:tr2bl w:val="nil"/>
                  </w:tcBorders>
                  <w:noWrap w:val="0"/>
                  <w:vAlign w:val="center"/>
                </w:tcPr>
                <w:p w14:paraId="66212D76">
                  <w:pPr>
                    <w:pStyle w:val="37"/>
                    <w:keepNext w:val="0"/>
                    <w:keepLines w:val="0"/>
                    <w:suppressLineNumbers w:val="0"/>
                    <w:spacing w:before="0" w:beforeAutospacing="0" w:after="0" w:afterAutospacing="0"/>
                    <w:ind w:left="0" w:leftChars="0" w:right="0" w:firstLine="0" w:firstLineChars="0"/>
                    <w:jc w:val="center"/>
                    <w:rPr>
                      <w:rFonts w:hint="default"/>
                      <w:b w:val="0"/>
                      <w:bCs w:val="0"/>
                      <w:color w:val="auto"/>
                      <w:highlight w:val="none"/>
                      <w:lang w:val="en-US" w:eastAsia="zh-CN"/>
                    </w:rPr>
                  </w:pPr>
                  <w:r>
                    <w:rPr>
                      <w:rFonts w:hint="eastAsia"/>
                      <w:b w:val="0"/>
                      <w:bCs w:val="0"/>
                      <w:color w:val="auto"/>
                      <w:highlight w:val="none"/>
                      <w:lang w:val="en-US" w:eastAsia="zh-CN"/>
                    </w:rPr>
                    <w:t>环境</w:t>
                  </w:r>
                </w:p>
                <w:p w14:paraId="3073F826">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风险</w:t>
                  </w:r>
                </w:p>
              </w:tc>
              <w:tc>
                <w:tcPr>
                  <w:tcW w:w="1952" w:type="pct"/>
                  <w:tcBorders>
                    <w:tl2br w:val="nil"/>
                    <w:tr2bl w:val="nil"/>
                  </w:tcBorders>
                  <w:noWrap w:val="0"/>
                  <w:vAlign w:val="center"/>
                </w:tcPr>
                <w:p w14:paraId="6C03C779">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有毒有害和易燃易爆危险物质存储量超过临界量的建设项目</w:t>
                  </w:r>
                </w:p>
              </w:tc>
              <w:tc>
                <w:tcPr>
                  <w:tcW w:w="1892" w:type="pct"/>
                  <w:tcBorders>
                    <w:tl2br w:val="nil"/>
                    <w:tr2bl w:val="nil"/>
                  </w:tcBorders>
                  <w:noWrap w:val="0"/>
                  <w:vAlign w:val="center"/>
                </w:tcPr>
                <w:p w14:paraId="4D69D83C">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sz w:val="21"/>
                      <w:szCs w:val="21"/>
                      <w:highlight w:val="none"/>
                      <w:lang w:val="en-US" w:eastAsia="zh-CN"/>
                    </w:rPr>
                  </w:pPr>
                  <w:r>
                    <w:rPr>
                      <w:rFonts w:hint="eastAsia" w:cs="Times New Roman"/>
                      <w:color w:val="auto"/>
                      <w:kern w:val="0"/>
                      <w:sz w:val="21"/>
                      <w:szCs w:val="21"/>
                      <w:highlight w:val="none"/>
                      <w:lang w:val="en-US" w:eastAsia="zh-CN"/>
                    </w:rPr>
                    <w:t>药品库储存正己烷溶液，储存能力最大为72t，根据《建设项目环境风险评价技术导则》（HJ169-2018）附录B.1突发环境事件风险物质及临界量对比大于临界量，</w:t>
                  </w:r>
                  <w:r>
                    <w:rPr>
                      <w:rFonts w:hint="eastAsia"/>
                      <w:b w:val="0"/>
                      <w:bCs w:val="0"/>
                      <w:color w:val="auto"/>
                      <w:sz w:val="21"/>
                      <w:szCs w:val="21"/>
                      <w:highlight w:val="none"/>
                      <w:lang w:val="en-US" w:eastAsia="zh-CN"/>
                    </w:rPr>
                    <w:t>项目的Q值大于1</w:t>
                  </w:r>
                </w:p>
              </w:tc>
              <w:tc>
                <w:tcPr>
                  <w:tcW w:w="493" w:type="pct"/>
                  <w:tcBorders>
                    <w:tl2br w:val="nil"/>
                    <w:tr2bl w:val="nil"/>
                  </w:tcBorders>
                  <w:noWrap w:val="0"/>
                  <w:vAlign w:val="center"/>
                </w:tcPr>
                <w:p w14:paraId="3BECCE79">
                  <w:pPr>
                    <w:pStyle w:val="37"/>
                    <w:keepNext w:val="0"/>
                    <w:keepLines w:val="0"/>
                    <w:suppressLineNumbers w:val="0"/>
                    <w:spacing w:before="0" w:beforeAutospacing="0" w:after="0" w:afterAutospacing="0"/>
                    <w:ind w:left="0" w:leftChars="0" w:right="0" w:firstLine="0" w:firstLineChars="0"/>
                    <w:jc w:val="center"/>
                    <w:rPr>
                      <w:rFonts w:hint="default"/>
                      <w:b w:val="0"/>
                      <w:bCs w:val="0"/>
                      <w:color w:val="auto"/>
                      <w:highlight w:val="none"/>
                      <w:lang w:val="en-US" w:eastAsia="zh-CN"/>
                    </w:rPr>
                  </w:pPr>
                  <w:r>
                    <w:rPr>
                      <w:rFonts w:hint="eastAsia"/>
                      <w:b w:val="0"/>
                      <w:bCs w:val="0"/>
                      <w:color w:val="0000FF"/>
                      <w:highlight w:val="none"/>
                      <w:lang w:val="en-US" w:eastAsia="zh-CN"/>
                    </w:rPr>
                    <w:t>设置专章</w:t>
                  </w:r>
                </w:p>
              </w:tc>
            </w:tr>
            <w:tr w14:paraId="5E8A14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tcBorders>
                    <w:tl2br w:val="nil"/>
                    <w:tr2bl w:val="nil"/>
                  </w:tcBorders>
                  <w:noWrap w:val="0"/>
                  <w:vAlign w:val="center"/>
                </w:tcPr>
                <w:p w14:paraId="3F9F01B9">
                  <w:pPr>
                    <w:pStyle w:val="37"/>
                    <w:keepNext w:val="0"/>
                    <w:keepLines w:val="0"/>
                    <w:suppressLineNumbers w:val="0"/>
                    <w:spacing w:before="0" w:beforeAutospacing="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生态</w:t>
                  </w:r>
                </w:p>
              </w:tc>
              <w:tc>
                <w:tcPr>
                  <w:tcW w:w="1952" w:type="pct"/>
                  <w:tcBorders>
                    <w:tl2br w:val="nil"/>
                    <w:tr2bl w:val="nil"/>
                  </w:tcBorders>
                  <w:noWrap w:val="0"/>
                  <w:vAlign w:val="center"/>
                </w:tcPr>
                <w:p w14:paraId="175DEC44">
                  <w:pPr>
                    <w:pStyle w:val="37"/>
                    <w:keepNext w:val="0"/>
                    <w:keepLines w:val="0"/>
                    <w:suppressLineNumbers w:val="0"/>
                    <w:spacing w:before="0" w:beforeAutospacing="0" w:after="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取水口下游500米范围内有重要水生生物的自然产卵场、索饵场、越冬场和洄游通道的新增河道取水的污染类建设项目</w:t>
                  </w:r>
                </w:p>
              </w:tc>
              <w:tc>
                <w:tcPr>
                  <w:tcW w:w="1892" w:type="pct"/>
                  <w:tcBorders>
                    <w:tl2br w:val="nil"/>
                    <w:tr2bl w:val="nil"/>
                  </w:tcBorders>
                  <w:noWrap w:val="0"/>
                  <w:vAlign w:val="center"/>
                </w:tcPr>
                <w:p w14:paraId="4D57D315">
                  <w:pPr>
                    <w:pStyle w:val="37"/>
                    <w:keepNext w:val="0"/>
                    <w:keepLines w:val="0"/>
                    <w:suppressLineNumbers w:val="0"/>
                    <w:spacing w:before="0" w:beforeAutospacing="0" w:afterAutospacing="0"/>
                    <w:ind w:left="0" w:leftChars="0" w:right="0" w:firstLine="0" w:firstLineChars="0"/>
                    <w:jc w:val="center"/>
                    <w:rPr>
                      <w:rFonts w:hint="default"/>
                      <w:b w:val="0"/>
                      <w:bCs w:val="0"/>
                      <w:color w:val="auto"/>
                      <w:highlight w:val="none"/>
                      <w:lang w:val="en-US" w:eastAsia="zh-CN"/>
                    </w:rPr>
                  </w:pPr>
                  <w:r>
                    <w:rPr>
                      <w:rFonts w:hint="eastAsia"/>
                      <w:b w:val="0"/>
                      <w:bCs w:val="0"/>
                      <w:color w:val="auto"/>
                      <w:highlight w:val="none"/>
                      <w:lang w:val="en-US" w:eastAsia="zh-CN"/>
                    </w:rPr>
                    <w:t>项目用水为集中式供水</w:t>
                  </w:r>
                </w:p>
              </w:tc>
              <w:tc>
                <w:tcPr>
                  <w:tcW w:w="493" w:type="pct"/>
                  <w:tcBorders>
                    <w:tl2br w:val="nil"/>
                    <w:tr2bl w:val="nil"/>
                  </w:tcBorders>
                  <w:noWrap w:val="0"/>
                  <w:vAlign w:val="center"/>
                </w:tcPr>
                <w:p w14:paraId="534D627F">
                  <w:pPr>
                    <w:pStyle w:val="37"/>
                    <w:keepNext w:val="0"/>
                    <w:keepLines w:val="0"/>
                    <w:suppressLineNumbers w:val="0"/>
                    <w:spacing w:before="0" w:beforeAutospacing="0" w:afterAutospacing="0"/>
                    <w:ind w:left="0" w:leftChars="0" w:right="0" w:firstLine="0" w:firstLineChars="0"/>
                    <w:jc w:val="center"/>
                    <w:rPr>
                      <w:rFonts w:hint="eastAsia"/>
                      <w:b w:val="0"/>
                      <w:bCs w:val="0"/>
                      <w:color w:val="auto"/>
                      <w:highlight w:val="none"/>
                      <w:lang w:val="en-US" w:eastAsia="zh-CN"/>
                    </w:rPr>
                  </w:pPr>
                  <w:r>
                    <w:rPr>
                      <w:rFonts w:hint="eastAsia"/>
                      <w:b w:val="0"/>
                      <w:bCs w:val="0"/>
                      <w:color w:val="auto"/>
                      <w:highlight w:val="none"/>
                      <w:lang w:val="en-US" w:eastAsia="zh-CN"/>
                    </w:rPr>
                    <w:t>无</w:t>
                  </w:r>
                </w:p>
              </w:tc>
            </w:tr>
          </w:tbl>
          <w:p w14:paraId="5D0911C4">
            <w:pPr>
              <w:jc w:val="both"/>
              <w:rPr>
                <w:color w:val="auto"/>
                <w:kern w:val="0"/>
                <w:sz w:val="24"/>
              </w:rPr>
            </w:pPr>
          </w:p>
        </w:tc>
      </w:tr>
      <w:tr w14:paraId="502BE3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362" w:type="pct"/>
            <w:vAlign w:val="center"/>
          </w:tcPr>
          <w:p w14:paraId="30952CA0">
            <w:pPr>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规划情况</w:t>
            </w:r>
          </w:p>
        </w:tc>
        <w:tc>
          <w:tcPr>
            <w:tcW w:w="8915" w:type="dxa"/>
            <w:gridSpan w:val="3"/>
            <w:vAlign w:val="center"/>
          </w:tcPr>
          <w:p w14:paraId="206FF6C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jc w:val="left"/>
              <w:textAlignment w:val="auto"/>
              <w:rPr>
                <w:rFonts w:hint="default"/>
                <w:color w:val="auto"/>
                <w:kern w:val="0"/>
                <w:sz w:val="24"/>
                <w:szCs w:val="24"/>
                <w:highlight w:val="none"/>
                <w:lang w:val="en-US" w:eastAsia="zh-CN"/>
              </w:rPr>
            </w:pPr>
            <w:r>
              <w:rPr>
                <w:rFonts w:hint="eastAsia"/>
                <w:color w:val="auto"/>
                <w:kern w:val="0"/>
                <w:sz w:val="24"/>
                <w:szCs w:val="24"/>
                <w:highlight w:val="none"/>
                <w:lang w:val="en-US" w:eastAsia="zh-CN"/>
              </w:rPr>
              <w:t>《黑龙江桦南经济开发区总体规划（2021—2035年）》</w:t>
            </w:r>
          </w:p>
          <w:p w14:paraId="20B0D70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jc w:val="left"/>
              <w:textAlignment w:val="auto"/>
              <w:rPr>
                <w:rFonts w:hint="eastAsia"/>
                <w:color w:val="auto"/>
                <w:kern w:val="0"/>
                <w:sz w:val="24"/>
                <w:szCs w:val="24"/>
                <w:highlight w:val="none"/>
                <w:lang w:val="en-US" w:eastAsia="zh-CN"/>
              </w:rPr>
            </w:pPr>
            <w:r>
              <w:rPr>
                <w:rFonts w:hint="default" w:ascii="Times New Roman" w:hAnsi="Times New Roman" w:cs="Times New Roman"/>
                <w:color w:val="auto"/>
                <w:sz w:val="24"/>
                <w:szCs w:val="24"/>
                <w:highlight w:val="none"/>
              </w:rPr>
              <w:t>召集审查机关</w:t>
            </w:r>
            <w:r>
              <w:rPr>
                <w:rFonts w:hint="eastAsia"/>
                <w:color w:val="auto"/>
                <w:kern w:val="0"/>
                <w:sz w:val="24"/>
                <w:szCs w:val="24"/>
                <w:highlight w:val="none"/>
                <w:lang w:val="en-US" w:eastAsia="zh-CN"/>
              </w:rPr>
              <w:t>：桦南县人民政府</w:t>
            </w:r>
          </w:p>
          <w:p w14:paraId="446947DD">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leftChars="0" w:right="0" w:rightChars="0"/>
              <w:jc w:val="left"/>
              <w:textAlignment w:val="auto"/>
              <w:rPr>
                <w:rFonts w:hint="eastAsia" w:ascii="Times New Roman" w:hAnsi="Times New Roman" w:eastAsia="宋体" w:cs="Times New Roman"/>
                <w:color w:val="auto"/>
                <w:sz w:val="24"/>
              </w:rPr>
            </w:pPr>
            <w:r>
              <w:rPr>
                <w:rFonts w:hint="default" w:ascii="Times New Roman" w:hAnsi="Times New Roman" w:cs="Times New Roman"/>
                <w:color w:val="auto"/>
                <w:sz w:val="24"/>
                <w:szCs w:val="24"/>
                <w:highlight w:val="none"/>
              </w:rPr>
              <w:t>审批文件名称：</w:t>
            </w:r>
            <w:r>
              <w:rPr>
                <w:rFonts w:hint="eastAsia"/>
                <w:color w:val="auto"/>
                <w:kern w:val="0"/>
                <w:sz w:val="24"/>
                <w:szCs w:val="24"/>
                <w:highlight w:val="none"/>
                <w:lang w:val="en-US" w:eastAsia="zh-CN"/>
              </w:rPr>
              <w:t>《</w:t>
            </w:r>
            <w:r>
              <w:rPr>
                <w:rFonts w:hint="default"/>
                <w:color w:val="auto"/>
                <w:kern w:val="0"/>
                <w:sz w:val="24"/>
                <w:szCs w:val="24"/>
                <w:highlight w:val="none"/>
                <w:lang w:val="en-US" w:eastAsia="zh-CN"/>
              </w:rPr>
              <w:t>关于黑龙江桦南经济开发区总体规划(2021-2035年)的批复</w:t>
            </w:r>
            <w:r>
              <w:rPr>
                <w:rFonts w:hint="eastAsia"/>
                <w:color w:val="auto"/>
                <w:kern w:val="0"/>
                <w:sz w:val="24"/>
                <w:szCs w:val="24"/>
                <w:highlight w:val="none"/>
                <w:lang w:val="en-US" w:eastAsia="zh-CN"/>
              </w:rPr>
              <w:t>》</w:t>
            </w:r>
            <w:r>
              <w:rPr>
                <w:rFonts w:hint="default"/>
                <w:color w:val="auto"/>
                <w:kern w:val="0"/>
                <w:sz w:val="24"/>
                <w:szCs w:val="24"/>
                <w:highlight w:val="none"/>
                <w:lang w:val="en-US" w:eastAsia="zh-CN"/>
              </w:rPr>
              <w:t>桦政发〔2024〕71号</w:t>
            </w:r>
            <w:r>
              <w:rPr>
                <w:rFonts w:hint="eastAsia"/>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2024年11月1号</w:t>
            </w:r>
          </w:p>
        </w:tc>
      </w:tr>
      <w:tr w14:paraId="58D834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2" w:type="pct"/>
            <w:vAlign w:val="center"/>
          </w:tcPr>
          <w:p w14:paraId="1DA4116D">
            <w:pPr>
              <w:autoSpaceDE w:val="0"/>
              <w:autoSpaceDN w:val="0"/>
              <w:adjustRightInd w:val="0"/>
              <w:snapToGrid w:val="0"/>
              <w:jc w:val="center"/>
              <w:rPr>
                <w:color w:val="auto"/>
                <w:sz w:val="24"/>
              </w:rPr>
            </w:pPr>
            <w:r>
              <w:rPr>
                <w:color w:val="auto"/>
                <w:sz w:val="24"/>
              </w:rPr>
              <w:t>规划环境影响</w:t>
            </w:r>
          </w:p>
          <w:p w14:paraId="3F78616B">
            <w:pPr>
              <w:autoSpaceDE w:val="0"/>
              <w:autoSpaceDN w:val="0"/>
              <w:adjustRightInd w:val="0"/>
              <w:snapToGrid w:val="0"/>
              <w:jc w:val="center"/>
              <w:rPr>
                <w:color w:val="auto"/>
                <w:sz w:val="24"/>
              </w:rPr>
            </w:pPr>
            <w:r>
              <w:rPr>
                <w:color w:val="auto"/>
                <w:sz w:val="24"/>
              </w:rPr>
              <w:t>评价情况</w:t>
            </w:r>
          </w:p>
        </w:tc>
        <w:tc>
          <w:tcPr>
            <w:tcW w:w="8915" w:type="dxa"/>
            <w:gridSpan w:val="3"/>
            <w:vAlign w:val="center"/>
          </w:tcPr>
          <w:p w14:paraId="188100D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jc w:val="both"/>
              <w:textAlignment w:val="auto"/>
              <w:rPr>
                <w:rFonts w:hint="eastAsia" w:ascii="Times New Roman" w:hAnsi="Times New Roman" w:eastAsia="宋体" w:cs="Times New Roman"/>
                <w:color w:val="auto"/>
                <w:kern w:val="0"/>
                <w:sz w:val="24"/>
                <w:szCs w:val="24"/>
                <w:highlight w:val="none"/>
                <w:lang w:val="en-US" w:eastAsia="zh-CN"/>
              </w:rPr>
            </w:pPr>
            <w:r>
              <w:rPr>
                <w:rFonts w:hint="eastAsia"/>
                <w:color w:val="auto"/>
                <w:kern w:val="0"/>
                <w:sz w:val="24"/>
                <w:szCs w:val="24"/>
                <w:highlight w:val="none"/>
              </w:rPr>
              <w:t>《黑龙江桦南经济开发区总体规划</w:t>
            </w:r>
            <w:r>
              <w:rPr>
                <w:rFonts w:hint="eastAsia"/>
                <w:color w:val="auto"/>
                <w:kern w:val="0"/>
                <w:sz w:val="24"/>
                <w:szCs w:val="24"/>
                <w:highlight w:val="none"/>
                <w:lang w:val="en-US" w:eastAsia="zh-CN"/>
              </w:rPr>
              <w:t>环境影响报告书（2021—2035年）</w:t>
            </w:r>
            <w:r>
              <w:rPr>
                <w:rFonts w:hint="eastAsia"/>
                <w:color w:val="auto"/>
                <w:kern w:val="0"/>
                <w:sz w:val="24"/>
                <w:szCs w:val="24"/>
                <w:highlight w:val="none"/>
              </w:rPr>
              <w:t>》</w:t>
            </w:r>
          </w:p>
          <w:p w14:paraId="11F83D4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jc w:val="left"/>
              <w:textAlignment w:val="auto"/>
              <w:rPr>
                <w:rFonts w:hint="default"/>
                <w:color w:val="auto"/>
                <w:kern w:val="0"/>
                <w:sz w:val="24"/>
                <w:szCs w:val="24"/>
                <w:highlight w:val="none"/>
                <w:lang w:val="en-US" w:eastAsia="zh-CN"/>
              </w:rPr>
            </w:pPr>
            <w:r>
              <w:rPr>
                <w:rFonts w:hint="default" w:ascii="Times New Roman" w:hAnsi="Times New Roman" w:cs="Times New Roman"/>
                <w:color w:val="auto"/>
                <w:sz w:val="24"/>
                <w:szCs w:val="24"/>
                <w:highlight w:val="none"/>
              </w:rPr>
              <w:t>召集审查机关：</w:t>
            </w:r>
            <w:r>
              <w:rPr>
                <w:rFonts w:hint="eastAsia"/>
                <w:color w:val="auto"/>
                <w:kern w:val="0"/>
                <w:sz w:val="24"/>
                <w:szCs w:val="24"/>
                <w:highlight w:val="none"/>
                <w:lang w:val="en-US" w:eastAsia="zh-CN"/>
              </w:rPr>
              <w:t>黑龙江省生态环境厅</w:t>
            </w:r>
          </w:p>
          <w:p w14:paraId="4A389BA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leftChars="0" w:right="0" w:rightChars="0"/>
              <w:jc w:val="left"/>
              <w:textAlignment w:val="auto"/>
              <w:rPr>
                <w:rFonts w:hint="default"/>
                <w:color w:val="auto"/>
                <w:lang w:val="en-US" w:eastAsia="zh-CN"/>
              </w:rPr>
            </w:pPr>
            <w:r>
              <w:rPr>
                <w:rFonts w:hint="default" w:ascii="Times New Roman" w:hAnsi="Times New Roman" w:cs="Times New Roman"/>
                <w:color w:val="auto"/>
                <w:sz w:val="24"/>
                <w:szCs w:val="24"/>
                <w:highlight w:val="none"/>
              </w:rPr>
              <w:t>审批文件名称：</w:t>
            </w:r>
            <w:r>
              <w:rPr>
                <w:rFonts w:hint="eastAsia"/>
                <w:color w:val="auto"/>
                <w:kern w:val="0"/>
                <w:sz w:val="24"/>
                <w:szCs w:val="24"/>
                <w:highlight w:val="none"/>
                <w:lang w:val="en-US" w:eastAsia="zh-CN"/>
              </w:rPr>
              <w:t>关于《黑龙江桦南经济开发区总体规划 （</w:t>
            </w:r>
            <w:r>
              <w:rPr>
                <w:rFonts w:hint="default"/>
                <w:color w:val="auto"/>
                <w:kern w:val="0"/>
                <w:sz w:val="24"/>
                <w:szCs w:val="24"/>
                <w:highlight w:val="none"/>
                <w:lang w:val="en-US" w:eastAsia="zh-CN"/>
              </w:rPr>
              <w:t>2021—2035 年）环境影响报告书》的审查意见</w:t>
            </w:r>
            <w:r>
              <w:rPr>
                <w:rFonts w:hint="eastAsia"/>
                <w:color w:val="auto"/>
                <w:kern w:val="0"/>
                <w:sz w:val="24"/>
                <w:szCs w:val="24"/>
                <w:highlight w:val="none"/>
                <w:lang w:val="en-US" w:eastAsia="zh-CN"/>
              </w:rPr>
              <w:t>，黑环函〔2025〕52 号。2025年5月23号</w:t>
            </w:r>
          </w:p>
        </w:tc>
      </w:tr>
      <w:tr w14:paraId="5FC419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2" w:type="pct"/>
            <w:vAlign w:val="center"/>
          </w:tcPr>
          <w:p w14:paraId="19691983">
            <w:pPr>
              <w:autoSpaceDE w:val="0"/>
              <w:autoSpaceDN w:val="0"/>
              <w:adjustRightInd w:val="0"/>
              <w:snapToGrid w:val="0"/>
              <w:jc w:val="center"/>
              <w:rPr>
                <w:color w:val="auto"/>
                <w:sz w:val="24"/>
              </w:rPr>
            </w:pPr>
            <w:r>
              <w:rPr>
                <w:color w:val="auto"/>
                <w:sz w:val="24"/>
              </w:rPr>
              <w:t>规划及规划环境影响评价符合性分析</w:t>
            </w:r>
          </w:p>
        </w:tc>
        <w:tc>
          <w:tcPr>
            <w:tcW w:w="4637" w:type="pct"/>
            <w:gridSpan w:val="3"/>
            <w:vAlign w:val="center"/>
          </w:tcPr>
          <w:p w14:paraId="5A72AA98">
            <w:pPr>
              <w:pStyle w:val="135"/>
              <w:snapToGrid w:val="0"/>
              <w:spacing w:line="360" w:lineRule="auto"/>
              <w:rPr>
                <w:rFonts w:hint="eastAsia"/>
                <w:b/>
                <w:bCs/>
                <w:color w:val="auto"/>
                <w:sz w:val="24"/>
                <w:szCs w:val="24"/>
                <w:highlight w:val="none"/>
                <w:lang w:val="en-US" w:eastAsia="zh-CN"/>
              </w:rPr>
            </w:pPr>
            <w:r>
              <w:rPr>
                <w:rFonts w:hint="eastAsia"/>
                <w:b/>
                <w:bCs/>
                <w:color w:val="auto"/>
                <w:sz w:val="24"/>
                <w:szCs w:val="24"/>
                <w:highlight w:val="none"/>
                <w:lang w:val="en-US" w:eastAsia="zh-CN"/>
              </w:rPr>
              <w:t>1、关于</w:t>
            </w:r>
            <w:r>
              <w:rPr>
                <w:rFonts w:hint="eastAsia"/>
                <w:b/>
                <w:bCs/>
                <w:color w:val="auto"/>
                <w:kern w:val="0"/>
                <w:sz w:val="24"/>
                <w:szCs w:val="24"/>
                <w:highlight w:val="none"/>
              </w:rPr>
              <w:t>《黑龙江桦南经济开发区总体规划（20</w:t>
            </w:r>
            <w:r>
              <w:rPr>
                <w:rFonts w:hint="eastAsia"/>
                <w:b/>
                <w:bCs/>
                <w:color w:val="auto"/>
                <w:kern w:val="0"/>
                <w:sz w:val="24"/>
                <w:szCs w:val="24"/>
                <w:highlight w:val="none"/>
                <w:lang w:val="en-US" w:eastAsia="zh-CN"/>
              </w:rPr>
              <w:t>21—</w:t>
            </w:r>
            <w:r>
              <w:rPr>
                <w:rFonts w:hint="eastAsia"/>
                <w:b/>
                <w:bCs/>
                <w:color w:val="auto"/>
                <w:kern w:val="0"/>
                <w:sz w:val="24"/>
                <w:szCs w:val="24"/>
                <w:highlight w:val="none"/>
              </w:rPr>
              <w:t>20</w:t>
            </w:r>
            <w:r>
              <w:rPr>
                <w:rFonts w:hint="eastAsia"/>
                <w:b/>
                <w:bCs/>
                <w:color w:val="auto"/>
                <w:kern w:val="0"/>
                <w:sz w:val="24"/>
                <w:szCs w:val="24"/>
                <w:highlight w:val="none"/>
                <w:lang w:val="en-US" w:eastAsia="zh-CN"/>
              </w:rPr>
              <w:t>3</w:t>
            </w:r>
            <w:r>
              <w:rPr>
                <w:rFonts w:hint="eastAsia"/>
                <w:b/>
                <w:bCs/>
                <w:color w:val="auto"/>
                <w:kern w:val="0"/>
                <w:sz w:val="24"/>
                <w:szCs w:val="24"/>
                <w:highlight w:val="none"/>
              </w:rPr>
              <w:t>5年）》</w:t>
            </w:r>
            <w:r>
              <w:rPr>
                <w:rFonts w:hint="eastAsia" w:ascii="Times New Roman" w:hAnsi="Times New Roman" w:eastAsia="宋体" w:cs="Times New Roman"/>
                <w:b/>
                <w:bCs/>
                <w:color w:val="auto"/>
                <w:sz w:val="24"/>
                <w:szCs w:val="24"/>
                <w:highlight w:val="none"/>
                <w:lang w:val="en-US" w:eastAsia="zh-CN"/>
              </w:rPr>
              <w:t>的符合性分析</w:t>
            </w:r>
          </w:p>
          <w:p w14:paraId="2BCED5C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480" w:firstLineChars="200"/>
              <w:jc w:val="left"/>
              <w:textAlignment w:val="auto"/>
              <w:rPr>
                <w:rFonts w:hint="default" w:hAnsi="宋体"/>
                <w:color w:val="auto"/>
                <w:sz w:val="24"/>
                <w:szCs w:val="24"/>
                <w:highlight w:val="none"/>
              </w:rPr>
            </w:pPr>
            <w:r>
              <w:rPr>
                <w:rFonts w:hint="eastAsia" w:ascii="Times New Roman" w:hAnsi="Times New Roman" w:eastAsia="宋体" w:cs="Times New Roman"/>
                <w:color w:val="auto"/>
                <w:sz w:val="24"/>
                <w:szCs w:val="24"/>
                <w:highlight w:val="none"/>
                <w:lang w:val="en-US" w:eastAsia="zh-CN"/>
              </w:rPr>
              <w:t>（1）规划定位：桦南经开区总体定位是以农副产品深加工产业、食品加工产业为基础，以精细化工产业为主导，以制造和建材产业为重点，打造佳木斯地区产城高度融合的综合经济开发区</w:t>
            </w:r>
            <w:r>
              <w:rPr>
                <w:rFonts w:hint="default" w:hAnsi="宋体"/>
                <w:color w:val="auto"/>
                <w:sz w:val="24"/>
                <w:szCs w:val="24"/>
                <w:highlight w:val="none"/>
              </w:rPr>
              <w:t>。</w:t>
            </w:r>
          </w:p>
          <w:p w14:paraId="74B9F652">
            <w:pPr>
              <w:pStyle w:val="1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both"/>
              <w:textAlignment w:val="baseline"/>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规划范围</w:t>
            </w:r>
          </w:p>
          <w:p w14:paraId="27C1CFD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本次桦南经济开发区总体规划范围为6.88平方公里</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规划范围内包括化工园区245公顷</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，北至曙开街、东至城镇开发边界、西至城镇开发边界、南至融商街一前进路一热电北街一兴企路合围区域。桦南经济开发区以八虎力河为分界线，可分为南、北两个片区。</w:t>
            </w:r>
          </w:p>
          <w:p w14:paraId="56D4AAA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82816" behindDoc="0" locked="0" layoutInCell="1" allowOverlap="1">
                      <wp:simplePos x="0" y="0"/>
                      <wp:positionH relativeFrom="column">
                        <wp:posOffset>2653030</wp:posOffset>
                      </wp:positionH>
                      <wp:positionV relativeFrom="paragraph">
                        <wp:posOffset>281940</wp:posOffset>
                      </wp:positionV>
                      <wp:extent cx="800100" cy="297180"/>
                      <wp:effectExtent l="636270" t="4445" r="11430" b="1184275"/>
                      <wp:wrapNone/>
                      <wp:docPr id="249" name="圆角矩形标注 249"/>
                      <wp:cNvGraphicFramePr/>
                      <a:graphic xmlns:a="http://schemas.openxmlformats.org/drawingml/2006/main">
                        <a:graphicData uri="http://schemas.microsoft.com/office/word/2010/wordprocessingShape">
                          <wps:wsp>
                            <wps:cNvSpPr/>
                            <wps:spPr>
                              <a:xfrm flipV="1">
                                <a:off x="0" y="0"/>
                                <a:ext cx="800100" cy="297180"/>
                              </a:xfrm>
                              <a:prstGeom prst="wedgeRoundRectCallout">
                                <a:avLst>
                                  <a:gd name="adj1" fmla="val -126477"/>
                                  <a:gd name="adj2" fmla="val -436745"/>
                                  <a:gd name="adj3" fmla="val 16667"/>
                                </a:avLst>
                              </a:prstGeom>
                              <a:noFill/>
                              <a:ln w="9525" cap="flat" cmpd="sng">
                                <a:solidFill>
                                  <a:srgbClr val="0000FF"/>
                                </a:solidFill>
                                <a:prstDash val="solid"/>
                                <a:miter/>
                                <a:headEnd type="none" w="med" len="med"/>
                                <a:tailEnd type="none" w="med" len="med"/>
                              </a:ln>
                            </wps:spPr>
                            <wps:txbx>
                              <w:txbxContent>
                                <w:p w14:paraId="50CFD7B9">
                                  <w:pPr>
                                    <w:spacing w:line="240" w:lineRule="atLeast"/>
                                    <w:ind w:left="0" w:leftChars="0" w:firstLine="0" w:firstLineChars="0"/>
                                    <w:jc w:val="both"/>
                                    <w:rPr>
                                      <w:rFonts w:hint="eastAsia" w:ascii="仿宋_GB2312" w:hAnsi="华文仿宋" w:eastAsia="仿宋_GB2312"/>
                                      <w:b/>
                                      <w:color w:val="0000FF"/>
                                      <w:lang w:val="en-US" w:eastAsia="zh-CN"/>
                                    </w:rPr>
                                  </w:pPr>
                                  <w:r>
                                    <w:rPr>
                                      <w:rFonts w:hint="eastAsia" w:ascii="仿宋_GB2312" w:hAnsi="华文仿宋" w:eastAsia="仿宋_GB2312"/>
                                      <w:b/>
                                      <w:color w:val="0000FF"/>
                                    </w:rPr>
                                    <w:t>项目</w:t>
                                  </w:r>
                                  <w:r>
                                    <w:rPr>
                                      <w:rFonts w:hint="eastAsia" w:ascii="仿宋_GB2312" w:hAnsi="华文仿宋" w:eastAsia="仿宋_GB2312"/>
                                      <w:b/>
                                      <w:color w:val="0000FF"/>
                                      <w:lang w:val="en-US" w:eastAsia="zh-CN"/>
                                    </w:rPr>
                                    <w:t>位置</w:t>
                                  </w:r>
                                </w:p>
                              </w:txbxContent>
                            </wps:txbx>
                            <wps:bodyPr upright="1"/>
                          </wps:wsp>
                        </a:graphicData>
                      </a:graphic>
                    </wp:anchor>
                  </w:drawing>
                </mc:Choice>
                <mc:Fallback>
                  <w:pict>
                    <v:shape id="_x0000_s1026" o:spid="_x0000_s1026" o:spt="62" type="#_x0000_t62" style="position:absolute;left:0pt;flip:y;margin-left:208.9pt;margin-top:22.2pt;height:23.4pt;width:63pt;z-index:251682816;mso-width-relative:page;mso-height-relative:page;" filled="f" stroked="t" coordsize="21600,21600" o:gfxdata="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EUrRc&#10;2QAAAAkBAAAPAAAAAAAAAAEAIAAAACIAAABkcnMvZG93bnJldi54bWxQSwECFAAUAAAACACHTuJA&#10;V8C6WFkCAACjBAAADgAAAAAAAAABACAAAAAoAQAAZHJzL2Uyb0RvYy54bWxQSwUGAAAAAAYABgBZ&#10;AQAA8wUAAAAA&#10;" adj="-16519,-83537,14400">
                      <v:fill on="f" focussize="0,0"/>
                      <v:stroke color="#0000FF" joinstyle="miter"/>
                      <v:imagedata o:title=""/>
                      <o:lock v:ext="edit" aspectratio="f"/>
                      <v:textbox>
                        <w:txbxContent>
                          <w:p w14:paraId="50CFD7B9">
                            <w:pPr>
                              <w:spacing w:line="240" w:lineRule="atLeast"/>
                              <w:ind w:left="0" w:leftChars="0" w:firstLine="0" w:firstLineChars="0"/>
                              <w:jc w:val="both"/>
                              <w:rPr>
                                <w:rFonts w:hint="eastAsia" w:ascii="仿宋_GB2312" w:hAnsi="华文仿宋" w:eastAsia="仿宋_GB2312"/>
                                <w:b/>
                                <w:color w:val="0000FF"/>
                                <w:lang w:val="en-US" w:eastAsia="zh-CN"/>
                              </w:rPr>
                            </w:pPr>
                            <w:r>
                              <w:rPr>
                                <w:rFonts w:hint="eastAsia" w:ascii="仿宋_GB2312" w:hAnsi="华文仿宋" w:eastAsia="仿宋_GB2312"/>
                                <w:b/>
                                <w:color w:val="0000FF"/>
                              </w:rPr>
                              <w:t>项目</w:t>
                            </w:r>
                            <w:r>
                              <w:rPr>
                                <w:rFonts w:hint="eastAsia" w:ascii="仿宋_GB2312" w:hAnsi="华文仿宋" w:eastAsia="仿宋_GB2312"/>
                                <w:b/>
                                <w:color w:val="0000FF"/>
                                <w:lang w:val="en-US" w:eastAsia="zh-CN"/>
                              </w:rPr>
                              <w:t>位置</w:t>
                            </w:r>
                          </w:p>
                        </w:txbxContent>
                      </v:textbox>
                    </v:shape>
                  </w:pict>
                </mc:Fallback>
              </mc:AlternateContent>
            </w:r>
            <w:r>
              <w:rPr>
                <w:rFonts w:hint="default" w:ascii="Times New Roman" w:hAnsi="Times New Roman" w:eastAsia="宋体" w:cs="Times New Roman"/>
                <w:color w:val="auto"/>
                <w:sz w:val="24"/>
                <w:szCs w:val="24"/>
                <w:highlight w:val="none"/>
                <w:lang w:val="en-US" w:eastAsia="zh-CN"/>
              </w:rPr>
              <w:t>规划地理位置见图1-1。</w:t>
            </w:r>
          </w:p>
          <w:p w14:paraId="15449B4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olor w:val="auto"/>
                <w:sz w:val="24"/>
                <w:szCs w:val="24"/>
                <w:highlight w:val="none"/>
              </w:rPr>
            </w:pP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81792" behindDoc="0" locked="0" layoutInCell="1" allowOverlap="1">
                      <wp:simplePos x="0" y="0"/>
                      <wp:positionH relativeFrom="column">
                        <wp:posOffset>1921510</wp:posOffset>
                      </wp:positionH>
                      <wp:positionV relativeFrom="paragraph">
                        <wp:posOffset>1329690</wp:posOffset>
                      </wp:positionV>
                      <wp:extent cx="198120" cy="174625"/>
                      <wp:effectExtent l="20955" t="19050" r="28575" b="15875"/>
                      <wp:wrapNone/>
                      <wp:docPr id="247" name="五角星 247"/>
                      <wp:cNvGraphicFramePr/>
                      <a:graphic xmlns:a="http://schemas.openxmlformats.org/drawingml/2006/main">
                        <a:graphicData uri="http://schemas.microsoft.com/office/word/2010/wordprocessingShape">
                          <wps:wsp>
                            <wps:cNvSpPr/>
                            <wps:spPr>
                              <a:xfrm>
                                <a:off x="0" y="0"/>
                                <a:ext cx="198120" cy="174625"/>
                              </a:xfrm>
                              <a:prstGeom prst="star5">
                                <a:avLst/>
                              </a:prstGeom>
                              <a:solidFill>
                                <a:srgbClr val="FF0000"/>
                              </a:solidFill>
                              <a:ln w="12700" cap="flat" cmpd="sng">
                                <a:solidFill>
                                  <a:srgbClr val="FFFFFF"/>
                                </a:solidFill>
                                <a:prstDash val="solid"/>
                                <a:miter/>
                                <a:headEnd type="none" w="med" len="med"/>
                                <a:tailEnd type="none" w="med" len="med"/>
                              </a:ln>
                            </wps:spPr>
                            <wps:txbx>
                              <w:txbxContent>
                                <w:p w14:paraId="3D382BA7"/>
                              </w:txbxContent>
                            </wps:txbx>
                            <wps:bodyPr upright="1"/>
                          </wps:wsp>
                        </a:graphicData>
                      </a:graphic>
                    </wp:anchor>
                  </w:drawing>
                </mc:Choice>
                <mc:Fallback>
                  <w:pict>
                    <v:shape id="_x0000_s1026" o:spid="_x0000_s1026" style="position:absolute;left:0pt;margin-left:151.3pt;margin-top:104.7pt;height:13.75pt;width:15.6pt;z-index:251681792;mso-width-relative:page;mso-height-relative:page;" fillcolor="#FF0000" filled="t" stroked="t" coordsize="198120,174625" o:gfxdata="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dcj83ZAAAACwEAAA8AAAAAAAAAAQAgAAAA&#10;IgAAAGRycy9kb3ducmV2LnhtbFBLAQIUABQAAAAIAIdO4kBEkvNTCgIAADEEAAAOAAAAAAAAAAEA&#10;IAAAACgBAABkcnMvZTJvRG9jLnhtbFBLBQYAAAAABgAGAFkBAACkBQAAAAA=&#10;" path="m0,66700l75675,66701,99060,0,122444,66701,198119,66700,136896,107923,160282,174624,99060,133400,37837,174624,61223,107923xe">
                      <v:path textboxrect="0,0,198120,174625" o:connectlocs="99060,0;0,66700;37837,174624;160282,174624;198119,66700" o:connectangles="247,164,82,82,0"/>
                      <v:fill on="t" focussize="0,0"/>
                      <v:stroke weight="1pt" color="#FFFFFF" joinstyle="miter"/>
                      <v:imagedata o:title=""/>
                      <o:lock v:ext="edit" aspectratio="f"/>
                      <v:textbox>
                        <w:txbxContent>
                          <w:p w14:paraId="3D382BA7"/>
                        </w:txbxContent>
                      </v:textbox>
                    </v:shape>
                  </w:pict>
                </mc:Fallback>
              </mc:AlternateContent>
            </w:r>
            <w:r>
              <w:rPr>
                <w:rFonts w:hint="default"/>
                <w:color w:val="auto"/>
                <w:sz w:val="24"/>
                <w:szCs w:val="24"/>
                <w:highlight w:val="none"/>
              </w:rPr>
              <w:drawing>
                <wp:inline distT="0" distB="0" distL="114300" distR="114300">
                  <wp:extent cx="4488815" cy="2179320"/>
                  <wp:effectExtent l="0" t="0" r="6985" b="11430"/>
                  <wp:docPr id="2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2"/>
                          <pic:cNvPicPr>
                            <a:picLocks noChangeAspect="1"/>
                          </pic:cNvPicPr>
                        </pic:nvPicPr>
                        <pic:blipFill>
                          <a:blip r:embed="rId8"/>
                          <a:stretch>
                            <a:fillRect/>
                          </a:stretch>
                        </pic:blipFill>
                        <pic:spPr>
                          <a:xfrm>
                            <a:off x="0" y="0"/>
                            <a:ext cx="4488815" cy="2179320"/>
                          </a:xfrm>
                          <a:prstGeom prst="rect">
                            <a:avLst/>
                          </a:prstGeom>
                          <a:noFill/>
                          <a:ln>
                            <a:noFill/>
                          </a:ln>
                        </pic:spPr>
                      </pic:pic>
                    </a:graphicData>
                  </a:graphic>
                </wp:inline>
              </w:drawing>
            </w:r>
          </w:p>
          <w:p w14:paraId="17387BB8">
            <w:pPr>
              <w:pStyle w:val="29"/>
              <w:keepNext w:val="0"/>
              <w:keepLines w:val="0"/>
              <w:pageBreakBefore w:val="0"/>
              <w:widowControl w:val="0"/>
              <w:suppressLineNumbers w:val="0"/>
              <w:kinsoku/>
              <w:wordWrap/>
              <w:overflowPunct/>
              <w:topLinePunct w:val="0"/>
              <w:bidi w:val="0"/>
              <w:adjustRightInd/>
              <w:snapToGrid/>
              <w:spacing w:before="0" w:beforeAutospacing="0" w:after="0" w:afterAutospacing="0"/>
              <w:ind w:left="480" w:leftChars="0" w:right="0"/>
              <w:jc w:val="center"/>
              <w:rPr>
                <w:rFonts w:hint="default"/>
                <w:color w:val="auto"/>
                <w:sz w:val="24"/>
                <w:szCs w:val="24"/>
                <w:highlight w:val="none"/>
                <w:lang w:val="en-US" w:eastAsia="zh-CN"/>
              </w:rPr>
            </w:pPr>
            <w:r>
              <w:rPr>
                <w:rFonts w:hint="default" w:ascii="Times New Roman" w:hAnsi="Times New Roman" w:cs="Times New Roman"/>
                <w:b/>
                <w:bCs/>
                <w:i w:val="0"/>
                <w:iCs w:val="0"/>
                <w:color w:val="auto"/>
                <w:sz w:val="24"/>
                <w:szCs w:val="24"/>
                <w:highlight w:val="none"/>
                <w:lang w:val="en-US" w:eastAsia="zh-CN"/>
              </w:rPr>
              <w:t>图1-1 规划区域地理位置图</w:t>
            </w:r>
          </w:p>
          <w:p w14:paraId="35E8EBC4">
            <w:pPr>
              <w:pStyle w:val="152"/>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both"/>
              <w:textAlignment w:val="baseline"/>
              <w:outlineLvl w:val="9"/>
              <w:rPr>
                <w:rFonts w:hint="eastAsia" w:ascii="Times New Roman" w:hAnsi="Times New Roman" w:cs="Times New Roman"/>
                <w:color w:val="0000FF"/>
                <w:sz w:val="24"/>
                <w:szCs w:val="24"/>
                <w:highlight w:val="none"/>
                <w:lang w:val="en-US" w:eastAsia="zh-CN"/>
              </w:rPr>
            </w:pPr>
            <w:r>
              <w:rPr>
                <w:rFonts w:hint="eastAsia" w:ascii="Times New Roman" w:hAnsi="Times New Roman" w:cs="Times New Roman"/>
                <w:color w:val="0000FF"/>
                <w:sz w:val="24"/>
                <w:szCs w:val="24"/>
                <w:highlight w:val="none"/>
                <w:lang w:val="en-US" w:eastAsia="zh-CN"/>
              </w:rPr>
              <w:t>土地利用：</w:t>
            </w:r>
            <w:r>
              <w:rPr>
                <w:rFonts w:hint="eastAsia"/>
                <w:color w:val="0000FF"/>
                <w:sz w:val="24"/>
                <w:highlight w:val="none"/>
              </w:rPr>
              <w:t>位于佳木斯市桦南县双果路与龙兴街交叉口西南侧，土地权属类别为工业用地，项目东侧和北侧是道路，南侧是佳木斯六月土健</w:t>
            </w:r>
            <w:r>
              <w:rPr>
                <w:rFonts w:hint="eastAsia" w:ascii="Times New Roman" w:hAnsi="Times New Roman" w:eastAsia="宋体" w:cs="Times New Roman"/>
                <w:color w:val="0000FF"/>
                <w:sz w:val="24"/>
                <w:highlight w:val="none"/>
              </w:rPr>
              <w:t>康食品有限公司和西侧是先锋种业。厂区内设置预处理车间、浸出车间、糠粕加工车间、</w:t>
            </w:r>
            <w:r>
              <w:rPr>
                <w:rFonts w:hint="eastAsia" w:ascii="Times New Roman" w:hAnsi="Times New Roman" w:eastAsia="宋体" w:cs="Times New Roman"/>
                <w:color w:val="0000FF"/>
                <w:sz w:val="24"/>
                <w:highlight w:val="none"/>
                <w:lang w:val="en-US" w:eastAsia="zh-CN"/>
              </w:rPr>
              <w:t>燃料库</w:t>
            </w:r>
            <w:r>
              <w:rPr>
                <w:rFonts w:hint="eastAsia" w:ascii="Times New Roman" w:hAnsi="Times New Roman" w:eastAsia="宋体" w:cs="Times New Roman"/>
                <w:color w:val="0000FF"/>
                <w:sz w:val="24"/>
                <w:highlight w:val="none"/>
              </w:rPr>
              <w:t>、二</w:t>
            </w:r>
            <w:r>
              <w:rPr>
                <w:rFonts w:hint="eastAsia"/>
                <w:color w:val="0000FF"/>
                <w:sz w:val="24"/>
                <w:highlight w:val="none"/>
              </w:rPr>
              <w:t>期丙类车间、热动力车间、门卫、办公楼、原料车间、地下溶剂库、固废暂存间、液体油罐4座。并建设地中衡、消防泵房、消防水池、化粪池及场区硬化、给排水、电气、弱电、供热、消防等配套基础设施</w:t>
            </w:r>
            <w:r>
              <w:rPr>
                <w:rFonts w:hint="eastAsia" w:ascii="Times New Roman" w:hAnsi="Times New Roman" w:cs="Times New Roman"/>
                <w:color w:val="0000FF"/>
                <w:sz w:val="24"/>
                <w:szCs w:val="24"/>
                <w:highlight w:val="none"/>
                <w:lang w:val="en-US" w:eastAsia="zh-CN"/>
              </w:rPr>
              <w:t>，</w:t>
            </w:r>
            <w:r>
              <w:rPr>
                <w:color w:val="0000FF"/>
                <w:sz w:val="24"/>
                <w:highlight w:val="none"/>
              </w:rPr>
              <w:t>本项目各单元布置合理，整个项目功能分区明确，布局紧凑合理，各个建筑物之间能够满足生产和运输要求</w:t>
            </w:r>
            <w:r>
              <w:rPr>
                <w:rFonts w:hint="eastAsia"/>
                <w:color w:val="0000FF"/>
                <w:sz w:val="24"/>
                <w:highlight w:val="none"/>
                <w:lang w:eastAsia="zh-CN"/>
              </w:rPr>
              <w:t>。</w:t>
            </w:r>
          </w:p>
          <w:p w14:paraId="2B2E81A2">
            <w:pPr>
              <w:pStyle w:val="152"/>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both"/>
              <w:textAlignment w:val="baseline"/>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SA"/>
              </w:rPr>
              <w:t>本项目位于黑龙江桦南经济开发区</w:t>
            </w:r>
            <w:r>
              <w:rPr>
                <w:rFonts w:hint="eastAsia" w:cs="Times New Roman"/>
                <w:color w:val="auto"/>
                <w:kern w:val="0"/>
                <w:sz w:val="24"/>
                <w:szCs w:val="24"/>
                <w:highlight w:val="none"/>
                <w:lang w:val="en-US" w:eastAsia="zh-CN" w:bidi="ar-SA"/>
              </w:rPr>
              <w:t>农产品加工产业园区</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根据</w:t>
            </w:r>
            <w:r>
              <w:rPr>
                <w:rFonts w:hint="eastAsia"/>
                <w:color w:val="auto"/>
                <w:kern w:val="0"/>
                <w:sz w:val="24"/>
                <w:szCs w:val="24"/>
                <w:highlight w:val="none"/>
              </w:rPr>
              <w:t>黑龙江桦南经济开发区</w:t>
            </w:r>
            <w:r>
              <w:rPr>
                <w:rFonts w:hint="eastAsia"/>
                <w:color w:val="auto"/>
                <w:kern w:val="0"/>
                <w:sz w:val="24"/>
                <w:szCs w:val="24"/>
                <w:highlight w:val="none"/>
                <w:lang w:val="en-US" w:eastAsia="zh-CN"/>
              </w:rPr>
              <w:t>用地规划图可知，</w:t>
            </w:r>
            <w:r>
              <w:rPr>
                <w:rFonts w:hint="eastAsia" w:cs="Times New Roman"/>
                <w:color w:val="auto"/>
                <w:kern w:val="0"/>
                <w:sz w:val="24"/>
                <w:szCs w:val="24"/>
                <w:highlight w:val="none"/>
                <w:lang w:val="en-US" w:eastAsia="zh-CN" w:bidi="ar-SA"/>
              </w:rPr>
              <w:t>本项目</w:t>
            </w:r>
            <w:r>
              <w:rPr>
                <w:rFonts w:hint="eastAsia" w:ascii="Times New Roman" w:hAnsi="Times New Roman" w:eastAsia="宋体" w:cs="Times New Roman"/>
                <w:color w:val="auto"/>
                <w:kern w:val="0"/>
                <w:sz w:val="24"/>
                <w:szCs w:val="24"/>
                <w:highlight w:val="none"/>
                <w:lang w:val="en-US" w:eastAsia="zh-CN" w:bidi="ar-SA"/>
              </w:rPr>
              <w:t>用地性质为工业用地，具体文件见附件</w:t>
            </w:r>
            <w:r>
              <w:rPr>
                <w:rFonts w:hint="eastAsia" w:ascii="Times New Roman" w:hAnsi="Times New Roman" w:cs="Times New Roman"/>
                <w:color w:val="auto"/>
                <w:kern w:val="0"/>
                <w:sz w:val="24"/>
                <w:szCs w:val="24"/>
                <w:highlight w:val="none"/>
                <w:lang w:val="en-US" w:eastAsia="zh-CN" w:bidi="ar-SA"/>
              </w:rPr>
              <w:t>2</w:t>
            </w:r>
            <w:r>
              <w:rPr>
                <w:rFonts w:hint="eastAsia" w:ascii="Times New Roman" w:hAnsi="Times New Roman" w:eastAsia="宋体" w:cs="Times New Roman"/>
                <w:color w:val="auto"/>
                <w:kern w:val="0"/>
                <w:sz w:val="24"/>
                <w:szCs w:val="24"/>
                <w:highlight w:val="none"/>
                <w:lang w:val="en-US" w:eastAsia="zh-CN" w:bidi="ar-SA"/>
              </w:rPr>
              <w:t>。符合</w:t>
            </w:r>
            <w:r>
              <w:rPr>
                <w:rFonts w:hint="eastAsia" w:ascii="Times New Roman" w:hAnsi="Times New Roman" w:cs="Times New Roman"/>
                <w:color w:val="auto"/>
                <w:sz w:val="24"/>
                <w:szCs w:val="24"/>
                <w:highlight w:val="none"/>
                <w:lang w:val="en-US" w:eastAsia="zh-CN"/>
              </w:rPr>
              <w:t>土地利用规划</w:t>
            </w:r>
            <w:r>
              <w:rPr>
                <w:rFonts w:hint="eastAsia" w:ascii="Times New Roman" w:hAnsi="Times New Roman" w:eastAsia="宋体" w:cs="Times New Roman"/>
                <w:color w:val="auto"/>
                <w:kern w:val="0"/>
                <w:sz w:val="24"/>
                <w:szCs w:val="24"/>
                <w:highlight w:val="none"/>
                <w:lang w:val="en-US" w:eastAsia="zh-CN" w:bidi="ar-SA"/>
              </w:rPr>
              <w:t>要求。</w:t>
            </w:r>
          </w:p>
          <w:p w14:paraId="65151EB6">
            <w:pPr>
              <w:pStyle w:val="152"/>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jc w:val="both"/>
              <w:textAlignment w:val="baseline"/>
              <w:outlineLvl w:val="9"/>
              <w:rPr>
                <w:rFonts w:hint="eastAsia" w:ascii="Times New Roman" w:hAnsi="Times New Roman" w:eastAsia="宋体" w:cs="Times New Roman"/>
                <w:color w:val="auto"/>
                <w:kern w:val="0"/>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产业</w:t>
            </w:r>
            <w:r>
              <w:rPr>
                <w:rFonts w:hint="default" w:ascii="Times New Roman" w:hAnsi="Times New Roman" w:eastAsia="宋体" w:cs="Times New Roman"/>
                <w:color w:val="auto"/>
                <w:kern w:val="0"/>
                <w:sz w:val="24"/>
                <w:szCs w:val="24"/>
                <w:highlight w:val="none"/>
                <w:lang w:val="en-US" w:eastAsia="zh-CN" w:bidi="ar-SA"/>
              </w:rPr>
              <w:t>定位</w:t>
            </w:r>
          </w:p>
          <w:p w14:paraId="571C7378">
            <w:pPr>
              <w:pStyle w:val="15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right="0" w:rightChars="0" w:firstLine="480" w:firstLineChars="200"/>
              <w:jc w:val="both"/>
              <w:textAlignment w:val="baseline"/>
              <w:outlineLvl w:val="9"/>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w:t>
            </w:r>
            <w:r>
              <w:rPr>
                <w:rFonts w:hint="default" w:ascii="Times New Roman" w:hAnsi="Times New Roman" w:eastAsia="宋体" w:cs="Times New Roman"/>
                <w:color w:val="auto"/>
                <w:kern w:val="0"/>
                <w:sz w:val="24"/>
                <w:szCs w:val="24"/>
                <w:highlight w:val="none"/>
                <w:lang w:val="en-US" w:eastAsia="zh-CN" w:bidi="ar-SA"/>
              </w:rPr>
              <w:t>建设单位为</w:t>
            </w:r>
            <w:r>
              <w:rPr>
                <w:rFonts w:hint="eastAsia"/>
                <w:color w:val="auto"/>
                <w:highlight w:val="none"/>
              </w:rPr>
              <w:t>黑龙江宏昌生物科技有限公司</w:t>
            </w:r>
            <w:r>
              <w:rPr>
                <w:rFonts w:hint="eastAsia" w:ascii="Times New Roman" w:hAnsi="Times New Roman" w:eastAsia="宋体" w:cs="Times New Roman"/>
                <w:color w:val="auto"/>
                <w:kern w:val="0"/>
                <w:sz w:val="24"/>
                <w:szCs w:val="24"/>
                <w:highlight w:val="none"/>
                <w:lang w:val="en-US" w:eastAsia="zh-CN" w:bidi="ar-SA"/>
              </w:rPr>
              <w:t>，建设地址</w:t>
            </w:r>
            <w:r>
              <w:rPr>
                <w:rFonts w:hint="default" w:ascii="Times New Roman" w:hAnsi="Times New Roman" w:eastAsia="宋体" w:cs="Times New Roman"/>
                <w:color w:val="auto"/>
                <w:kern w:val="0"/>
                <w:sz w:val="24"/>
                <w:szCs w:val="24"/>
                <w:highlight w:val="none"/>
                <w:lang w:val="en-US" w:eastAsia="zh-CN" w:bidi="ar-SA"/>
              </w:rPr>
              <w:t>位于</w:t>
            </w:r>
            <w:r>
              <w:rPr>
                <w:color w:val="auto"/>
                <w:highlight w:val="none"/>
              </w:rPr>
              <w:t>黑龙江省佳木斯市桦南县双果路与龙兴街交叉口西南侧</w:t>
            </w:r>
            <w:r>
              <w:rPr>
                <w:rFonts w:hint="eastAsia" w:ascii="Times New Roman" w:hAnsi="Times New Roman" w:eastAsia="宋体" w:cs="Times New Roman"/>
                <w:color w:val="auto"/>
                <w:kern w:val="0"/>
                <w:sz w:val="24"/>
                <w:szCs w:val="24"/>
                <w:highlight w:val="none"/>
                <w:lang w:val="en-US" w:eastAsia="zh-CN" w:bidi="ar-SA"/>
              </w:rPr>
              <w:t>。主要采用</w:t>
            </w:r>
            <w:r>
              <w:rPr>
                <w:rFonts w:hint="eastAsia" w:ascii="Times New Roman" w:hAnsi="Times New Roman" w:cs="Times New Roman"/>
                <w:color w:val="auto"/>
                <w:kern w:val="0"/>
                <w:sz w:val="24"/>
                <w:szCs w:val="24"/>
                <w:highlight w:val="none"/>
                <w:lang w:val="en-US" w:eastAsia="zh-CN" w:bidi="ar-SA"/>
              </w:rPr>
              <w:t>大豆、米糠生产毛油</w:t>
            </w:r>
            <w:r>
              <w:rPr>
                <w:rFonts w:hint="eastAsia" w:ascii="Times New Roman" w:hAnsi="Times New Roman" w:eastAsia="宋体" w:cs="Times New Roman"/>
                <w:color w:val="auto"/>
                <w:kern w:val="0"/>
                <w:sz w:val="24"/>
                <w:szCs w:val="24"/>
                <w:highlight w:val="none"/>
                <w:lang w:val="en-US" w:eastAsia="zh-CN" w:bidi="ar-SA"/>
              </w:rPr>
              <w:t>。根据《</w:t>
            </w:r>
            <w:r>
              <w:rPr>
                <w:rFonts w:hint="default" w:ascii="Times New Roman" w:hAnsi="Times New Roman" w:eastAsia="宋体" w:cs="Times New Roman"/>
                <w:color w:val="auto"/>
                <w:kern w:val="0"/>
                <w:sz w:val="24"/>
                <w:szCs w:val="24"/>
                <w:highlight w:val="none"/>
                <w:lang w:val="en-US" w:eastAsia="zh-CN" w:bidi="ar-SA"/>
              </w:rPr>
              <w:t>黑龙江桦南经济开发区总体规划</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2021</w:t>
            </w:r>
            <w:r>
              <w:rPr>
                <w:rFonts w:hint="eastAsia" w:ascii="Times New Roman" w:hAnsi="Times New Roman" w:eastAsia="宋体"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2035年</w:t>
            </w:r>
            <w:r>
              <w:rPr>
                <w:rFonts w:hint="eastAsia" w:ascii="Times New Roman" w:hAnsi="Times New Roman" w:eastAsia="宋体" w:cs="Times New Roman"/>
                <w:color w:val="auto"/>
                <w:kern w:val="0"/>
                <w:sz w:val="24"/>
                <w:szCs w:val="24"/>
                <w:highlight w:val="none"/>
                <w:lang w:val="en-US" w:eastAsia="zh-CN" w:bidi="ar-SA"/>
              </w:rPr>
              <w:t>）》中产业分布图可知：农产品加工产业区</w:t>
            </w:r>
            <w:r>
              <w:rPr>
                <w:rFonts w:hint="eastAsia" w:ascii="Times New Roman" w:hAnsi="Times New Roman" w:cs="Times New Roman"/>
                <w:color w:val="auto"/>
                <w:kern w:val="0"/>
                <w:sz w:val="24"/>
                <w:szCs w:val="24"/>
                <w:highlight w:val="none"/>
                <w:lang w:val="en-US" w:eastAsia="zh-CN" w:bidi="ar-SA"/>
              </w:rPr>
              <w:t>（二）</w:t>
            </w:r>
            <w:r>
              <w:rPr>
                <w:rFonts w:hint="eastAsia" w:ascii="Times New Roman" w:hAnsi="Times New Roman" w:eastAsia="宋体" w:cs="Times New Roman"/>
                <w:color w:val="auto"/>
                <w:kern w:val="0"/>
                <w:sz w:val="24"/>
                <w:szCs w:val="24"/>
                <w:highlight w:val="none"/>
                <w:lang w:val="en-US" w:eastAsia="zh-CN" w:bidi="ar-SA"/>
              </w:rPr>
              <w:t>涵盖了：</w:t>
            </w:r>
            <w:r>
              <w:rPr>
                <w:rFonts w:hint="default" w:ascii="Times New Roman" w:hAnsi="Times New Roman" w:eastAsia="宋体" w:cs="Times New Roman"/>
                <w:color w:val="auto"/>
                <w:kern w:val="0"/>
                <w:sz w:val="24"/>
                <w:szCs w:val="24"/>
                <w:highlight w:val="none"/>
                <w:lang w:val="en-US" w:eastAsia="zh-CN" w:bidi="ar-SA"/>
              </w:rPr>
              <w:t>A05</w:t>
            </w:r>
            <w:r>
              <w:rPr>
                <w:rFonts w:hint="eastAsia" w:ascii="Times New Roman" w:hAnsi="Times New Roman" w:eastAsia="宋体" w:cs="Times New Roman"/>
                <w:color w:val="auto"/>
                <w:kern w:val="0"/>
                <w:sz w:val="24"/>
                <w:szCs w:val="24"/>
                <w:highlight w:val="none"/>
                <w:lang w:val="en-US" w:eastAsia="zh-CN" w:bidi="ar-SA"/>
              </w:rPr>
              <w:t>农、林、牧、渔专业及辅助性活动、</w:t>
            </w:r>
            <w:r>
              <w:rPr>
                <w:rFonts w:hint="default" w:ascii="Times New Roman" w:hAnsi="Times New Roman" w:eastAsia="宋体" w:cs="Times New Roman"/>
                <w:color w:val="auto"/>
                <w:kern w:val="0"/>
                <w:sz w:val="24"/>
                <w:szCs w:val="24"/>
                <w:highlight w:val="none"/>
                <w:lang w:val="en-US" w:eastAsia="zh-CN" w:bidi="ar-SA"/>
              </w:rPr>
              <w:t>C13</w:t>
            </w:r>
            <w:r>
              <w:rPr>
                <w:rFonts w:hint="eastAsia" w:ascii="Times New Roman" w:hAnsi="Times New Roman" w:eastAsia="宋体" w:cs="Times New Roman"/>
                <w:color w:val="auto"/>
                <w:kern w:val="0"/>
                <w:sz w:val="24"/>
                <w:szCs w:val="24"/>
                <w:highlight w:val="none"/>
                <w:lang w:val="en-US" w:eastAsia="zh-CN" w:bidi="ar-SA"/>
              </w:rPr>
              <w:t>农副食品加工（不包括</w:t>
            </w:r>
            <w:r>
              <w:rPr>
                <w:rFonts w:hint="default" w:ascii="Times New Roman" w:hAnsi="Times New Roman" w:eastAsia="宋体" w:cs="Times New Roman"/>
                <w:color w:val="auto"/>
                <w:kern w:val="0"/>
                <w:sz w:val="24"/>
                <w:szCs w:val="24"/>
                <w:highlight w:val="none"/>
                <w:lang w:val="en-US" w:eastAsia="zh-CN" w:bidi="ar-SA"/>
              </w:rPr>
              <w:t>C134</w:t>
            </w:r>
            <w:r>
              <w:rPr>
                <w:rFonts w:hint="eastAsia" w:ascii="Times New Roman" w:hAnsi="Times New Roman" w:eastAsia="宋体" w:cs="Times New Roman"/>
                <w:color w:val="auto"/>
                <w:kern w:val="0"/>
                <w:sz w:val="24"/>
                <w:szCs w:val="24"/>
                <w:highlight w:val="none"/>
                <w:lang w:val="en-US" w:eastAsia="zh-CN" w:bidi="ar-SA"/>
              </w:rPr>
              <w:t>制糖业和</w:t>
            </w:r>
            <w:r>
              <w:rPr>
                <w:rFonts w:hint="default" w:ascii="Times New Roman" w:hAnsi="Times New Roman" w:eastAsia="宋体" w:cs="Times New Roman"/>
                <w:color w:val="auto"/>
                <w:kern w:val="0"/>
                <w:sz w:val="24"/>
                <w:szCs w:val="24"/>
                <w:highlight w:val="none"/>
                <w:lang w:val="en-US" w:eastAsia="zh-CN" w:bidi="ar-SA"/>
              </w:rPr>
              <w:t>C136</w:t>
            </w:r>
            <w:r>
              <w:rPr>
                <w:rFonts w:hint="eastAsia" w:ascii="Times New Roman" w:hAnsi="Times New Roman" w:eastAsia="宋体" w:cs="Times New Roman"/>
                <w:color w:val="auto"/>
                <w:kern w:val="0"/>
                <w:sz w:val="24"/>
                <w:szCs w:val="24"/>
                <w:highlight w:val="none"/>
                <w:lang w:val="en-US" w:eastAsia="zh-CN" w:bidi="ar-SA"/>
              </w:rPr>
              <w:t>水产品加工）、</w:t>
            </w:r>
            <w:r>
              <w:rPr>
                <w:rFonts w:hint="default" w:ascii="Times New Roman" w:hAnsi="Times New Roman" w:eastAsia="宋体" w:cs="Times New Roman"/>
                <w:color w:val="auto"/>
                <w:kern w:val="0"/>
                <w:sz w:val="24"/>
                <w:szCs w:val="24"/>
                <w:highlight w:val="none"/>
                <w:lang w:val="en-US" w:eastAsia="zh-CN" w:bidi="ar-SA"/>
              </w:rPr>
              <w:t>C14</w:t>
            </w:r>
            <w:r>
              <w:rPr>
                <w:rFonts w:hint="eastAsia" w:ascii="Times New Roman" w:hAnsi="Times New Roman" w:eastAsia="宋体" w:cs="Times New Roman"/>
                <w:color w:val="auto"/>
                <w:kern w:val="0"/>
                <w:sz w:val="24"/>
                <w:szCs w:val="24"/>
                <w:highlight w:val="none"/>
                <w:lang w:val="en-US" w:eastAsia="zh-CN" w:bidi="ar-SA"/>
              </w:rPr>
              <w:t>食品制造业（不包括</w:t>
            </w:r>
            <w:r>
              <w:rPr>
                <w:rFonts w:hint="default" w:ascii="Times New Roman" w:hAnsi="Times New Roman" w:eastAsia="宋体" w:cs="Times New Roman"/>
                <w:color w:val="auto"/>
                <w:kern w:val="0"/>
                <w:sz w:val="24"/>
                <w:szCs w:val="24"/>
                <w:highlight w:val="none"/>
                <w:lang w:val="en-US" w:eastAsia="zh-CN" w:bidi="ar-SA"/>
              </w:rPr>
              <w:t>C144</w:t>
            </w:r>
            <w:r>
              <w:rPr>
                <w:rFonts w:hint="eastAsia" w:ascii="Times New Roman" w:hAnsi="Times New Roman" w:eastAsia="宋体" w:cs="Times New Roman"/>
                <w:color w:val="auto"/>
                <w:kern w:val="0"/>
                <w:sz w:val="24"/>
                <w:szCs w:val="24"/>
                <w:highlight w:val="none"/>
                <w:lang w:val="en-US" w:eastAsia="zh-CN" w:bidi="ar-SA"/>
              </w:rPr>
              <w:t>乳制品制造、</w:t>
            </w:r>
            <w:r>
              <w:rPr>
                <w:rFonts w:hint="default" w:ascii="Times New Roman" w:hAnsi="Times New Roman" w:eastAsia="宋体" w:cs="Times New Roman"/>
                <w:color w:val="auto"/>
                <w:kern w:val="0"/>
                <w:sz w:val="24"/>
                <w:szCs w:val="24"/>
                <w:highlight w:val="none"/>
                <w:lang w:val="en-US" w:eastAsia="zh-CN" w:bidi="ar-SA"/>
              </w:rPr>
              <w:t>C146</w:t>
            </w:r>
            <w:r>
              <w:rPr>
                <w:rFonts w:hint="eastAsia" w:ascii="Times New Roman" w:hAnsi="Times New Roman" w:eastAsia="宋体" w:cs="Times New Roman"/>
                <w:color w:val="auto"/>
                <w:kern w:val="0"/>
                <w:sz w:val="24"/>
                <w:szCs w:val="24"/>
                <w:highlight w:val="none"/>
                <w:lang w:val="en-US" w:eastAsia="zh-CN" w:bidi="ar-SA"/>
              </w:rPr>
              <w:t>调味品、发酵制品制造中有发酵工艺的味精、柠檬酸、赖氨酸、酵母制造、</w:t>
            </w:r>
            <w:r>
              <w:rPr>
                <w:rFonts w:hint="default" w:ascii="Times New Roman" w:hAnsi="Times New Roman" w:eastAsia="宋体" w:cs="Times New Roman"/>
                <w:color w:val="auto"/>
                <w:kern w:val="0"/>
                <w:sz w:val="24"/>
                <w:szCs w:val="24"/>
                <w:highlight w:val="none"/>
                <w:lang w:val="en-US" w:eastAsia="zh-CN" w:bidi="ar-SA"/>
              </w:rPr>
              <w:t>C149</w:t>
            </w:r>
            <w:r>
              <w:rPr>
                <w:rFonts w:hint="eastAsia" w:ascii="Times New Roman" w:hAnsi="Times New Roman" w:eastAsia="宋体" w:cs="Times New Roman"/>
                <w:color w:val="auto"/>
                <w:kern w:val="0"/>
                <w:sz w:val="24"/>
                <w:szCs w:val="24"/>
                <w:highlight w:val="none"/>
                <w:lang w:val="en-US" w:eastAsia="zh-CN" w:bidi="ar-SA"/>
              </w:rPr>
              <w:t>其他食品制造中有发酵工艺的食品添加剂和饲料添加剂制造）、</w:t>
            </w:r>
            <w:r>
              <w:rPr>
                <w:rFonts w:hint="default" w:ascii="Times New Roman" w:hAnsi="Times New Roman" w:eastAsia="宋体" w:cs="Times New Roman"/>
                <w:color w:val="auto"/>
                <w:kern w:val="0"/>
                <w:sz w:val="24"/>
                <w:szCs w:val="24"/>
                <w:highlight w:val="none"/>
                <w:lang w:val="en-US" w:eastAsia="zh-CN" w:bidi="ar-SA"/>
              </w:rPr>
              <w:t>C15</w:t>
            </w:r>
            <w:r>
              <w:rPr>
                <w:rFonts w:hint="eastAsia" w:ascii="Times New Roman" w:hAnsi="Times New Roman" w:eastAsia="宋体" w:cs="Times New Roman"/>
                <w:color w:val="auto"/>
                <w:kern w:val="0"/>
                <w:sz w:val="24"/>
                <w:szCs w:val="24"/>
                <w:highlight w:val="none"/>
                <w:lang w:val="en-US" w:eastAsia="zh-CN" w:bidi="ar-SA"/>
              </w:rPr>
              <w:t>酒、饮料和精制茶制造业（不包括</w:t>
            </w:r>
            <w:r>
              <w:rPr>
                <w:rFonts w:hint="default" w:ascii="Times New Roman" w:hAnsi="Times New Roman" w:eastAsia="宋体" w:cs="Times New Roman"/>
                <w:color w:val="auto"/>
                <w:kern w:val="0"/>
                <w:sz w:val="24"/>
                <w:szCs w:val="24"/>
                <w:highlight w:val="none"/>
                <w:lang w:val="en-US" w:eastAsia="zh-CN" w:bidi="ar-SA"/>
              </w:rPr>
              <w:t>C1511</w:t>
            </w:r>
            <w:r>
              <w:rPr>
                <w:rFonts w:hint="eastAsia" w:ascii="Times New Roman" w:hAnsi="Times New Roman" w:eastAsia="宋体" w:cs="Times New Roman"/>
                <w:color w:val="auto"/>
                <w:kern w:val="0"/>
                <w:sz w:val="24"/>
                <w:szCs w:val="24"/>
                <w:highlight w:val="none"/>
                <w:lang w:val="en-US" w:eastAsia="zh-CN" w:bidi="ar-SA"/>
              </w:rPr>
              <w:t>酒精制造）、</w:t>
            </w:r>
            <w:r>
              <w:rPr>
                <w:rFonts w:hint="default" w:ascii="Times New Roman" w:hAnsi="Times New Roman" w:eastAsia="宋体" w:cs="Times New Roman"/>
                <w:color w:val="auto"/>
                <w:kern w:val="0"/>
                <w:sz w:val="24"/>
                <w:szCs w:val="24"/>
                <w:highlight w:val="none"/>
                <w:lang w:val="en-US" w:eastAsia="zh-CN" w:bidi="ar-SA"/>
              </w:rPr>
              <w:t>C273</w:t>
            </w:r>
            <w:r>
              <w:rPr>
                <w:rFonts w:hint="eastAsia" w:ascii="Times New Roman" w:hAnsi="Times New Roman" w:eastAsia="宋体" w:cs="Times New Roman"/>
                <w:color w:val="auto"/>
                <w:kern w:val="0"/>
                <w:sz w:val="24"/>
                <w:szCs w:val="24"/>
                <w:highlight w:val="none"/>
                <w:lang w:val="en-US" w:eastAsia="zh-CN" w:bidi="ar-SA"/>
              </w:rPr>
              <w:t>中药饮片加工和</w:t>
            </w:r>
            <w:r>
              <w:rPr>
                <w:rFonts w:hint="default" w:ascii="Times New Roman" w:hAnsi="Times New Roman" w:eastAsia="宋体" w:cs="Times New Roman"/>
                <w:color w:val="auto"/>
                <w:kern w:val="0"/>
                <w:sz w:val="24"/>
                <w:szCs w:val="24"/>
                <w:highlight w:val="none"/>
                <w:lang w:val="en-US" w:eastAsia="zh-CN" w:bidi="ar-SA"/>
              </w:rPr>
              <w:t>C274</w:t>
            </w:r>
            <w:r>
              <w:rPr>
                <w:rFonts w:hint="eastAsia" w:ascii="Times New Roman" w:hAnsi="Times New Roman" w:eastAsia="宋体" w:cs="Times New Roman"/>
                <w:color w:val="auto"/>
                <w:kern w:val="0"/>
                <w:sz w:val="24"/>
                <w:szCs w:val="24"/>
                <w:highlight w:val="none"/>
                <w:lang w:val="en-US" w:eastAsia="zh-CN" w:bidi="ar-SA"/>
              </w:rPr>
              <w:t>中成药生产、</w:t>
            </w:r>
            <w:r>
              <w:rPr>
                <w:rFonts w:hint="default" w:ascii="Times New Roman" w:hAnsi="Times New Roman" w:eastAsia="宋体" w:cs="Times New Roman"/>
                <w:color w:val="auto"/>
                <w:kern w:val="0"/>
                <w:sz w:val="24"/>
                <w:szCs w:val="24"/>
                <w:highlight w:val="none"/>
                <w:lang w:val="en-US" w:eastAsia="zh-CN" w:bidi="ar-SA"/>
              </w:rPr>
              <w:t>G59</w:t>
            </w:r>
            <w:r>
              <w:rPr>
                <w:rFonts w:hint="eastAsia" w:ascii="Times New Roman" w:hAnsi="Times New Roman" w:eastAsia="宋体" w:cs="Times New Roman"/>
                <w:color w:val="auto"/>
                <w:kern w:val="0"/>
                <w:sz w:val="24"/>
                <w:szCs w:val="24"/>
                <w:highlight w:val="none"/>
                <w:lang w:val="en-US" w:eastAsia="zh-CN" w:bidi="ar-SA"/>
              </w:rPr>
              <w:t>装卸搬运和仓储业（不包括</w:t>
            </w:r>
            <w:r>
              <w:rPr>
                <w:rFonts w:hint="default" w:ascii="Times New Roman" w:hAnsi="Times New Roman" w:eastAsia="宋体" w:cs="Times New Roman"/>
                <w:color w:val="auto"/>
                <w:kern w:val="0"/>
                <w:sz w:val="24"/>
                <w:szCs w:val="24"/>
                <w:highlight w:val="none"/>
                <w:lang w:val="en-US" w:eastAsia="zh-CN" w:bidi="ar-SA"/>
              </w:rPr>
              <w:t>G594</w:t>
            </w:r>
            <w:r>
              <w:rPr>
                <w:rFonts w:hint="eastAsia" w:ascii="Times New Roman" w:hAnsi="Times New Roman" w:eastAsia="宋体" w:cs="Times New Roman"/>
                <w:color w:val="auto"/>
                <w:kern w:val="0"/>
                <w:sz w:val="24"/>
                <w:szCs w:val="24"/>
                <w:highlight w:val="none"/>
                <w:lang w:val="en-US" w:eastAsia="zh-CN" w:bidi="ar-SA"/>
              </w:rPr>
              <w:t>危险品仓储）</w:t>
            </w:r>
            <w:r>
              <w:rPr>
                <w:rFonts w:hint="eastAsia" w:ascii="Times New Roman" w:hAnsi="Times New Roman"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该园区产业定位为：“农产品加工产</w:t>
            </w:r>
            <w:r>
              <w:rPr>
                <w:rFonts w:hint="eastAsia" w:cs="Times New Roman"/>
                <w:color w:val="auto"/>
                <w:kern w:val="0"/>
                <w:sz w:val="24"/>
                <w:szCs w:val="24"/>
                <w:highlight w:val="none"/>
                <w:lang w:val="en-US" w:eastAsia="zh-CN" w:bidi="ar-SA"/>
              </w:rPr>
              <w:t>业区以大力发展代餐粉、粮食加工、果蔬产品加工、畜禽产品加工、山林产品加工等产业，着力补齐精深加工短板，努力培育一批省级“质量标杆”和品牌培育试点食品加工企业，实现农产品多层次、多环节转化增值，打造全省绿色食品精深加工引领区。农副产品加工生产对于环境要求较高，规划将其布置在城市主导风向的上风向，同时尽量保障与现状农副食品生产企业集聚”。本项目与该园区产业</w:t>
            </w:r>
            <w:r>
              <w:rPr>
                <w:rFonts w:hint="eastAsia" w:ascii="Times New Roman" w:hAnsi="Times New Roman" w:eastAsia="宋体" w:cs="Times New Roman"/>
                <w:color w:val="auto"/>
                <w:kern w:val="0"/>
                <w:sz w:val="24"/>
                <w:szCs w:val="24"/>
                <w:highlight w:val="none"/>
                <w:lang w:val="en-US" w:eastAsia="zh-CN" w:bidi="ar-SA"/>
              </w:rPr>
              <w:t>定位相符</w:t>
            </w:r>
            <w:r>
              <w:rPr>
                <w:rFonts w:hint="default" w:ascii="Times New Roman" w:hAnsi="Times New Roman" w:eastAsia="宋体" w:cs="Times New Roman"/>
                <w:color w:val="auto"/>
                <w:kern w:val="0"/>
                <w:sz w:val="24"/>
                <w:szCs w:val="24"/>
                <w:highlight w:val="none"/>
                <w:lang w:val="en-US" w:eastAsia="zh-CN" w:bidi="ar-SA"/>
              </w:rPr>
              <w:t>。</w:t>
            </w:r>
          </w:p>
          <w:p w14:paraId="4F8A6259">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本项目为</w:t>
            </w:r>
            <w:r>
              <w:rPr>
                <w:rFonts w:hint="eastAsia" w:cs="Times New Roman"/>
                <w:color w:val="auto"/>
                <w:kern w:val="0"/>
                <w:sz w:val="24"/>
                <w:szCs w:val="24"/>
                <w:highlight w:val="none"/>
                <w:lang w:val="en-US" w:eastAsia="zh-CN" w:bidi="ar-SA"/>
              </w:rPr>
              <w:t>新建</w:t>
            </w:r>
            <w:r>
              <w:rPr>
                <w:rFonts w:hint="eastAsia" w:ascii="Times New Roman" w:hAnsi="Times New Roman" w:eastAsia="宋体" w:cs="Times New Roman"/>
                <w:color w:val="auto"/>
                <w:kern w:val="0"/>
                <w:sz w:val="24"/>
                <w:szCs w:val="24"/>
                <w:highlight w:val="none"/>
                <w:lang w:val="en-US" w:eastAsia="zh-CN" w:bidi="ar-SA"/>
              </w:rPr>
              <w:t>工程</w:t>
            </w:r>
            <w:r>
              <w:rPr>
                <w:rFonts w:hint="eastAsia" w:cs="Times New Roman"/>
                <w:color w:val="auto"/>
                <w:kern w:val="0"/>
                <w:sz w:val="24"/>
                <w:szCs w:val="24"/>
                <w:highlight w:val="none"/>
                <w:lang w:val="en-US" w:eastAsia="zh-CN" w:bidi="ar-SA"/>
              </w:rPr>
              <w:t>，</w:t>
            </w:r>
            <w:r>
              <w:rPr>
                <w:rFonts w:hint="eastAsia" w:ascii="Times New Roman" w:hAnsi="Times New Roman" w:eastAsia="宋体" w:cs="Times New Roman"/>
                <w:color w:val="auto"/>
                <w:kern w:val="0"/>
                <w:sz w:val="24"/>
                <w:szCs w:val="24"/>
                <w:highlight w:val="none"/>
                <w:lang w:val="en-US" w:eastAsia="zh-CN" w:bidi="ar-SA"/>
              </w:rPr>
              <w:t>本项</w:t>
            </w:r>
            <w:r>
              <w:rPr>
                <w:rFonts w:hint="eastAsia" w:cs="Times New Roman"/>
                <w:color w:val="auto"/>
                <w:kern w:val="0"/>
                <w:sz w:val="24"/>
                <w:szCs w:val="24"/>
                <w:highlight w:val="none"/>
                <w:lang w:val="en-US" w:eastAsia="zh-CN" w:bidi="ar-SA"/>
              </w:rPr>
              <w:t>目选址位于</w:t>
            </w:r>
            <w:r>
              <w:rPr>
                <w:rFonts w:hint="default" w:ascii="Times New Roman" w:hAnsi="Times New Roman" w:eastAsia="宋体" w:cs="Times New Roman"/>
                <w:color w:val="auto"/>
                <w:kern w:val="0"/>
                <w:sz w:val="24"/>
                <w:szCs w:val="24"/>
                <w:highlight w:val="none"/>
                <w:lang w:val="en-US" w:eastAsia="zh-CN" w:bidi="ar-SA"/>
              </w:rPr>
              <w:t>农产品加工产业园区</w:t>
            </w:r>
            <w:r>
              <w:rPr>
                <w:rFonts w:hint="eastAsia" w:cs="Times New Roman"/>
                <w:color w:val="auto"/>
                <w:kern w:val="0"/>
                <w:sz w:val="24"/>
                <w:szCs w:val="24"/>
                <w:highlight w:val="none"/>
                <w:lang w:val="en-US" w:eastAsia="zh-CN" w:bidi="ar-SA"/>
              </w:rPr>
              <w:t>内</w:t>
            </w:r>
            <w:r>
              <w:rPr>
                <w:rFonts w:hint="eastAsia" w:ascii="Times New Roman" w:hAnsi="Times New Roman" w:eastAsia="宋体" w:cs="Times New Roman"/>
                <w:color w:val="auto"/>
                <w:kern w:val="0"/>
                <w:sz w:val="24"/>
                <w:szCs w:val="24"/>
                <w:highlight w:val="none"/>
                <w:lang w:val="en-US" w:eastAsia="zh-CN" w:bidi="ar-SA"/>
              </w:rPr>
              <w:t>，国民经济行业类别</w:t>
            </w:r>
            <w:r>
              <w:rPr>
                <w:rFonts w:hint="eastAsia" w:cs="Times New Roman"/>
                <w:color w:val="auto"/>
                <w:kern w:val="0"/>
                <w:sz w:val="24"/>
                <w:szCs w:val="24"/>
                <w:highlight w:val="none"/>
                <w:lang w:val="en-US" w:eastAsia="zh-CN" w:bidi="ar-SA"/>
              </w:rPr>
              <w:t>属于</w:t>
            </w:r>
            <w:r>
              <w:rPr>
                <w:color w:val="auto"/>
                <w:sz w:val="24"/>
              </w:rPr>
              <w:t>C1331 食用植物油加工</w:t>
            </w:r>
            <w:r>
              <w:rPr>
                <w:rFonts w:hint="eastAsia" w:cs="Times New Roman"/>
                <w:color w:val="auto"/>
                <w:sz w:val="24"/>
                <w:highlight w:val="none"/>
                <w:lang w:eastAsia="zh-CN"/>
              </w:rPr>
              <w:t>，</w:t>
            </w:r>
            <w:r>
              <w:rPr>
                <w:rFonts w:hint="eastAsia" w:cs="Times New Roman"/>
                <w:color w:val="auto"/>
                <w:sz w:val="24"/>
                <w:highlight w:val="none"/>
                <w:lang w:val="en-US" w:eastAsia="zh-CN"/>
              </w:rPr>
              <w:t>属于</w:t>
            </w:r>
            <w:r>
              <w:rPr>
                <w:rFonts w:hint="eastAsia" w:ascii="Times New Roman" w:hAnsi="Times New Roman" w:eastAsia="宋体" w:cs="Times New Roman"/>
                <w:color w:val="auto"/>
                <w:kern w:val="0"/>
                <w:sz w:val="24"/>
                <w:szCs w:val="24"/>
                <w:highlight w:val="none"/>
                <w:lang w:val="en-US" w:eastAsia="zh-CN" w:bidi="ar-SA"/>
              </w:rPr>
              <w:t>农产品加工产业区涵盖</w:t>
            </w:r>
            <w:r>
              <w:rPr>
                <w:rFonts w:hint="eastAsia" w:cs="Times New Roman"/>
                <w:color w:val="auto"/>
                <w:kern w:val="0"/>
                <w:sz w:val="24"/>
                <w:szCs w:val="24"/>
                <w:highlight w:val="none"/>
                <w:lang w:val="en-US" w:eastAsia="zh-CN" w:bidi="ar-SA"/>
              </w:rPr>
              <w:t>行业，同时园区允许本项目入驻</w:t>
            </w:r>
            <w:r>
              <w:rPr>
                <w:rFonts w:hint="eastAsia" w:ascii="Times New Roman" w:hAnsi="Times New Roman" w:eastAsia="宋体" w:cs="Times New Roman"/>
                <w:color w:val="auto"/>
                <w:kern w:val="0"/>
                <w:sz w:val="24"/>
                <w:szCs w:val="24"/>
                <w:highlight w:val="none"/>
                <w:lang w:val="en-US" w:eastAsia="zh-CN" w:bidi="ar-SA"/>
              </w:rPr>
              <w:t>。</w:t>
            </w:r>
          </w:p>
          <w:p w14:paraId="21480F1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630" w:leftChars="0" w:right="0"/>
              <w:jc w:val="left"/>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（5）功能分区</w:t>
            </w:r>
          </w:p>
          <w:p w14:paraId="15ED1C1E">
            <w:pPr>
              <w:keepNext w:val="0"/>
              <w:keepLines w:val="0"/>
              <w:pageBreakBefore w:val="0"/>
              <w:widowControl w:val="0"/>
              <w:suppressLineNumbers w:val="0"/>
              <w:shd w:val="clear" w:color="auto" w:fill="auto"/>
              <w:kinsoku/>
              <w:wordWrap/>
              <w:overflowPunct/>
              <w:topLinePunct w:val="0"/>
              <w:autoSpaceDE/>
              <w:autoSpaceDN/>
              <w:bidi w:val="0"/>
              <w:adjustRightInd w:val="0"/>
              <w:snapToGrid w:val="0"/>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
              </w:rPr>
              <w:t>根</w:t>
            </w:r>
            <w:r>
              <w:rPr>
                <w:rFonts w:hint="eastAsia" w:ascii="Times New Roman" w:hAnsi="Times New Roman" w:eastAsia="宋体" w:cs="Times New Roman"/>
                <w:color w:val="auto"/>
                <w:kern w:val="0"/>
                <w:sz w:val="24"/>
                <w:szCs w:val="24"/>
                <w:highlight w:val="none"/>
                <w:lang w:val="en-US" w:eastAsia="zh-CN" w:bidi="ar-SA"/>
              </w:rPr>
              <w:t>据现状产业布局情况，结合区位条件、交通条件、用地条件，合理确定功能分区：本工程</w:t>
            </w:r>
            <w:r>
              <w:rPr>
                <w:rFonts w:hint="default" w:ascii="Times New Roman" w:hAnsi="Times New Roman" w:eastAsia="宋体" w:cs="Times New Roman"/>
                <w:color w:val="auto"/>
                <w:kern w:val="0"/>
                <w:sz w:val="24"/>
                <w:szCs w:val="24"/>
                <w:highlight w:val="none"/>
                <w:lang w:val="en-US" w:eastAsia="zh-CN" w:bidi="ar-SA"/>
              </w:rPr>
              <w:t>位于农产品加工产业园区</w:t>
            </w:r>
            <w:r>
              <w:rPr>
                <w:rFonts w:hint="eastAsia" w:ascii="Times New Roman" w:hAnsi="Times New Roman" w:eastAsia="宋体" w:cs="Times New Roman"/>
                <w:color w:val="auto"/>
                <w:kern w:val="0"/>
                <w:sz w:val="24"/>
                <w:szCs w:val="24"/>
                <w:highlight w:val="none"/>
                <w:lang w:val="en-US" w:eastAsia="zh-CN" w:bidi="ar-SA"/>
              </w:rPr>
              <w:t>，该园区产业定位为：“农产品加工产业区以大力发展代餐粉、粮食加工、果蔬产品加工、畜禽产品加工、山林产品加工等产业，着力补齐精深加工短板，努力培育一批省级“质量标杆”和品牌培育试点食品加工企业，实现农产品多层次、多环节转化增值，打造全省绿色食品精深加工引领区。农副产品加工生产对于环境要求较高，规划将其布置在城市主导风向的上风向，同时尽量保障与现状农副食品生产企业集聚”。本项目</w:t>
            </w:r>
            <w:r>
              <w:rPr>
                <w:rFonts w:hint="eastAsia" w:cs="Times New Roman"/>
                <w:color w:val="auto"/>
                <w:kern w:val="0"/>
                <w:sz w:val="24"/>
                <w:szCs w:val="24"/>
                <w:highlight w:val="none"/>
                <w:lang w:val="en-US" w:eastAsia="zh-CN" w:bidi="ar-SA"/>
              </w:rPr>
              <w:t>主要采用玉米、果蔬等生产饮料及饮用水</w:t>
            </w:r>
            <w:r>
              <w:rPr>
                <w:rFonts w:hint="eastAsia"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属于</w:t>
            </w:r>
            <w:r>
              <w:rPr>
                <w:rFonts w:hint="eastAsia"/>
                <w:color w:val="auto"/>
                <w:sz w:val="24"/>
                <w:highlight w:val="none"/>
                <w:lang w:val="en-US" w:eastAsia="zh-CN"/>
              </w:rPr>
              <w:t>酒、饮料、纯净水制造</w:t>
            </w:r>
            <w:r>
              <w:rPr>
                <w:rFonts w:hint="eastAsia" w:ascii="Times New Roman" w:hAnsi="Times New Roman" w:eastAsia="宋体" w:cs="Times New Roman"/>
                <w:color w:val="auto"/>
                <w:kern w:val="0"/>
                <w:sz w:val="24"/>
                <w:szCs w:val="24"/>
                <w:highlight w:val="none"/>
                <w:lang w:val="en-US" w:eastAsia="zh-CN" w:bidi="ar-SA"/>
              </w:rPr>
              <w:t>。符合功能分区要求。</w:t>
            </w:r>
          </w:p>
          <w:p w14:paraId="344F53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（6）基础设施规划</w:t>
            </w:r>
          </w:p>
          <w:p w14:paraId="186A02C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①给</w:t>
            </w:r>
            <w:r>
              <w:rPr>
                <w:rFonts w:hint="eastAsia" w:ascii="Times New Roman" w:hAnsi="Times New Roman" w:eastAsia="宋体" w:cs="Times New Roman"/>
                <w:b w:val="0"/>
                <w:bCs w:val="0"/>
                <w:color w:val="auto"/>
                <w:kern w:val="0"/>
                <w:sz w:val="24"/>
                <w:szCs w:val="24"/>
                <w:highlight w:val="none"/>
                <w:lang w:val="en-US" w:eastAsia="zh-CN" w:bidi="ar-SA"/>
              </w:rPr>
              <w:t>水规划：经开区根据用水水质不同分别设置生活给水、再生水、工业给水三套供水系统。</w:t>
            </w:r>
          </w:p>
          <w:p w14:paraId="103DE8E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规划经开区生活用水全部由市政自来水供水系统，水源为桦南县城现状净水厂供给。工业及其他用水分别由工业给水供水系统和再生水供水系统供给，其中：工业给水供水系统为经开区东北部规划净水厂，水源引自向阳山水库地表水；再生水水源为规划污水处理厂再生水处理系统中水，再生水利用率为污水量的60%。</w:t>
            </w:r>
          </w:p>
          <w:p w14:paraId="5858F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②排水工程规划：</w:t>
            </w:r>
          </w:p>
          <w:p w14:paraId="4EB0A1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default"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规划保留现状排水设施，包括污水提升泵站1座，雨水强排泵站1座、化工园区污水处理厂1座和生活污水处理厂1座。规划经开区污水经企业预处理后排入市政污水管网集中收集至化工园区污水处理厂处理后排入八虎力河。</w:t>
            </w:r>
          </w:p>
          <w:p w14:paraId="29DC6E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③供热工程规划：</w:t>
            </w:r>
          </w:p>
          <w:p w14:paraId="67024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近期</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维持现状，生产供热和生活采暖优先区集中供热</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热源桦南县鸿展热电有限公司</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装机容量</w:t>
            </w:r>
            <w:r>
              <w:rPr>
                <w:rFonts w:hint="eastAsia" w:cs="Times New Roman"/>
                <w:b w:val="0"/>
                <w:bCs w:val="0"/>
                <w:color w:val="auto"/>
                <w:kern w:val="0"/>
                <w:sz w:val="24"/>
                <w:szCs w:val="24"/>
                <w:highlight w:val="none"/>
                <w:lang w:val="en-US" w:eastAsia="zh-CN" w:bidi="ar-SA"/>
              </w:rPr>
              <w:t>为</w:t>
            </w:r>
            <w:r>
              <w:rPr>
                <w:rFonts w:hint="eastAsia" w:ascii="Times New Roman" w:hAnsi="Times New Roman" w:eastAsia="宋体" w:cs="Times New Roman"/>
                <w:b w:val="0"/>
                <w:bCs w:val="0"/>
                <w:color w:val="auto"/>
                <w:kern w:val="0"/>
                <w:sz w:val="24"/>
                <w:szCs w:val="24"/>
                <w:highlight w:val="none"/>
                <w:lang w:val="en-US" w:eastAsia="zh-CN" w:bidi="ar-SA"/>
              </w:rPr>
              <w:t>2</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90t</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h</w:t>
            </w:r>
            <w:r>
              <w:rPr>
                <w:rFonts w:hint="eastAsia" w:cs="Times New Roman"/>
                <w:b w:val="0"/>
                <w:bCs w:val="0"/>
                <w:color w:val="auto"/>
                <w:kern w:val="0"/>
                <w:sz w:val="24"/>
                <w:szCs w:val="24"/>
                <w:highlight w:val="none"/>
                <w:lang w:val="en-US" w:eastAsia="zh-CN" w:bidi="ar-SA"/>
              </w:rPr>
              <w:t>次</w:t>
            </w:r>
            <w:r>
              <w:rPr>
                <w:rFonts w:hint="eastAsia" w:ascii="Times New Roman" w:hAnsi="Times New Roman" w:eastAsia="宋体" w:cs="Times New Roman"/>
                <w:b w:val="0"/>
                <w:bCs w:val="0"/>
                <w:color w:val="auto"/>
                <w:kern w:val="0"/>
                <w:sz w:val="24"/>
                <w:szCs w:val="24"/>
                <w:highlight w:val="none"/>
                <w:lang w:val="en-US" w:eastAsia="zh-CN" w:bidi="ar-SA"/>
              </w:rPr>
              <w:t>高温次高流化床锅炉+1</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15MW背压式汽轮发电机组</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实现集中供热前，企业自建锅炉</w:t>
            </w:r>
            <w:r>
              <w:rPr>
                <w:rFonts w:hint="eastAsia" w:cs="Times New Roman"/>
                <w:b w:val="0"/>
                <w:bCs w:val="0"/>
                <w:color w:val="auto"/>
                <w:kern w:val="0"/>
                <w:sz w:val="24"/>
                <w:szCs w:val="24"/>
                <w:highlight w:val="none"/>
                <w:lang w:val="en-US" w:eastAsia="zh-CN" w:bidi="ar-SA"/>
              </w:rPr>
              <w:t>或者</w:t>
            </w:r>
            <w:r>
              <w:rPr>
                <w:rFonts w:hint="eastAsia" w:ascii="Times New Roman" w:hAnsi="Times New Roman" w:eastAsia="宋体" w:cs="Times New Roman"/>
                <w:b w:val="0"/>
                <w:bCs w:val="0"/>
                <w:color w:val="auto"/>
                <w:kern w:val="0"/>
                <w:sz w:val="24"/>
                <w:szCs w:val="24"/>
                <w:highlight w:val="none"/>
                <w:lang w:val="en-US" w:eastAsia="zh-CN" w:bidi="ar-SA"/>
              </w:rPr>
              <w:t>工业窑炉</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燃用电、天然气等清洁能源。</w:t>
            </w:r>
          </w:p>
          <w:p w14:paraId="27A204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left="0" w:right="0" w:firstLine="480" w:firstLineChars="200"/>
              <w:jc w:val="left"/>
              <w:textAlignment w:val="auto"/>
              <w:rPr>
                <w:rFonts w:hint="default"/>
                <w:color w:val="auto"/>
                <w:sz w:val="24"/>
                <w:szCs w:val="24"/>
                <w:highlight w:val="none"/>
              </w:rPr>
            </w:pPr>
            <w:r>
              <w:rPr>
                <w:rFonts w:hint="eastAsia" w:ascii="Times New Roman" w:hAnsi="Times New Roman" w:eastAsia="宋体" w:cs="Times New Roman"/>
                <w:b w:val="0"/>
                <w:bCs w:val="0"/>
                <w:color w:val="auto"/>
                <w:kern w:val="0"/>
                <w:sz w:val="24"/>
                <w:szCs w:val="24"/>
                <w:highlight w:val="none"/>
                <w:lang w:val="en-US" w:eastAsia="zh-CN" w:bidi="ar-SA"/>
              </w:rPr>
              <w:t>远期</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生产供热和生活采暖采用集中供热</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热源为桦南县鸿展热电有限公司</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装机容量</w:t>
            </w:r>
            <w:r>
              <w:rPr>
                <w:rFonts w:hint="eastAsia" w:cs="Times New Roman"/>
                <w:b w:val="0"/>
                <w:bCs w:val="0"/>
                <w:color w:val="auto"/>
                <w:kern w:val="0"/>
                <w:sz w:val="24"/>
                <w:szCs w:val="24"/>
                <w:highlight w:val="none"/>
                <w:lang w:val="en-US" w:eastAsia="zh-CN" w:bidi="ar-SA"/>
              </w:rPr>
              <w:t>为</w:t>
            </w:r>
            <w:r>
              <w:rPr>
                <w:rFonts w:hint="eastAsia" w:ascii="Times New Roman" w:hAnsi="Times New Roman" w:eastAsia="宋体" w:cs="Times New Roman"/>
                <w:b w:val="0"/>
                <w:bCs w:val="0"/>
                <w:color w:val="auto"/>
                <w:kern w:val="0"/>
                <w:sz w:val="24"/>
                <w:szCs w:val="24"/>
                <w:highlight w:val="none"/>
                <w:lang w:val="en-US" w:eastAsia="zh-CN" w:bidi="ar-SA"/>
              </w:rPr>
              <w:t>2</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90th次高温次高压循环流化床锅炉+1</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15MW背压式汽轮发电机组+2</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130t</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h</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1用1备</w:t>
            </w:r>
            <w:r>
              <w:rPr>
                <w:rFonts w:hint="eastAsia" w:cs="Times New Roman"/>
                <w:b w:val="0"/>
                <w:bCs w:val="0"/>
                <w:color w:val="auto"/>
                <w:kern w:val="0"/>
                <w:sz w:val="24"/>
                <w:szCs w:val="24"/>
                <w:highlight w:val="none"/>
                <w:lang w:val="en-US" w:eastAsia="zh-CN" w:bidi="ar-SA"/>
              </w:rPr>
              <w:t>）次</w:t>
            </w:r>
            <w:r>
              <w:rPr>
                <w:rFonts w:hint="eastAsia" w:ascii="Times New Roman" w:hAnsi="Times New Roman" w:eastAsia="宋体" w:cs="Times New Roman"/>
                <w:b w:val="0"/>
                <w:bCs w:val="0"/>
                <w:color w:val="auto"/>
                <w:kern w:val="0"/>
                <w:sz w:val="24"/>
                <w:szCs w:val="24"/>
                <w:highlight w:val="none"/>
                <w:lang w:val="en-US" w:eastAsia="zh-CN" w:bidi="ar-SA"/>
              </w:rPr>
              <w:t>高温次高压循环流化床锅炉+1</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15MW背压式汽轮发电机组</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工业窑炉燃用电、天然气等清洁能源。规划期末供热容量满足建筑采暖热负荷和工业热负荷需求。</w:t>
            </w:r>
          </w:p>
          <w:p w14:paraId="3E777103">
            <w:pPr>
              <w:keepNext w:val="0"/>
              <w:keepLines w:val="0"/>
              <w:suppressLineNumbers w:val="0"/>
              <w:spacing w:before="0" w:beforeAutospacing="0" w:after="0" w:afterAutospacing="0" w:line="500" w:lineRule="exact"/>
              <w:ind w:left="0" w:right="0" w:firstLine="480" w:firstLineChars="200"/>
              <w:rPr>
                <w:rFonts w:hint="default" w:ascii="Times New Roman" w:hAnsi="Times New Roman"/>
                <w:color w:val="auto"/>
                <w:szCs w:val="24"/>
                <w:highlight w:val="none"/>
              </w:rPr>
            </w:pPr>
            <w:r>
              <w:rPr>
                <w:rFonts w:hint="eastAsia" w:ascii="Times New Roman" w:hAnsi="Times New Roman" w:eastAsia="宋体" w:cs="Times New Roman"/>
                <w:color w:val="auto"/>
                <w:kern w:val="0"/>
                <w:sz w:val="24"/>
                <w:szCs w:val="24"/>
                <w:highlight w:val="none"/>
                <w:lang w:val="en-US" w:eastAsia="zh-CN" w:bidi="ar-SA"/>
              </w:rPr>
              <w:t>符合性分析：本项目为</w:t>
            </w:r>
            <w:r>
              <w:rPr>
                <w:rFonts w:hint="eastAsia"/>
                <w:color w:val="auto"/>
                <w:sz w:val="24"/>
              </w:rPr>
              <w:t>农副食品加工业</w:t>
            </w:r>
            <w:r>
              <w:rPr>
                <w:rFonts w:hint="eastAsia" w:ascii="Times New Roman" w:hAnsi="Times New Roman" w:eastAsia="宋体" w:cs="Times New Roman"/>
                <w:color w:val="auto"/>
                <w:kern w:val="0"/>
                <w:sz w:val="24"/>
                <w:szCs w:val="24"/>
                <w:highlight w:val="none"/>
                <w:lang w:val="en-US" w:eastAsia="zh-CN" w:bidi="ar-SA"/>
              </w:rPr>
              <w:t>，</w:t>
            </w:r>
            <w:r>
              <w:rPr>
                <w:rFonts w:hint="eastAsia"/>
                <w:color w:val="auto"/>
                <w:sz w:val="24"/>
                <w:lang w:val="en-US" w:eastAsia="zh-CN"/>
              </w:rPr>
              <w:t>项目所在区域未实现集中供热</w:t>
            </w:r>
            <w:r>
              <w:rPr>
                <w:rFonts w:hint="eastAsia"/>
                <w:color w:val="auto"/>
                <w:sz w:val="24"/>
              </w:rPr>
              <w:t>，本项目生产用蒸汽采用生物质蒸汽锅炉提供，冬季采暖采用余热供暖</w:t>
            </w:r>
            <w:r>
              <w:rPr>
                <w:rFonts w:hint="eastAsia"/>
                <w:color w:val="auto"/>
                <w:sz w:val="24"/>
                <w:lang w:eastAsia="zh-CN"/>
              </w:rPr>
              <w:t>；</w:t>
            </w:r>
            <w:r>
              <w:rPr>
                <w:rFonts w:hint="eastAsia"/>
                <w:color w:val="auto"/>
                <w:sz w:val="24"/>
                <w:lang w:val="en-US" w:eastAsia="zh-CN"/>
              </w:rPr>
              <w:t>根据《桦南经济开发区企业废水纳入桦南浦华净源水务有限公司（桦南县污水处理厂）可行性评估报告》园区已接入市政污水管网，非化工企业生产废水及生活污水纳入桦南浦华净源水务有限公司（桦南县污水处理厂）进行处理，</w:t>
            </w:r>
            <w:r>
              <w:rPr>
                <w:rFonts w:hint="eastAsia"/>
                <w:color w:val="auto"/>
                <w:sz w:val="24"/>
                <w:highlight w:val="none"/>
                <w:lang w:val="en-US" w:eastAsia="zh-CN"/>
              </w:rPr>
              <w:t>本项目</w:t>
            </w:r>
            <w:r>
              <w:rPr>
                <w:rFonts w:hint="eastAsia" w:cs="Times New Roman"/>
                <w:smallCaps w:val="0"/>
                <w:color w:val="auto"/>
                <w:sz w:val="24"/>
                <w:szCs w:val="24"/>
                <w:highlight w:val="none"/>
                <w:lang w:val="en-US" w:eastAsia="zh-CN"/>
              </w:rPr>
              <w:t>生产废水包括锅炉排污水、设备清洗水、浸出废水，锅炉废水部分用于厂区洒水降尘和灰渣加湿，剩余部分和设备清洗水、浸出废水一同排入厂内污水处理站</w:t>
            </w:r>
            <w:r>
              <w:rPr>
                <w:rFonts w:hint="eastAsia"/>
                <w:color w:val="auto"/>
                <w:sz w:val="24"/>
              </w:rPr>
              <w:t>，废气经布袋除尘器设施处置后排放，本项目采用低噪声设备、厂房隔声、基础减振、风机软连接等措施。本项目生产废料主要是筛分的谷壳、砂砾、粉尘等，集中收集，暂存在固废暂存间，交由有处理能力的单位处置</w:t>
            </w:r>
            <w:r>
              <w:rPr>
                <w:rFonts w:hint="eastAsia"/>
                <w:color w:val="auto"/>
                <w:sz w:val="24"/>
                <w:highlight w:val="none"/>
              </w:rPr>
              <w:t>；</w:t>
            </w:r>
            <w:r>
              <w:rPr>
                <w:rFonts w:hint="eastAsia"/>
                <w:color w:val="auto"/>
                <w:sz w:val="24"/>
              </w:rPr>
              <w:t>生物质锅炉灰渣及除尘器除尘灰，暂存于仓库密闭灰渣间，外售综合利用；生活垃圾集中收集，由市政环卫部门负责处理；废</w:t>
            </w:r>
            <w:r>
              <w:rPr>
                <w:rFonts w:hint="eastAsia"/>
                <w:color w:val="auto"/>
                <w:sz w:val="24"/>
                <w:lang w:eastAsia="zh-CN"/>
              </w:rPr>
              <w:t>离子交换</w:t>
            </w:r>
            <w:r>
              <w:rPr>
                <w:rFonts w:hint="eastAsia"/>
                <w:color w:val="auto"/>
                <w:sz w:val="24"/>
                <w:highlight w:val="none"/>
                <w:lang w:eastAsia="zh-CN"/>
              </w:rPr>
              <w:t>树脂</w:t>
            </w:r>
            <w:r>
              <w:rPr>
                <w:rFonts w:hint="eastAsia"/>
                <w:color w:val="auto"/>
                <w:sz w:val="24"/>
                <w:highlight w:val="none"/>
              </w:rPr>
              <w:t>由</w:t>
            </w:r>
            <w:r>
              <w:rPr>
                <w:rFonts w:hint="eastAsia"/>
                <w:color w:val="auto"/>
                <w:sz w:val="24"/>
                <w:highlight w:val="none"/>
                <w:lang w:val="en-US" w:eastAsia="zh-CN"/>
              </w:rPr>
              <w:t>厂家回收处理，污水处理污泥由有处置能力的单位处置</w:t>
            </w:r>
            <w:r>
              <w:rPr>
                <w:rFonts w:hint="eastAsia"/>
                <w:color w:val="auto"/>
                <w:sz w:val="24"/>
                <w:lang w:val="en-US" w:eastAsia="zh-CN"/>
              </w:rPr>
              <w:t>，</w:t>
            </w:r>
            <w:r>
              <w:rPr>
                <w:rFonts w:hint="eastAsia"/>
                <w:color w:val="auto"/>
                <w:sz w:val="24"/>
              </w:rPr>
              <w:t>本项目符合修编后的总体规划要求</w:t>
            </w:r>
            <w:r>
              <w:rPr>
                <w:rFonts w:hint="eastAsia"/>
                <w:color w:val="auto"/>
                <w:sz w:val="24"/>
                <w:lang w:eastAsia="zh-CN"/>
              </w:rPr>
              <w:t>；</w:t>
            </w:r>
            <w:r>
              <w:rPr>
                <w:rFonts w:hint="eastAsia"/>
                <w:color w:val="auto"/>
                <w:sz w:val="24"/>
                <w:lang w:val="en-US" w:eastAsia="zh-CN"/>
              </w:rPr>
              <w:t>废油脂采用密闭容器存放，由有资质的单位处理</w:t>
            </w:r>
            <w:r>
              <w:rPr>
                <w:rFonts w:hint="eastAsia" w:ascii="Times New Roman" w:hAnsi="Times New Roman" w:eastAsia="宋体" w:cs="Times New Roman"/>
                <w:color w:val="auto"/>
                <w:kern w:val="0"/>
                <w:sz w:val="24"/>
                <w:szCs w:val="24"/>
                <w:highlight w:val="none"/>
                <w:lang w:val="en-US" w:eastAsia="zh-CN" w:bidi="ar-SA"/>
              </w:rPr>
              <w:t>。</w:t>
            </w:r>
          </w:p>
          <w:p w14:paraId="0E94A489">
            <w:pPr>
              <w:pStyle w:val="9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综上，本项目</w:t>
            </w:r>
            <w:r>
              <w:rPr>
                <w:rFonts w:hint="default" w:ascii="Times New Roman" w:hAnsi="Times New Roman" w:eastAsia="宋体" w:cs="Times New Roman"/>
                <w:color w:val="auto"/>
                <w:kern w:val="0"/>
                <w:sz w:val="24"/>
                <w:szCs w:val="24"/>
                <w:highlight w:val="none"/>
                <w:lang w:val="en-US" w:eastAsia="zh-CN" w:bidi="ar-SA"/>
              </w:rPr>
              <w:t>符合</w:t>
            </w:r>
            <w:r>
              <w:rPr>
                <w:rFonts w:hint="eastAsia" w:ascii="Times New Roman" w:hAnsi="Times New Roman" w:eastAsia="宋体" w:cs="Times New Roman"/>
                <w:color w:val="auto"/>
                <w:kern w:val="0"/>
                <w:sz w:val="24"/>
                <w:szCs w:val="24"/>
                <w:highlight w:val="none"/>
                <w:lang w:val="en-US" w:eastAsia="zh-CN" w:bidi="ar-SA"/>
              </w:rPr>
              <w:t>《黑龙江桦南经济开发区总体规划（20</w:t>
            </w:r>
            <w:r>
              <w:rPr>
                <w:rFonts w:hint="eastAsia" w:cs="Times New Roman"/>
                <w:color w:val="auto"/>
                <w:kern w:val="0"/>
                <w:sz w:val="24"/>
                <w:szCs w:val="24"/>
                <w:highlight w:val="none"/>
                <w:lang w:val="en-US" w:eastAsia="zh-CN" w:bidi="ar-SA"/>
              </w:rPr>
              <w:t>21—</w:t>
            </w:r>
            <w:r>
              <w:rPr>
                <w:rFonts w:hint="eastAsia" w:ascii="Times New Roman" w:hAnsi="Times New Roman" w:eastAsia="宋体" w:cs="Times New Roman"/>
                <w:color w:val="auto"/>
                <w:kern w:val="0"/>
                <w:sz w:val="24"/>
                <w:szCs w:val="24"/>
                <w:highlight w:val="none"/>
                <w:lang w:val="en-US" w:eastAsia="zh-CN" w:bidi="ar-SA"/>
              </w:rPr>
              <w:t>20</w:t>
            </w:r>
            <w:r>
              <w:rPr>
                <w:rFonts w:hint="eastAsia" w:cs="Times New Roman"/>
                <w:color w:val="auto"/>
                <w:kern w:val="0"/>
                <w:sz w:val="24"/>
                <w:szCs w:val="24"/>
                <w:highlight w:val="none"/>
                <w:lang w:val="en-US" w:eastAsia="zh-CN" w:bidi="ar-SA"/>
              </w:rPr>
              <w:t>35</w:t>
            </w:r>
            <w:r>
              <w:rPr>
                <w:rFonts w:hint="eastAsia" w:ascii="Times New Roman" w:hAnsi="Times New Roman" w:eastAsia="宋体" w:cs="Times New Roman"/>
                <w:color w:val="auto"/>
                <w:kern w:val="0"/>
                <w:sz w:val="24"/>
                <w:szCs w:val="24"/>
                <w:highlight w:val="none"/>
                <w:lang w:val="en-US" w:eastAsia="zh-CN" w:bidi="ar-SA"/>
              </w:rPr>
              <w:t>年）》中相关要求。</w:t>
            </w:r>
          </w:p>
          <w:p w14:paraId="12320DFC">
            <w:pPr>
              <w:pStyle w:val="93"/>
              <w:keepNext w:val="0"/>
              <w:keepLines w:val="0"/>
              <w:suppressLineNumbers w:val="0"/>
              <w:spacing w:before="0" w:beforeAutospacing="0" w:after="0" w:afterAutospacing="0"/>
              <w:ind w:left="0" w:leftChars="0" w:right="0" w:firstLine="0" w:firstLineChars="0"/>
              <w:jc w:val="center"/>
              <w:rPr>
                <w:rFonts w:hint="default"/>
                <w:color w:val="auto"/>
                <w:highlight w:val="none"/>
              </w:rPr>
            </w:pPr>
            <w:r>
              <w:rPr>
                <w:rFonts w:hint="default"/>
                <w:color w:val="auto"/>
                <w:sz w:val="20"/>
                <w:highlight w:val="none"/>
              </w:rPr>
              <mc:AlternateContent>
                <mc:Choice Requires="wps">
                  <w:drawing>
                    <wp:anchor distT="0" distB="0" distL="114300" distR="114300" simplePos="0" relativeHeight="251683840" behindDoc="0" locked="0" layoutInCell="1" allowOverlap="1">
                      <wp:simplePos x="0" y="0"/>
                      <wp:positionH relativeFrom="column">
                        <wp:posOffset>2464435</wp:posOffset>
                      </wp:positionH>
                      <wp:positionV relativeFrom="paragraph">
                        <wp:posOffset>2403475</wp:posOffset>
                      </wp:positionV>
                      <wp:extent cx="142875" cy="95250"/>
                      <wp:effectExtent l="12700" t="12700" r="15875" b="25400"/>
                      <wp:wrapNone/>
                      <wp:docPr id="205" name="五角星 205"/>
                      <wp:cNvGraphicFramePr/>
                      <a:graphic xmlns:a="http://schemas.openxmlformats.org/drawingml/2006/main">
                        <a:graphicData uri="http://schemas.microsoft.com/office/word/2010/wordprocessingShape">
                          <wps:wsp>
                            <wps:cNvSpPr/>
                            <wps:spPr>
                              <a:xfrm>
                                <a:off x="2884805" y="6212840"/>
                                <a:ext cx="142875" cy="952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4.05pt;margin-top:189.25pt;height:7.5pt;width:11.25pt;z-index:251683840;v-text-anchor:middle;mso-width-relative:page;mso-height-relative:page;" fillcolor="#FF0000" filled="t" stroked="t" coordsize="142875,95250" o:gfxdata="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BuWddoAAAALAQAADwAAAAAAAAABACAAAAAiAAAAZHJz&#10;L2Rvd25yZXYueG1sUEsBAhQAFAAAAAgAh07iQMx1pat0AgAA7wQAAA4AAAAAAAAAAQAgAAAAKQEA&#10;AGRycy9lMm9Eb2MueG1sUEsFBgAAAAAGAAYAWQEAAA8GAAAAAA==&#10;" path="m0,36382l54573,36382,71437,0,88301,36382,142874,36382,98723,58867,115588,95249,71437,72764,27286,95249,44151,58867xe">
                      <v:path o:connectlocs="71437,0;0,36382;27286,95249;115588,95249;142874,36382" o:connectangles="247,164,82,82,0"/>
                      <v:fill on="t" focussize="0,0"/>
                      <v:stroke weight="2pt" color="#FF0000 [2404]" joinstyle="round"/>
                      <v:imagedata o:title=""/>
                      <o:lock v:ext="edit" aspectratio="f"/>
                    </v:shape>
                  </w:pict>
                </mc:Fallback>
              </mc:AlternateContent>
            </w:r>
            <w:r>
              <w:rPr>
                <w:rFonts w:hint="default"/>
                <w:color w:val="auto"/>
              </w:rPr>
              <w:drawing>
                <wp:inline distT="0" distB="0" distL="114300" distR="114300">
                  <wp:extent cx="5043170" cy="4498975"/>
                  <wp:effectExtent l="0" t="0" r="5080" b="15875"/>
                  <wp:docPr id="2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8"/>
                          <pic:cNvPicPr>
                            <a:picLocks noChangeAspect="1"/>
                          </pic:cNvPicPr>
                        </pic:nvPicPr>
                        <pic:blipFill>
                          <a:blip r:embed="rId9"/>
                          <a:stretch>
                            <a:fillRect/>
                          </a:stretch>
                        </pic:blipFill>
                        <pic:spPr>
                          <a:xfrm>
                            <a:off x="0" y="0"/>
                            <a:ext cx="5043170" cy="4498975"/>
                          </a:xfrm>
                          <a:prstGeom prst="rect">
                            <a:avLst/>
                          </a:prstGeom>
                          <a:noFill/>
                          <a:ln>
                            <a:noFill/>
                          </a:ln>
                        </pic:spPr>
                      </pic:pic>
                    </a:graphicData>
                  </a:graphic>
                </wp:inline>
              </w:drawing>
            </w:r>
            <w:r>
              <w:rPr>
                <w:rFonts w:hint="default"/>
                <w:color w:val="auto"/>
                <w:sz w:val="20"/>
                <w:highlight w:val="none"/>
              </w:rPr>
              <mc:AlternateContent>
                <mc:Choice Requires="wps">
                  <w:drawing>
                    <wp:anchor distT="0" distB="0" distL="114300" distR="114300" simplePos="0" relativeHeight="251685888" behindDoc="0" locked="0" layoutInCell="1" allowOverlap="1">
                      <wp:simplePos x="0" y="0"/>
                      <wp:positionH relativeFrom="column">
                        <wp:posOffset>1493520</wp:posOffset>
                      </wp:positionH>
                      <wp:positionV relativeFrom="paragraph">
                        <wp:posOffset>2846070</wp:posOffset>
                      </wp:positionV>
                      <wp:extent cx="991870" cy="285750"/>
                      <wp:effectExtent l="4445" t="4445" r="13335" b="14605"/>
                      <wp:wrapNone/>
                      <wp:docPr id="209" name="文本框 209"/>
                      <wp:cNvGraphicFramePr/>
                      <a:graphic xmlns:a="http://schemas.openxmlformats.org/drawingml/2006/main">
                        <a:graphicData uri="http://schemas.microsoft.com/office/word/2010/wordprocessingShape">
                          <wps:wsp>
                            <wps:cNvSpPr txBox="1"/>
                            <wps:spPr>
                              <a:xfrm>
                                <a:off x="2313305" y="6617335"/>
                                <a:ext cx="991870"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9ED8E7">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6pt;margin-top:224.1pt;height:22.5pt;width:78.1pt;z-index:251685888;mso-width-relative:page;mso-height-relative:page;" fillcolor="#FFFFFF [3201]" filled="t" stroked="t" coordsize="21600,21600" o:gfxdata="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TM9KCNcAAAALAQAADwAAAAAAAAABACAAAAAiAAAAZHJzL2Rvd25yZXYueG1sUEsB&#10;AhQAFAAAAAgAh07iQExUlMtoAgAAxgQAAA4AAAAAAAAAAQAgAAAAJgEAAGRycy9lMm9Eb2MueG1s&#10;UEsFBgAAAAAGAAYAWQEAAAAGAAAAAA==&#10;">
                      <v:fill on="t" focussize="0,0"/>
                      <v:stroke weight="0.5pt" color="#000000 [3204]" joinstyle="round"/>
                      <v:imagedata o:title=""/>
                      <o:lock v:ext="edit" aspectratio="f"/>
                      <v:textbox>
                        <w:txbxContent>
                          <w:p w14:paraId="6C9ED8E7">
                            <w:pPr>
                              <w:rPr>
                                <w:rFonts w:hint="default" w:eastAsia="宋体"/>
                                <w:lang w:val="en-US" w:eastAsia="zh-CN"/>
                              </w:rPr>
                            </w:pPr>
                            <w:r>
                              <w:rPr>
                                <w:rFonts w:hint="eastAsia"/>
                                <w:lang w:val="en-US" w:eastAsia="zh-CN"/>
                              </w:rPr>
                              <w:t>本项目位置</w:t>
                            </w:r>
                          </w:p>
                        </w:txbxContent>
                      </v:textbox>
                    </v:shape>
                  </w:pict>
                </mc:Fallback>
              </mc:AlternateContent>
            </w:r>
            <w:r>
              <w:rPr>
                <w:rFonts w:hint="default"/>
                <w:color w:val="auto"/>
                <w:sz w:val="20"/>
                <w:highlight w:val="none"/>
              </w:rPr>
              <mc:AlternateContent>
                <mc:Choice Requires="wps">
                  <w:drawing>
                    <wp:anchor distT="0" distB="0" distL="114300" distR="114300" simplePos="0" relativeHeight="251684864" behindDoc="0" locked="0" layoutInCell="1" allowOverlap="1">
                      <wp:simplePos x="0" y="0"/>
                      <wp:positionH relativeFrom="column">
                        <wp:posOffset>2218055</wp:posOffset>
                      </wp:positionH>
                      <wp:positionV relativeFrom="paragraph">
                        <wp:posOffset>2498725</wp:posOffset>
                      </wp:positionV>
                      <wp:extent cx="273685" cy="317500"/>
                      <wp:effectExtent l="0" t="8255" r="12065" b="17145"/>
                      <wp:wrapNone/>
                      <wp:docPr id="208" name="直接箭头连接符 208"/>
                      <wp:cNvGraphicFramePr/>
                      <a:graphic xmlns:a="http://schemas.openxmlformats.org/drawingml/2006/main">
                        <a:graphicData uri="http://schemas.microsoft.com/office/word/2010/wordprocessingShape">
                          <wps:wsp>
                            <wps:cNvCnPr>
                              <a:stCxn id="205" idx="2"/>
                            </wps:cNvCnPr>
                            <wps:spPr>
                              <a:xfrm flipH="1">
                                <a:off x="2495550" y="6283960"/>
                                <a:ext cx="273685" cy="31750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74.65pt;margin-top:196.75pt;height:25pt;width:21.55pt;z-index:251684864;mso-width-relative:page;mso-height-relative:page;" filled="f" stroked="t" coordsize="21600,21600" o:gfxdata="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zn09nbAAAACwEAAA8AAAAAAAAAAQAgAAAAIgAAAGRycy9kb3ducmV2LnhtbFBLAQIUABQA&#10;AAAIAIdO4kAziNCQJgIAAA4EAAAOAAAAAAAAAAEAIAAAACoBAABkcnMvZTJvRG9jLnhtbFBLBQYA&#10;AAAABgAGAFkBAADCBQAAAAA=&#10;">
                      <v:fill on="f" focussize="0,0"/>
                      <v:stroke weight="2pt" color="#4F81BD [3204]" joinstyle="round" endarrow="open"/>
                      <v:imagedata o:title=""/>
                      <o:lock v:ext="edit" aspectratio="f"/>
                    </v:shape>
                  </w:pict>
                </mc:Fallback>
              </mc:AlternateContent>
            </w:r>
          </w:p>
          <w:p w14:paraId="1997B241">
            <w:pPr>
              <w:pStyle w:val="29"/>
              <w:keepNext w:val="0"/>
              <w:keepLines w:val="0"/>
              <w:pageBreakBefore w:val="0"/>
              <w:widowControl w:val="0"/>
              <w:suppressLineNumbers w:val="0"/>
              <w:kinsoku/>
              <w:wordWrap/>
              <w:overflowPunct/>
              <w:topLinePunct w:val="0"/>
              <w:bidi w:val="0"/>
              <w:adjustRightInd/>
              <w:snapToGrid/>
              <w:spacing w:before="0" w:beforeAutospacing="0" w:after="0" w:afterAutospacing="0"/>
              <w:ind w:left="480" w:leftChars="0" w:right="0"/>
              <w:jc w:val="center"/>
              <w:rPr>
                <w:rFonts w:hint="eastAsia" w:cs="Times New Roman"/>
                <w:b/>
                <w:bCs/>
                <w:i w:val="0"/>
                <w:iCs w:val="0"/>
                <w:color w:val="auto"/>
                <w:sz w:val="24"/>
                <w:szCs w:val="24"/>
                <w:highlight w:val="none"/>
                <w:lang w:val="en-US" w:eastAsia="zh-CN"/>
              </w:rPr>
            </w:pPr>
            <w:r>
              <w:rPr>
                <w:rFonts w:hint="default" w:ascii="Times New Roman" w:hAnsi="Times New Roman" w:cs="Times New Roman"/>
                <w:b/>
                <w:bCs/>
                <w:i w:val="0"/>
                <w:iCs w:val="0"/>
                <w:color w:val="auto"/>
                <w:sz w:val="24"/>
                <w:szCs w:val="24"/>
                <w:highlight w:val="none"/>
                <w:lang w:val="en-US" w:eastAsia="zh-CN"/>
              </w:rPr>
              <w:t>图1-</w:t>
            </w:r>
            <w:r>
              <w:rPr>
                <w:rFonts w:hint="eastAsia" w:cs="Times New Roman"/>
                <w:b/>
                <w:bCs/>
                <w:i w:val="0"/>
                <w:iCs w:val="0"/>
                <w:color w:val="auto"/>
                <w:sz w:val="24"/>
                <w:szCs w:val="24"/>
                <w:highlight w:val="none"/>
                <w:lang w:val="en-US" w:eastAsia="zh-CN"/>
              </w:rPr>
              <w:t>2</w:t>
            </w:r>
            <w:r>
              <w:rPr>
                <w:rFonts w:hint="default" w:ascii="Times New Roman" w:hAnsi="Times New Roman" w:cs="Times New Roman"/>
                <w:b/>
                <w:bCs/>
                <w:i w:val="0"/>
                <w:iCs w:val="0"/>
                <w:color w:val="auto"/>
                <w:sz w:val="24"/>
                <w:szCs w:val="24"/>
                <w:highlight w:val="none"/>
                <w:lang w:val="en-US" w:eastAsia="zh-CN"/>
              </w:rPr>
              <w:t>规划</w:t>
            </w:r>
            <w:r>
              <w:rPr>
                <w:rFonts w:hint="eastAsia" w:cs="Times New Roman"/>
                <w:b/>
                <w:bCs/>
                <w:i w:val="0"/>
                <w:iCs w:val="0"/>
                <w:color w:val="auto"/>
                <w:sz w:val="24"/>
                <w:szCs w:val="24"/>
                <w:highlight w:val="none"/>
                <w:lang w:val="en-US" w:eastAsia="zh-CN"/>
              </w:rPr>
              <w:t>功能分区图</w:t>
            </w:r>
          </w:p>
          <w:p w14:paraId="3C2F940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b/>
                <w:bCs/>
                <w:color w:val="auto"/>
                <w:sz w:val="24"/>
                <w:szCs w:val="24"/>
                <w:highlight w:val="none"/>
              </w:rPr>
              <w:t>2、《</w:t>
            </w:r>
            <w:r>
              <w:rPr>
                <w:rFonts w:hint="eastAsia" w:ascii="Times New Roman" w:hAnsi="Times New Roman" w:eastAsia="宋体" w:cs="Times New Roman"/>
                <w:b/>
                <w:bCs/>
                <w:color w:val="auto"/>
                <w:sz w:val="24"/>
                <w:szCs w:val="24"/>
                <w:highlight w:val="none"/>
                <w:lang w:val="en-US" w:eastAsia="zh-CN"/>
              </w:rPr>
              <w:t>黑龙江桦南经济开发区总体规划（2021~2035年）环境影响报告书》及审查意见的符合性分析</w:t>
            </w:r>
          </w:p>
          <w:p w14:paraId="6673071F">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jc w:val="left"/>
              <w:rPr>
                <w:rFonts w:hint="default" w:ascii="Times New Roman" w:hAnsi="Times New Roman"/>
                <w:color w:val="auto"/>
                <w:sz w:val="24"/>
                <w:szCs w:val="24"/>
                <w:highlight w:val="none"/>
              </w:rPr>
            </w:pPr>
            <w:r>
              <w:rPr>
                <w:rFonts w:hint="default" w:ascii="Times New Roman" w:hAnsi="Times New Roman"/>
                <w:color w:val="auto"/>
                <w:sz w:val="24"/>
                <w:szCs w:val="24"/>
                <w:highlight w:val="none"/>
              </w:rPr>
              <w:t>本项目与《</w:t>
            </w:r>
            <w:r>
              <w:rPr>
                <w:rFonts w:hint="eastAsia" w:ascii="Times New Roman" w:hAnsi="Times New Roman"/>
                <w:color w:val="auto"/>
                <w:sz w:val="24"/>
                <w:szCs w:val="24"/>
                <w:highlight w:val="none"/>
                <w:lang w:eastAsia="zh-CN"/>
              </w:rPr>
              <w:t>黑龙江桦南经济开发区总体规划（2021~2035年）环境影响报告书》</w:t>
            </w:r>
            <w:r>
              <w:rPr>
                <w:rFonts w:hint="default" w:ascii="Times New Roman" w:hAnsi="Times New Roman"/>
                <w:color w:val="auto"/>
                <w:sz w:val="24"/>
                <w:szCs w:val="24"/>
                <w:highlight w:val="none"/>
              </w:rPr>
              <w:t>及审查意见的符合性分析见下表。</w:t>
            </w:r>
          </w:p>
          <w:p w14:paraId="0DA166C9">
            <w:pPr>
              <w:keepNext w:val="0"/>
              <w:keepLines w:val="0"/>
              <w:suppressLineNumbers w:val="0"/>
              <w:spacing w:before="0" w:beforeAutospacing="0" w:after="0" w:afterAutospacing="0" w:line="460" w:lineRule="exact"/>
              <w:ind w:left="0" w:right="0"/>
              <w:jc w:val="center"/>
              <w:rPr>
                <w:rFonts w:hint="default" w:ascii="Times New Roman" w:hAnsi="Times New Roman" w:eastAsia="宋体" w:cs="Times New Roman"/>
                <w:b/>
                <w:bCs/>
                <w:color w:val="auto"/>
                <w:kern w:val="0"/>
                <w:sz w:val="24"/>
                <w:szCs w:val="20"/>
                <w:highlight w:val="none"/>
                <w:lang w:val="en-US" w:eastAsia="zh-CN" w:bidi="ar-SA"/>
              </w:rPr>
            </w:pPr>
            <w:r>
              <w:rPr>
                <w:rFonts w:hint="default" w:ascii="Times New Roman" w:hAnsi="Times New Roman" w:eastAsia="宋体" w:cs="Times New Roman"/>
                <w:b/>
                <w:bCs/>
                <w:color w:val="auto"/>
                <w:kern w:val="0"/>
                <w:sz w:val="24"/>
                <w:szCs w:val="20"/>
                <w:highlight w:val="none"/>
                <w:lang w:val="en-US" w:eastAsia="zh-CN" w:bidi="ar-SA"/>
              </w:rPr>
              <w:t>表1-</w:t>
            </w:r>
            <w:r>
              <w:rPr>
                <w:rFonts w:hint="eastAsia" w:ascii="Times New Roman" w:hAnsi="Times New Roman" w:eastAsia="宋体" w:cs="Times New Roman"/>
                <w:b/>
                <w:bCs/>
                <w:color w:val="auto"/>
                <w:kern w:val="0"/>
                <w:sz w:val="24"/>
                <w:szCs w:val="20"/>
                <w:highlight w:val="none"/>
                <w:lang w:val="en-US" w:eastAsia="zh-CN" w:bidi="ar-SA"/>
              </w:rPr>
              <w:t>1</w:t>
            </w:r>
            <w:r>
              <w:rPr>
                <w:rFonts w:hint="default" w:ascii="Times New Roman" w:hAnsi="Times New Roman" w:eastAsia="宋体" w:cs="Times New Roman"/>
                <w:b/>
                <w:bCs/>
                <w:color w:val="auto"/>
                <w:kern w:val="0"/>
                <w:sz w:val="24"/>
                <w:szCs w:val="20"/>
                <w:highlight w:val="none"/>
                <w:lang w:val="en-US" w:eastAsia="zh-CN" w:bidi="ar-SA"/>
              </w:rPr>
              <w:t>本项目与《</w:t>
            </w:r>
            <w:r>
              <w:rPr>
                <w:rFonts w:hint="eastAsia" w:ascii="Times New Roman" w:hAnsi="Times New Roman" w:eastAsia="宋体" w:cs="Times New Roman"/>
                <w:b/>
                <w:bCs/>
                <w:color w:val="auto"/>
                <w:kern w:val="0"/>
                <w:sz w:val="24"/>
                <w:szCs w:val="20"/>
                <w:highlight w:val="none"/>
                <w:lang w:val="en-US" w:eastAsia="zh-CN" w:bidi="ar-SA"/>
              </w:rPr>
              <w:t>黑龙江桦南经济开发区总体规划（2021~2035年）环境影响报告书》</w:t>
            </w:r>
            <w:r>
              <w:rPr>
                <w:rFonts w:hint="default" w:ascii="Times New Roman" w:hAnsi="Times New Roman" w:eastAsia="宋体" w:cs="Times New Roman"/>
                <w:b/>
                <w:bCs/>
                <w:color w:val="auto"/>
                <w:kern w:val="0"/>
                <w:sz w:val="24"/>
                <w:szCs w:val="20"/>
                <w:highlight w:val="none"/>
                <w:lang w:val="en-US" w:eastAsia="zh-CN" w:bidi="ar-SA"/>
              </w:rPr>
              <w:t>及审查意见的符合性</w:t>
            </w:r>
          </w:p>
          <w:tbl>
            <w:tblPr>
              <w:tblStyle w:val="3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3943"/>
              <w:gridCol w:w="2311"/>
              <w:gridCol w:w="885"/>
            </w:tblGrid>
            <w:tr w14:paraId="15371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893" w:type="pct"/>
                  <w:noWrap w:val="0"/>
                  <w:vAlign w:val="center"/>
                </w:tcPr>
                <w:p w14:paraId="185BECF2">
                  <w:pPr>
                    <w:bidi w:val="0"/>
                    <w:rPr>
                      <w:rFonts w:hint="default"/>
                    </w:rPr>
                  </w:pPr>
                  <w:bookmarkStart w:id="8" w:name="_Toc8544"/>
                  <w:r>
                    <w:rPr>
                      <w:rFonts w:hint="default"/>
                    </w:rPr>
                    <w:t>相关要求</w:t>
                  </w:r>
                  <w:bookmarkEnd w:id="8"/>
                </w:p>
              </w:tc>
              <w:tc>
                <w:tcPr>
                  <w:tcW w:w="2268" w:type="pct"/>
                  <w:noWrap w:val="0"/>
                  <w:vAlign w:val="center"/>
                </w:tcPr>
                <w:p w14:paraId="52FD2667">
                  <w:pPr>
                    <w:bidi w:val="0"/>
                    <w:rPr>
                      <w:rFonts w:hint="default"/>
                    </w:rPr>
                  </w:pPr>
                  <w:bookmarkStart w:id="9" w:name="_Toc30770"/>
                  <w:r>
                    <w:rPr>
                      <w:rFonts w:hint="default"/>
                    </w:rPr>
                    <w:t>文件要求</w:t>
                  </w:r>
                  <w:bookmarkEnd w:id="9"/>
                </w:p>
              </w:tc>
              <w:tc>
                <w:tcPr>
                  <w:tcW w:w="1329" w:type="pct"/>
                  <w:noWrap w:val="0"/>
                  <w:vAlign w:val="center"/>
                </w:tcPr>
                <w:p w14:paraId="07094FB4">
                  <w:pPr>
                    <w:bidi w:val="0"/>
                    <w:rPr>
                      <w:rFonts w:hint="default"/>
                    </w:rPr>
                  </w:pPr>
                  <w:bookmarkStart w:id="10" w:name="_Toc12203"/>
                  <w:r>
                    <w:rPr>
                      <w:rFonts w:hint="default"/>
                    </w:rPr>
                    <w:t>本项目建设情况</w:t>
                  </w:r>
                  <w:bookmarkEnd w:id="10"/>
                </w:p>
              </w:tc>
              <w:tc>
                <w:tcPr>
                  <w:tcW w:w="508" w:type="pct"/>
                  <w:noWrap w:val="0"/>
                  <w:vAlign w:val="center"/>
                </w:tcPr>
                <w:p w14:paraId="2D44751B">
                  <w:pPr>
                    <w:bidi w:val="0"/>
                    <w:rPr>
                      <w:rFonts w:hint="default"/>
                    </w:rPr>
                  </w:pPr>
                  <w:bookmarkStart w:id="11" w:name="_Toc18151"/>
                  <w:r>
                    <w:rPr>
                      <w:rFonts w:hint="default"/>
                    </w:rPr>
                    <w:t>符合性分析</w:t>
                  </w:r>
                  <w:bookmarkEnd w:id="11"/>
                </w:p>
              </w:tc>
            </w:tr>
            <w:tr w14:paraId="7FC48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6" w:hRule="atLeast"/>
              </w:trPr>
              <w:tc>
                <w:tcPr>
                  <w:tcW w:w="893" w:type="pct"/>
                  <w:noWrap w:val="0"/>
                  <w:vAlign w:val="center"/>
                </w:tcPr>
                <w:p w14:paraId="6BC4DDE9">
                  <w:pPr>
                    <w:bidi w:val="0"/>
                    <w:rPr>
                      <w:rFonts w:hint="default"/>
                      <w:lang w:val="en-US" w:eastAsia="zh-CN"/>
                    </w:rPr>
                  </w:pPr>
                  <w:bookmarkStart w:id="12" w:name="_Toc13293"/>
                  <w:r>
                    <w:rPr>
                      <w:rFonts w:hint="default"/>
                      <w:lang w:val="en-US" w:eastAsia="zh-CN"/>
                    </w:rPr>
                    <w:t>产业</w:t>
                  </w:r>
                  <w:r>
                    <w:rPr>
                      <w:rFonts w:hint="eastAsia"/>
                      <w:lang w:val="en-US" w:eastAsia="zh-CN"/>
                    </w:rPr>
                    <w:t>及</w:t>
                  </w:r>
                  <w:r>
                    <w:rPr>
                      <w:rFonts w:hint="default"/>
                      <w:lang w:val="en-US" w:eastAsia="zh-CN"/>
                    </w:rPr>
                    <w:t>环境准入要求</w:t>
                  </w:r>
                  <w:bookmarkEnd w:id="12"/>
                </w:p>
              </w:tc>
              <w:tc>
                <w:tcPr>
                  <w:tcW w:w="2268" w:type="pct"/>
                  <w:noWrap w:val="0"/>
                  <w:vAlign w:val="center"/>
                </w:tcPr>
                <w:p w14:paraId="0DC5FD43">
                  <w:pPr>
                    <w:bidi w:val="0"/>
                    <w:rPr>
                      <w:rFonts w:hint="eastAsia"/>
                      <w:lang w:val="en-US" w:eastAsia="zh-CN"/>
                    </w:rPr>
                  </w:pPr>
                  <w:r>
                    <w:rPr>
                      <w:rFonts w:hint="eastAsia"/>
                      <w:lang w:val="en-US" w:eastAsia="zh-CN"/>
                    </w:rPr>
                    <w:t>①入驻企业需满足清洁生产要求，要求企业开展清洁生产审核。</w:t>
                  </w:r>
                </w:p>
                <w:p w14:paraId="262D2CF8">
                  <w:pPr>
                    <w:bidi w:val="0"/>
                    <w:rPr>
                      <w:rFonts w:hint="eastAsia"/>
                      <w:lang w:val="en-US" w:eastAsia="zh-CN"/>
                    </w:rPr>
                  </w:pPr>
                  <w:r>
                    <w:rPr>
                      <w:rFonts w:hint="eastAsia"/>
                      <w:lang w:val="en-US" w:eastAsia="zh-CN"/>
                    </w:rPr>
                    <w:t>②工业窑炉需使用电、天然气、生物质成型燃料等清洁能源；燃气锅炉需低氮燃烧并确保低氮燃烧系统稳定运行；燃生物质成型燃料锅炉需采用专用锅炉，配套布袋等高效除尘设施，禁止掺烧煤炭、生活垃圾等其他物料；煤电项目需满足“超低排放”要求。</w:t>
                  </w:r>
                </w:p>
                <w:p w14:paraId="50005472">
                  <w:pPr>
                    <w:bidi w:val="0"/>
                    <w:rPr>
                      <w:rFonts w:hint="eastAsia"/>
                      <w:lang w:val="en-US" w:eastAsia="zh-CN"/>
                    </w:rPr>
                  </w:pPr>
                  <w:r>
                    <w:rPr>
                      <w:rFonts w:hint="eastAsia"/>
                      <w:lang w:val="en-US" w:eastAsia="zh-CN"/>
                    </w:rPr>
                    <w:t>③落实项目环境影响报告及其批复文件制定的生态环境保护措施和排污许可证制度，强化挥发性有机物、恶臭污染物污染治理和废气无组织排放控制管理。</w:t>
                  </w:r>
                </w:p>
                <w:p w14:paraId="7EFD9CCF">
                  <w:pPr>
                    <w:bidi w:val="0"/>
                    <w:rPr>
                      <w:rFonts w:hint="eastAsia"/>
                      <w:lang w:val="en-US" w:eastAsia="zh-CN"/>
                    </w:rPr>
                  </w:pPr>
                  <w:r>
                    <w:rPr>
                      <w:rFonts w:hint="eastAsia"/>
                      <w:lang w:val="en-US" w:eastAsia="zh-CN"/>
                    </w:rPr>
                    <w:t>④开发区内各工业企业废水应满足相应的许可排放浓度排入污水管网送至开发区污水处理厂；企业废气排放口、废水排放口和园区污水处理厂进水口总管、废水总排放口自动在线监控装置安装方案根据相应的自行监测技术指南确定。</w:t>
                  </w:r>
                </w:p>
                <w:p w14:paraId="18695C9C">
                  <w:pPr>
                    <w:bidi w:val="0"/>
                    <w:rPr>
                      <w:rFonts w:hint="default"/>
                      <w:lang w:val="en-US" w:eastAsia="zh-CN"/>
                    </w:rPr>
                  </w:pPr>
                  <w:r>
                    <w:rPr>
                      <w:rFonts w:hint="eastAsia"/>
                      <w:lang w:val="en-US" w:eastAsia="zh-CN"/>
                    </w:rPr>
                    <w:t>⑤涉及新污染物的，需满足《重点管控新污染物清单（</w:t>
                  </w:r>
                  <w:r>
                    <w:rPr>
                      <w:rFonts w:hint="default"/>
                      <w:lang w:val="en-US" w:eastAsia="zh-CN"/>
                    </w:rPr>
                    <w:t>2023</w:t>
                  </w:r>
                  <w:r>
                    <w:rPr>
                      <w:rFonts w:hint="eastAsia"/>
                      <w:lang w:val="en-US" w:eastAsia="zh-CN"/>
                    </w:rPr>
                    <w:t>年版）》和《黑龙江省人民政府办公厅关于印发〈黑龙江省新污染物治理工作方案〉的通知》（黑政办发〔</w:t>
                  </w:r>
                  <w:r>
                    <w:rPr>
                      <w:rFonts w:hint="default"/>
                      <w:lang w:val="en-US" w:eastAsia="zh-CN"/>
                    </w:rPr>
                    <w:t>2022</w:t>
                  </w:r>
                  <w:r>
                    <w:rPr>
                      <w:rFonts w:hint="eastAsia"/>
                      <w:lang w:val="en-US" w:eastAsia="zh-CN"/>
                    </w:rPr>
                    <w:t>〕</w:t>
                  </w:r>
                  <w:r>
                    <w:rPr>
                      <w:rFonts w:hint="default"/>
                      <w:lang w:val="en-US" w:eastAsia="zh-CN"/>
                    </w:rPr>
                    <w:t>56</w:t>
                  </w:r>
                  <w:r>
                    <w:rPr>
                      <w:rFonts w:hint="eastAsia"/>
                      <w:lang w:val="en-US" w:eastAsia="zh-CN"/>
                    </w:rPr>
                    <w:t>号）要求。</w:t>
                  </w:r>
                </w:p>
              </w:tc>
              <w:tc>
                <w:tcPr>
                  <w:tcW w:w="1329" w:type="pct"/>
                  <w:noWrap w:val="0"/>
                  <w:vAlign w:val="center"/>
                </w:tcPr>
                <w:p w14:paraId="3582C4F1">
                  <w:pPr>
                    <w:bidi w:val="0"/>
                    <w:rPr>
                      <w:rFonts w:hint="default"/>
                      <w:lang w:val="en-US" w:eastAsia="zh-CN"/>
                    </w:rPr>
                  </w:pPr>
                  <w:r>
                    <w:rPr>
                      <w:rFonts w:hint="eastAsia"/>
                      <w:lang w:val="en-US" w:eastAsia="zh-CN"/>
                    </w:rPr>
                    <w:t>本项目为农副食品加工业，建设锅炉燃烧生物质燃料，为生物质专用锅炉，锅炉烟气经旋风除尘器+布袋除尘器处理后经40m高烟囱排放。生活废水经市政管网排入桦南浦华净源水务有限公司（桦南县污水处理厂）处理；生产废水包括锅炉排污水、设备清洗水、浸出废水，锅炉废水部分用于厂区洒水降尘和灰渣加湿，剩余部分和设备清洗水、浸出废水一同排入厂内污水处理站，污水处理站设计规模100m</w:t>
                  </w:r>
                  <w:r>
                    <w:rPr>
                      <w:rFonts w:hint="eastAsia"/>
                      <w:vertAlign w:val="superscript"/>
                      <w:lang w:val="en-US" w:eastAsia="zh-CN"/>
                    </w:rPr>
                    <w:t>3</w:t>
                  </w:r>
                  <w:r>
                    <w:rPr>
                      <w:rFonts w:hint="eastAsia"/>
                      <w:lang w:val="en-US" w:eastAsia="zh-CN"/>
                    </w:rPr>
                    <w:t>/d，采用“隔油池+调节池+气浮+水解+UASB+兼氧池+SBR”工艺，处理达标后通过市政管网排入桦南浦华净源水务有限公司（桦南县污水处理厂）处理。</w:t>
                  </w:r>
                </w:p>
              </w:tc>
              <w:tc>
                <w:tcPr>
                  <w:tcW w:w="508" w:type="pct"/>
                  <w:noWrap w:val="0"/>
                  <w:vAlign w:val="center"/>
                </w:tcPr>
                <w:p w14:paraId="5B2F1D3D">
                  <w:pPr>
                    <w:bidi w:val="0"/>
                    <w:rPr>
                      <w:rFonts w:hint="default"/>
                    </w:rPr>
                  </w:pPr>
                  <w:bookmarkStart w:id="13" w:name="_Toc20891"/>
                  <w:r>
                    <w:rPr>
                      <w:rFonts w:hint="default"/>
                    </w:rPr>
                    <w:t>符合</w:t>
                  </w:r>
                  <w:bookmarkEnd w:id="13"/>
                </w:p>
              </w:tc>
            </w:tr>
            <w:tr w14:paraId="56ACD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893" w:type="pct"/>
                  <w:noWrap w:val="0"/>
                  <w:vAlign w:val="center"/>
                </w:tcPr>
                <w:p w14:paraId="258E9F0B">
                  <w:pPr>
                    <w:bidi w:val="0"/>
                    <w:rPr>
                      <w:rFonts w:hint="default"/>
                    </w:rPr>
                  </w:pPr>
                  <w:bookmarkStart w:id="14" w:name="_Toc4992"/>
                  <w:r>
                    <w:rPr>
                      <w:rFonts w:hint="eastAsia"/>
                      <w:lang w:val="en-US" w:eastAsia="zh-CN"/>
                    </w:rPr>
                    <w:t>产业及</w:t>
                  </w:r>
                  <w:r>
                    <w:rPr>
                      <w:rFonts w:hint="default"/>
                    </w:rPr>
                    <w:t>环境准入负面清单</w:t>
                  </w:r>
                  <w:bookmarkEnd w:id="14"/>
                </w:p>
              </w:tc>
              <w:tc>
                <w:tcPr>
                  <w:tcW w:w="2268" w:type="pct"/>
                  <w:noWrap w:val="0"/>
                  <w:vAlign w:val="center"/>
                </w:tcPr>
                <w:p w14:paraId="78629B66">
                  <w:pPr>
                    <w:bidi w:val="0"/>
                    <w:rPr>
                      <w:rFonts w:hint="eastAsia"/>
                      <w:lang w:val="en-US" w:eastAsia="zh-CN"/>
                    </w:rPr>
                  </w:pPr>
                  <w:r>
                    <w:rPr>
                      <w:rFonts w:hint="eastAsia"/>
                      <w:lang w:val="en-US" w:eastAsia="zh-CN"/>
                    </w:rPr>
                    <w:t>①</w:t>
                  </w:r>
                  <w:r>
                    <w:rPr>
                      <w:rFonts w:hint="default"/>
                      <w:lang w:val="en-US" w:eastAsia="zh-CN"/>
                    </w:rPr>
                    <w:t>对不符合清洁生产要求的项目，采用禁止或淘汰或落后的生产工艺或生产设备的项目，</w:t>
                  </w:r>
                  <w:r>
                    <w:rPr>
                      <w:rFonts w:hint="eastAsia"/>
                      <w:lang w:val="en-US" w:eastAsia="zh-CN"/>
                    </w:rPr>
                    <w:t>环境影响不可接受、环境风险和安全风险不可控的项目，不得建设。</w:t>
                  </w:r>
                </w:p>
                <w:p w14:paraId="1F66A561">
                  <w:pPr>
                    <w:bidi w:val="0"/>
                    <w:rPr>
                      <w:rFonts w:hint="eastAsia"/>
                      <w:lang w:val="en-US" w:eastAsia="zh-CN"/>
                    </w:rPr>
                  </w:pPr>
                  <w:r>
                    <w:rPr>
                      <w:rFonts w:hint="eastAsia"/>
                      <w:lang w:val="en-US" w:eastAsia="zh-CN"/>
                    </w:rPr>
                    <w:t>②对于拟引进的“两高”项目，要深入论证项目建设的必要性、可行性与能效、环保水平，认真分析评估对能耗双控、碳排放控制、产业高质量发展的影响，对不符合产业政策（如《产业结构调整指导目录（</w:t>
                  </w:r>
                  <w:r>
                    <w:rPr>
                      <w:rFonts w:hint="default"/>
                      <w:lang w:val="en-US" w:eastAsia="zh-CN"/>
                    </w:rPr>
                    <w:t>2024</w:t>
                  </w:r>
                  <w:r>
                    <w:rPr>
                      <w:rFonts w:hint="eastAsia"/>
                      <w:lang w:val="en-US" w:eastAsia="zh-CN"/>
                    </w:rPr>
                    <w:t>年本）》中限制类产业和淘汰类产业、《外商投资产业指导目录（</w:t>
                  </w:r>
                  <w:r>
                    <w:rPr>
                      <w:rFonts w:hint="default"/>
                      <w:lang w:val="en-US" w:eastAsia="zh-CN"/>
                    </w:rPr>
                    <w:t>2017</w:t>
                  </w:r>
                  <w:r>
                    <w:rPr>
                      <w:rFonts w:hint="eastAsia"/>
                      <w:lang w:val="en-US" w:eastAsia="zh-CN"/>
                    </w:rPr>
                    <w:t>年修订）》中限制和禁止投资产业、《黑龙江省重点生态功能区产业准入负面清单》（试行版）中限制类和禁止类产业等）和国家产业规划、生态环境保护相关规划的，不满足碳排放目标和相应行业建设项目环境准入条件、环评文件审批原则、“三线一单”要求的，无能耗指标、水耗指标和主要污染物排放总量指标来源的，有产能置换要求但无产能来源的新建、改建、扩建项目，不得建设。</w:t>
                  </w:r>
                </w:p>
                <w:p w14:paraId="514AD574">
                  <w:pPr>
                    <w:bidi w:val="0"/>
                    <w:rPr>
                      <w:rFonts w:hint="eastAsia"/>
                      <w:lang w:val="en-US" w:eastAsia="zh-CN"/>
                    </w:rPr>
                  </w:pPr>
                  <w:r>
                    <w:rPr>
                      <w:rFonts w:hint="eastAsia"/>
                      <w:lang w:val="en-US" w:eastAsia="zh-CN"/>
                    </w:rPr>
                    <w:t>③符合开发区《危险化学品禁止、限制和控制目录（试行）》要求。④对于拟入驻的临近居住区的建设项目，应充分论证建设项目是否需要设置大气环境防护距离，以此调整建设项目在开发区内选址保证居住区不在大气环境防护距离内，除此之外，还应充分考虑建设项目环境风险是否可防控，避免突发环境事件带来的危害涉及居住区。</w:t>
                  </w:r>
                </w:p>
                <w:p w14:paraId="6198F133">
                  <w:pPr>
                    <w:bidi w:val="0"/>
                    <w:rPr>
                      <w:rFonts w:hint="eastAsia"/>
                      <w:lang w:val="en-US" w:eastAsia="zh-CN"/>
                    </w:rPr>
                  </w:pPr>
                  <w:r>
                    <w:rPr>
                      <w:rFonts w:hint="eastAsia"/>
                      <w:lang w:val="en-US" w:eastAsia="zh-CN"/>
                    </w:rPr>
                    <w:t>⑤拟入驻项目选址需考虑《粮油仓储管理办法》中相关规定。</w:t>
                  </w:r>
                </w:p>
                <w:p w14:paraId="12DE9FFA">
                  <w:pPr>
                    <w:bidi w:val="0"/>
                    <w:rPr>
                      <w:rFonts w:hint="eastAsia"/>
                      <w:lang w:val="en-US" w:eastAsia="zh-CN"/>
                    </w:rPr>
                  </w:pPr>
                  <w:r>
                    <w:rPr>
                      <w:rFonts w:hint="eastAsia"/>
                      <w:lang w:val="en-US" w:eastAsia="zh-CN"/>
                    </w:rPr>
                    <w:t>⑥农产品加工产业区和装备制造及建材产业区不包括《环境保护综合名录》中“高污染、高环境风险”产品。</w:t>
                  </w:r>
                </w:p>
                <w:p w14:paraId="2EC8CDC2">
                  <w:pPr>
                    <w:bidi w:val="0"/>
                    <w:rPr>
                      <w:rFonts w:hint="eastAsia"/>
                      <w:lang w:val="en-US" w:eastAsia="zh-CN"/>
                    </w:rPr>
                  </w:pPr>
                  <w:r>
                    <w:rPr>
                      <w:rFonts w:hint="eastAsia"/>
                      <w:lang w:val="en-US" w:eastAsia="zh-CN"/>
                    </w:rPr>
                    <w:t>⑦装备制造行业禁止引入无法实现含重金属污染物（铅、汞、镉、铬和类金属砷）的电镀废水零排放的专业电镀企业和有电镀工序的企业。</w:t>
                  </w:r>
                </w:p>
                <w:p w14:paraId="4479CDFC">
                  <w:pPr>
                    <w:bidi w:val="0"/>
                    <w:rPr>
                      <w:rFonts w:hint="default"/>
                      <w:lang w:val="en-US" w:eastAsia="zh-CN"/>
                    </w:rPr>
                  </w:pPr>
                  <w:r>
                    <w:rPr>
                      <w:rFonts w:hint="eastAsia"/>
                      <w:lang w:val="en-US" w:eastAsia="zh-CN"/>
                    </w:rPr>
                    <w:t>⑧禁止引入《关于加强重点行业涉新污染物建设项目环境影响评价工作的意见》（环环评〔</w:t>
                  </w:r>
                  <w:r>
                    <w:rPr>
                      <w:rFonts w:hint="default"/>
                      <w:lang w:val="en-US" w:eastAsia="zh-CN"/>
                    </w:rPr>
                    <w:t>2025</w:t>
                  </w:r>
                  <w:r>
                    <w:rPr>
                      <w:rFonts w:hint="eastAsia"/>
                      <w:lang w:val="en-US" w:eastAsia="zh-CN"/>
                    </w:rPr>
                    <w:t>〕</w:t>
                  </w:r>
                  <w:r>
                    <w:rPr>
                      <w:rFonts w:hint="default"/>
                      <w:lang w:val="en-US" w:eastAsia="zh-CN"/>
                    </w:rPr>
                    <w:t>28</w:t>
                  </w:r>
                  <w:r>
                    <w:rPr>
                      <w:rFonts w:hint="eastAsia"/>
                      <w:lang w:val="en-US" w:eastAsia="zh-CN"/>
                    </w:rPr>
                    <w:t>号）中不予审批环评的项目类别</w:t>
                  </w:r>
                  <w:r>
                    <w:rPr>
                      <w:rFonts w:hint="default"/>
                      <w:lang w:val="en-US" w:eastAsia="zh-CN"/>
                    </w:rPr>
                    <w:t>。</w:t>
                  </w:r>
                </w:p>
              </w:tc>
              <w:tc>
                <w:tcPr>
                  <w:tcW w:w="1329" w:type="pct"/>
                  <w:noWrap w:val="0"/>
                  <w:vAlign w:val="center"/>
                </w:tcPr>
                <w:p w14:paraId="38A4C1BC">
                  <w:pPr>
                    <w:bidi w:val="0"/>
                    <w:rPr>
                      <w:rFonts w:hint="default"/>
                      <w:lang w:val="en-US" w:eastAsia="zh-CN"/>
                    </w:rPr>
                  </w:pPr>
                  <w:r>
                    <w:rPr>
                      <w:rFonts w:hint="eastAsia"/>
                      <w:lang w:val="en-US" w:eastAsia="zh-CN"/>
                    </w:rPr>
                    <w:t>本项目为农副食品加工业，不属于、不涉及产业及</w:t>
                  </w:r>
                  <w:r>
                    <w:rPr>
                      <w:rFonts w:hint="default"/>
                    </w:rPr>
                    <w:t>环境准入负面清单</w:t>
                  </w:r>
                  <w:r>
                    <w:rPr>
                      <w:rFonts w:hint="eastAsia"/>
                      <w:lang w:val="en-US" w:eastAsia="zh-CN"/>
                    </w:rPr>
                    <w:t>中禁止的项目类型及情况。</w:t>
                  </w:r>
                </w:p>
              </w:tc>
              <w:tc>
                <w:tcPr>
                  <w:tcW w:w="508" w:type="pct"/>
                  <w:noWrap w:val="0"/>
                  <w:vAlign w:val="center"/>
                </w:tcPr>
                <w:p w14:paraId="0781E880">
                  <w:pPr>
                    <w:bidi w:val="0"/>
                    <w:rPr>
                      <w:rFonts w:hint="default"/>
                    </w:rPr>
                  </w:pPr>
                  <w:bookmarkStart w:id="15" w:name="_Toc24950"/>
                  <w:r>
                    <w:rPr>
                      <w:rFonts w:hint="default"/>
                    </w:rPr>
                    <w:t>符合</w:t>
                  </w:r>
                  <w:bookmarkEnd w:id="15"/>
                </w:p>
              </w:tc>
            </w:tr>
            <w:tr w14:paraId="50FA5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893" w:type="pct"/>
                  <w:noWrap w:val="0"/>
                  <w:vAlign w:val="center"/>
                </w:tcPr>
                <w:p w14:paraId="4CB378AD">
                  <w:pPr>
                    <w:bidi w:val="0"/>
                    <w:rPr>
                      <w:rFonts w:hint="default"/>
                      <w:lang w:val="en-US" w:eastAsia="zh-CN"/>
                    </w:rPr>
                  </w:pPr>
                  <w:bookmarkStart w:id="16" w:name="_Toc20309"/>
                  <w:r>
                    <w:rPr>
                      <w:rFonts w:hint="default"/>
                      <w:lang w:val="en-US" w:eastAsia="zh-CN"/>
                    </w:rPr>
                    <w:t>环境综合防治规划</w:t>
                  </w:r>
                  <w:bookmarkEnd w:id="16"/>
                </w:p>
              </w:tc>
              <w:tc>
                <w:tcPr>
                  <w:tcW w:w="2268" w:type="pct"/>
                  <w:noWrap w:val="0"/>
                  <w:vAlign w:val="center"/>
                </w:tcPr>
                <w:p w14:paraId="3F5597C0">
                  <w:pPr>
                    <w:bidi w:val="0"/>
                    <w:rPr>
                      <w:rFonts w:hint="default"/>
                      <w:lang w:val="en-US" w:eastAsia="zh-CN"/>
                    </w:rPr>
                  </w:pPr>
                  <w:r>
                    <w:rPr>
                      <w:rFonts w:hint="default"/>
                      <w:lang w:val="en-US" w:eastAsia="zh-CN"/>
                    </w:rPr>
                    <w:t>大气污染防治措施原则</w:t>
                  </w:r>
                </w:p>
                <w:p w14:paraId="1D6CA6CB">
                  <w:pPr>
                    <w:bidi w:val="0"/>
                    <w:rPr>
                      <w:rFonts w:hint="eastAsia"/>
                      <w:lang w:val="en-US" w:eastAsia="zh-CN"/>
                    </w:rPr>
                  </w:pPr>
                  <w:r>
                    <w:rPr>
                      <w:rFonts w:hint="eastAsia"/>
                      <w:lang w:val="en-US" w:eastAsia="zh-CN"/>
                    </w:rPr>
                    <w:t>（1）</w:t>
                  </w:r>
                  <w:r>
                    <w:rPr>
                      <w:rFonts w:hint="default"/>
                      <w:lang w:val="en-US" w:eastAsia="zh-CN"/>
                    </w:rPr>
                    <w:t>VOCs</w:t>
                  </w:r>
                  <w:r>
                    <w:rPr>
                      <w:rFonts w:hint="eastAsia"/>
                      <w:lang w:val="en-US" w:eastAsia="zh-CN"/>
                    </w:rPr>
                    <w:t>无组织、有组织治理措施</w:t>
                  </w:r>
                </w:p>
                <w:p w14:paraId="6EE848A2">
                  <w:pPr>
                    <w:bidi w:val="0"/>
                    <w:rPr>
                      <w:rFonts w:hint="eastAsia"/>
                      <w:lang w:val="en-US" w:eastAsia="zh-CN"/>
                    </w:rPr>
                  </w:pPr>
                  <w:r>
                    <w:rPr>
                      <w:rFonts w:hint="eastAsia"/>
                      <w:lang w:val="en-US" w:eastAsia="zh-CN"/>
                    </w:rPr>
                    <w:t>有组织：对于低浓度、大风量废气，宜采用沸石转轮吸附、活性炭吸附、减风增浓等浓缩技术，提高</w:t>
                  </w:r>
                  <w:r>
                    <w:rPr>
                      <w:rFonts w:hint="default"/>
                      <w:lang w:val="en-US" w:eastAsia="zh-CN"/>
                    </w:rPr>
                    <w:t>VOCs</w:t>
                  </w:r>
                  <w:r>
                    <w:rPr>
                      <w:rFonts w:hint="eastAsia"/>
                      <w:lang w:val="en-US" w:eastAsia="zh-CN"/>
                    </w:rPr>
                    <w:t>浓度后净化处理；对于高浓度废气，优先进行溶剂回收，难以回收的，宜采用高温焚烧、催化燃烧等技术。对于油气（溶剂）回收宜采用冷凝</w:t>
                  </w:r>
                  <w:r>
                    <w:rPr>
                      <w:rFonts w:hint="default"/>
                      <w:lang w:val="en-US" w:eastAsia="zh-CN"/>
                    </w:rPr>
                    <w:t>+</w:t>
                  </w:r>
                  <w:r>
                    <w:rPr>
                      <w:rFonts w:hint="eastAsia"/>
                      <w:lang w:val="en-US" w:eastAsia="zh-CN"/>
                    </w:rPr>
                    <w:t>吸附、吸附</w:t>
                  </w:r>
                  <w:r>
                    <w:rPr>
                      <w:rFonts w:hint="default"/>
                      <w:lang w:val="en-US" w:eastAsia="zh-CN"/>
                    </w:rPr>
                    <w:t>+</w:t>
                  </w:r>
                  <w:r>
                    <w:rPr>
                      <w:rFonts w:hint="eastAsia"/>
                      <w:lang w:val="en-US" w:eastAsia="zh-CN"/>
                    </w:rPr>
                    <w:t>吸收、膜分离</w:t>
                  </w:r>
                  <w:r>
                    <w:rPr>
                      <w:rFonts w:hint="default"/>
                      <w:lang w:val="en-US" w:eastAsia="zh-CN"/>
                    </w:rPr>
                    <w:t>+</w:t>
                  </w:r>
                  <w:r>
                    <w:rPr>
                      <w:rFonts w:hint="eastAsia"/>
                      <w:lang w:val="en-US" w:eastAsia="zh-CN"/>
                    </w:rPr>
                    <w:t>吸附等技术。低温等离子、光催化、光氧化技术主要适用于恶臭异味等治理；生物法主要适用于低浓度</w:t>
                  </w:r>
                  <w:r>
                    <w:rPr>
                      <w:rFonts w:hint="default"/>
                      <w:lang w:val="en-US" w:eastAsia="zh-CN"/>
                    </w:rPr>
                    <w:t>VOCs</w:t>
                  </w:r>
                  <w:r>
                    <w:rPr>
                      <w:rFonts w:hint="eastAsia"/>
                      <w:lang w:val="en-US" w:eastAsia="zh-CN"/>
                    </w:rPr>
                    <w:t>废气治理和恶臭异味治理。非水溶性的</w:t>
                  </w:r>
                  <w:r>
                    <w:rPr>
                      <w:rFonts w:hint="default"/>
                      <w:lang w:val="en-US" w:eastAsia="zh-CN"/>
                    </w:rPr>
                    <w:t>VOCs</w:t>
                  </w:r>
                  <w:r>
                    <w:rPr>
                      <w:rFonts w:hint="eastAsia"/>
                      <w:lang w:val="en-US" w:eastAsia="zh-CN"/>
                    </w:rPr>
                    <w:t>废气禁止采用水或水溶液喷淋吸收处理。采用一次性活性炭吸附技术的，应定期更换活性炭，废旧活性炭应再生或处理处置。</w:t>
                  </w:r>
                </w:p>
                <w:p w14:paraId="5D2AE563">
                  <w:pPr>
                    <w:bidi w:val="0"/>
                    <w:rPr>
                      <w:rFonts w:hint="eastAsia"/>
                      <w:lang w:eastAsia="zh-CN"/>
                    </w:rPr>
                  </w:pPr>
                  <w:r>
                    <w:rPr>
                      <w:rFonts w:hint="eastAsia"/>
                      <w:lang w:val="en-US" w:eastAsia="zh-CN"/>
                    </w:rPr>
                    <w:t>无组织：对</w:t>
                  </w:r>
                  <w:r>
                    <w:rPr>
                      <w:rFonts w:hint="default"/>
                      <w:lang w:val="en-US" w:eastAsia="zh-CN"/>
                    </w:rPr>
                    <w:t>VOCs</w:t>
                  </w:r>
                  <w:r>
                    <w:rPr>
                      <w:rFonts w:hint="eastAsia"/>
                      <w:lang w:val="en-US" w:eastAsia="zh-CN"/>
                    </w:rPr>
                    <w:t>物料储存、物料转移和输送、工艺过程</w:t>
                  </w:r>
                  <w:r>
                    <w:rPr>
                      <w:rFonts w:hint="default"/>
                      <w:lang w:val="en-US" w:eastAsia="zh-CN"/>
                    </w:rPr>
                    <w:t>VOCs</w:t>
                  </w:r>
                  <w:r>
                    <w:rPr>
                      <w:rFonts w:hint="eastAsia"/>
                      <w:lang w:val="en-US" w:eastAsia="zh-CN"/>
                    </w:rPr>
                    <w:t>无组织排放、敞开液面</w:t>
                  </w:r>
                  <w:r>
                    <w:rPr>
                      <w:rFonts w:hint="default"/>
                      <w:lang w:val="en-US" w:eastAsia="zh-CN"/>
                    </w:rPr>
                    <w:t>VOCs</w:t>
                  </w:r>
                  <w:r>
                    <w:rPr>
                      <w:rFonts w:hint="eastAsia"/>
                      <w:lang w:val="en-US" w:eastAsia="zh-CN"/>
                    </w:rPr>
                    <w:t>无组织排放均提出防治措施要求。</w:t>
                  </w:r>
                  <w:r>
                    <w:rPr>
                      <w:rFonts w:hint="default"/>
                      <w:lang w:val="en-US" w:eastAsia="zh-CN"/>
                    </w:rPr>
                    <w:t>VOCs</w:t>
                  </w:r>
                  <w:r>
                    <w:rPr>
                      <w:rFonts w:hint="eastAsia"/>
                      <w:lang w:val="en-US" w:eastAsia="zh-CN"/>
                    </w:rPr>
                    <w:t>无组织排放废气收集处理系统要求基本要求：</w:t>
                  </w:r>
                  <w:r>
                    <w:rPr>
                      <w:rFonts w:hint="default"/>
                      <w:lang w:val="en-US" w:eastAsia="zh-CN"/>
                    </w:rPr>
                    <w:t>1</w:t>
                  </w:r>
                  <w:r>
                    <w:rPr>
                      <w:rFonts w:hint="eastAsia"/>
                      <w:lang w:val="en-US" w:eastAsia="zh-CN"/>
                    </w:rPr>
                    <w:t>）针对</w:t>
                  </w:r>
                  <w:r>
                    <w:rPr>
                      <w:rFonts w:hint="default"/>
                      <w:lang w:val="en-US" w:eastAsia="zh-CN"/>
                    </w:rPr>
                    <w:t>VOCs</w:t>
                  </w:r>
                  <w:r>
                    <w:rPr>
                      <w:rFonts w:hint="eastAsia"/>
                      <w:lang w:val="en-US" w:eastAsia="zh-CN"/>
                    </w:rPr>
                    <w:t>无组织排放设置的废气收集处理系统应满足本章要求。</w:t>
                  </w:r>
                  <w:r>
                    <w:rPr>
                      <w:rFonts w:hint="default"/>
                      <w:lang w:val="en-US" w:eastAsia="zh-CN"/>
                    </w:rPr>
                    <w:t>2</w:t>
                  </w:r>
                  <w:r>
                    <w:rPr>
                      <w:rFonts w:hint="eastAsia"/>
                      <w:lang w:val="en-US" w:eastAsia="zh-CN"/>
                    </w:rPr>
                    <w:t>）</w:t>
                  </w:r>
                  <w:r>
                    <w:rPr>
                      <w:rFonts w:hint="default"/>
                      <w:lang w:val="en-US" w:eastAsia="zh-CN"/>
                    </w:rPr>
                    <w:t>VOCs</w:t>
                  </w:r>
                  <w:r>
                    <w:rPr>
                      <w:rFonts w:hint="eastAsia"/>
                      <w:lang w:val="en-US" w:eastAsia="zh-CN"/>
                    </w:rPr>
                    <w:t>废气收集处理系统应与生产工艺设备同步运行。</w:t>
                  </w:r>
                </w:p>
                <w:p w14:paraId="7A80A910">
                  <w:pPr>
                    <w:bidi w:val="0"/>
                    <w:rPr>
                      <w:rFonts w:hint="eastAsia"/>
                      <w:lang w:val="en-US" w:eastAsia="zh-CN"/>
                    </w:rPr>
                  </w:pPr>
                  <w:r>
                    <w:rPr>
                      <w:rFonts w:hint="eastAsia"/>
                      <w:lang w:val="en-US" w:eastAsia="zh-CN"/>
                    </w:rPr>
                    <w:t>（2）火电（煤电）行业</w:t>
                  </w:r>
                </w:p>
                <w:p w14:paraId="53FF88AF">
                  <w:pPr>
                    <w:bidi w:val="0"/>
                    <w:rPr>
                      <w:rFonts w:hint="eastAsia"/>
                      <w:lang w:val="en-US" w:eastAsia="zh-CN"/>
                    </w:rPr>
                  </w:pPr>
                  <w:r>
                    <w:rPr>
                      <w:rFonts w:hint="eastAsia"/>
                      <w:lang w:val="en-US" w:eastAsia="zh-CN"/>
                    </w:rPr>
                    <w:t>燃煤电厂应综合采用一次除尘和二次除尘措施，实现颗粒物超低排放，脱硫采用石灰石－石膏湿法脱硫，锅炉低氮燃烧技术是控制</w:t>
                  </w:r>
                  <w:r>
                    <w:rPr>
                      <w:rFonts w:hint="default"/>
                      <w:lang w:val="en-US" w:eastAsia="zh-CN"/>
                    </w:rPr>
                    <w:t>NOx</w:t>
                  </w:r>
                  <w:r>
                    <w:rPr>
                      <w:rFonts w:hint="eastAsia"/>
                      <w:lang w:val="en-US" w:eastAsia="zh-CN"/>
                    </w:rPr>
                    <w:t>的首选技术，炉后采用</w:t>
                  </w:r>
                  <w:r>
                    <w:rPr>
                      <w:rFonts w:hint="default"/>
                      <w:lang w:val="en-US" w:eastAsia="zh-CN"/>
                    </w:rPr>
                    <w:t>SCR</w:t>
                  </w:r>
                  <w:r>
                    <w:rPr>
                      <w:rFonts w:hint="eastAsia"/>
                      <w:lang w:val="en-US" w:eastAsia="zh-CN"/>
                    </w:rPr>
                    <w:t>烟气脱硝技术，实现</w:t>
                  </w:r>
                  <w:r>
                    <w:rPr>
                      <w:rFonts w:hint="default"/>
                      <w:lang w:val="en-US" w:eastAsia="zh-CN"/>
                    </w:rPr>
                    <w:t>NOx</w:t>
                  </w:r>
                  <w:r>
                    <w:rPr>
                      <w:rFonts w:hint="eastAsia"/>
                      <w:lang w:val="en-US" w:eastAsia="zh-CN"/>
                    </w:rPr>
                    <w:t>超低排放。循环流化床锅炉应通过燃烧调整，再加装</w:t>
                  </w:r>
                  <w:r>
                    <w:rPr>
                      <w:rFonts w:hint="default"/>
                      <w:lang w:val="en-US" w:eastAsia="zh-CN"/>
                    </w:rPr>
                    <w:t>SNCR</w:t>
                  </w:r>
                  <w:r>
                    <w:rPr>
                      <w:rFonts w:hint="eastAsia"/>
                      <w:lang w:val="en-US" w:eastAsia="zh-CN"/>
                    </w:rPr>
                    <w:t>脱硝装置，实现</w:t>
                  </w:r>
                  <w:r>
                    <w:rPr>
                      <w:rFonts w:hint="default"/>
                      <w:lang w:val="en-US" w:eastAsia="zh-CN"/>
                    </w:rPr>
                    <w:t>NOx</w:t>
                  </w:r>
                  <w:r>
                    <w:rPr>
                      <w:rFonts w:hint="eastAsia"/>
                      <w:lang w:val="en-US" w:eastAsia="zh-CN"/>
                    </w:rPr>
                    <w:t>超低排放；必要时可采用</w:t>
                  </w:r>
                  <w:r>
                    <w:rPr>
                      <w:rFonts w:hint="default"/>
                      <w:lang w:val="en-US" w:eastAsia="zh-CN"/>
                    </w:rPr>
                    <w:t>SNCR-SCR</w:t>
                  </w:r>
                  <w:r>
                    <w:rPr>
                      <w:rFonts w:hint="eastAsia"/>
                      <w:lang w:val="en-US" w:eastAsia="zh-CN"/>
                    </w:rPr>
                    <w:t>联合脱硝技术。</w:t>
                  </w:r>
                </w:p>
                <w:p w14:paraId="5E07FD55">
                  <w:pPr>
                    <w:bidi w:val="0"/>
                    <w:rPr>
                      <w:rFonts w:hint="eastAsia"/>
                      <w:lang w:val="en-US" w:eastAsia="zh-CN"/>
                    </w:rPr>
                  </w:pPr>
                  <w:r>
                    <w:rPr>
                      <w:rFonts w:hint="eastAsia"/>
                      <w:lang w:val="en-US" w:eastAsia="zh-CN"/>
                    </w:rPr>
                    <w:t>（3）制药行业</w:t>
                  </w:r>
                </w:p>
                <w:p w14:paraId="65E82FD2">
                  <w:pPr>
                    <w:bidi w:val="0"/>
                    <w:rPr>
                      <w:rFonts w:hint="eastAsia"/>
                      <w:lang w:val="en-US" w:eastAsia="zh-CN"/>
                    </w:rPr>
                  </w:pPr>
                  <w:r>
                    <w:rPr>
                      <w:rFonts w:hint="eastAsia"/>
                      <w:lang w:val="en-US" w:eastAsia="zh-CN"/>
                    </w:rPr>
                    <w:t>从清洁生产的角度，通过原料替代，原料储运、投加方式的改进，先进的反应、分离工艺设备的采用，工艺过程中过滤、离心分离、萃取及干燥等排气的高效物料回收等措施，可有效减少颗粒物、酸碱物质及</w:t>
                  </w:r>
                  <w:r>
                    <w:rPr>
                      <w:rFonts w:hint="default"/>
                      <w:lang w:val="en-US" w:eastAsia="zh-CN"/>
                    </w:rPr>
                    <w:t>VOCs</w:t>
                  </w:r>
                  <w:r>
                    <w:rPr>
                      <w:rFonts w:hint="eastAsia"/>
                      <w:lang w:val="en-US" w:eastAsia="zh-CN"/>
                    </w:rPr>
                    <w:t>等向大气的排放。</w:t>
                  </w:r>
                </w:p>
                <w:p w14:paraId="6F5B5AF1">
                  <w:pPr>
                    <w:bidi w:val="0"/>
                    <w:rPr>
                      <w:rFonts w:hint="eastAsia"/>
                      <w:lang w:val="en-US" w:eastAsia="zh-CN"/>
                    </w:rPr>
                  </w:pPr>
                  <w:r>
                    <w:rPr>
                      <w:rFonts w:hint="eastAsia"/>
                      <w:lang w:val="en-US" w:eastAsia="zh-CN"/>
                    </w:rPr>
                    <w:t>（4）农药行业</w:t>
                  </w:r>
                </w:p>
                <w:p w14:paraId="69EA457E">
                  <w:pPr>
                    <w:bidi w:val="0"/>
                    <w:rPr>
                      <w:rFonts w:hint="eastAsia"/>
                      <w:lang w:val="en-US" w:eastAsia="zh-CN"/>
                    </w:rPr>
                  </w:pPr>
                  <w:r>
                    <w:rPr>
                      <w:rFonts w:hint="eastAsia"/>
                      <w:lang w:val="en-US" w:eastAsia="zh-CN"/>
                    </w:rPr>
                    <w:t>选择废气处理工艺时要遵循以下原则：</w:t>
                  </w:r>
                  <w:r>
                    <w:rPr>
                      <w:rFonts w:hint="default"/>
                      <w:lang w:val="en-US" w:eastAsia="zh-CN"/>
                    </w:rPr>
                    <w:t>a</w:t>
                  </w:r>
                  <w:r>
                    <w:rPr>
                      <w:rFonts w:hint="eastAsia"/>
                      <w:lang w:val="en-US" w:eastAsia="zh-CN"/>
                    </w:rPr>
                    <w:t>）按照</w:t>
                  </w:r>
                  <w:r>
                    <w:rPr>
                      <w:rFonts w:hint="default"/>
                      <w:lang w:val="en-US" w:eastAsia="zh-CN"/>
                    </w:rPr>
                    <w:t>GB37822</w:t>
                  </w:r>
                  <w:r>
                    <w:rPr>
                      <w:rFonts w:hint="eastAsia"/>
                      <w:lang w:val="en-US" w:eastAsia="zh-CN"/>
                    </w:rPr>
                    <w:t>中的相关要求，提高无组织废气收集效率；</w:t>
                  </w:r>
                  <w:r>
                    <w:rPr>
                      <w:rFonts w:hint="default"/>
                      <w:lang w:val="en-US" w:eastAsia="zh-CN"/>
                    </w:rPr>
                    <w:t>b</w:t>
                  </w:r>
                  <w:r>
                    <w:rPr>
                      <w:rFonts w:hint="eastAsia"/>
                      <w:lang w:val="en-US" w:eastAsia="zh-CN"/>
                    </w:rPr>
                    <w:t>）针对生产过程中废气污染源和废气组分性质的差异，应进行分类、分质收集处理；</w:t>
                  </w:r>
                  <w:r>
                    <w:rPr>
                      <w:rFonts w:hint="default"/>
                      <w:lang w:val="en-US" w:eastAsia="zh-CN"/>
                    </w:rPr>
                    <w:t>c</w:t>
                  </w:r>
                  <w:r>
                    <w:rPr>
                      <w:rFonts w:hint="eastAsia"/>
                      <w:lang w:val="en-US" w:eastAsia="zh-CN"/>
                    </w:rPr>
                    <w:t>）在技术经济可行的条件下，应尽可能进行溶剂回收，以实现资源的循环利用；</w:t>
                  </w:r>
                  <w:r>
                    <w:rPr>
                      <w:rFonts w:hint="default"/>
                      <w:lang w:val="en-US" w:eastAsia="zh-CN"/>
                    </w:rPr>
                    <w:t>d</w:t>
                  </w:r>
                  <w:r>
                    <w:rPr>
                      <w:rFonts w:hint="eastAsia"/>
                      <w:lang w:val="en-US" w:eastAsia="zh-CN"/>
                    </w:rPr>
                    <w:t>）治理工艺的选择应确保治理设施的安全性；</w:t>
                  </w:r>
                  <w:r>
                    <w:rPr>
                      <w:rFonts w:hint="default"/>
                      <w:lang w:val="en-US" w:eastAsia="zh-CN"/>
                    </w:rPr>
                    <w:t>e</w:t>
                  </w:r>
                  <w:r>
                    <w:rPr>
                      <w:rFonts w:hint="eastAsia"/>
                      <w:lang w:val="en-US" w:eastAsia="zh-CN"/>
                    </w:rPr>
                    <w:t>）当废气中含有卤素、氮、硫等成分时，不宜采用燃烧法进行处理；如果确需采用燃烧法进行处理时，应对燃烧产物进行二次处理，以满足达标排放要求。</w:t>
                  </w:r>
                </w:p>
                <w:p w14:paraId="165FB62D">
                  <w:pPr>
                    <w:bidi w:val="0"/>
                    <w:rPr>
                      <w:rFonts w:hint="eastAsia"/>
                      <w:lang w:val="en-US" w:eastAsia="zh-CN"/>
                    </w:rPr>
                  </w:pPr>
                  <w:r>
                    <w:rPr>
                      <w:rFonts w:hint="eastAsia"/>
                      <w:lang w:val="en-US" w:eastAsia="zh-CN"/>
                    </w:rPr>
                    <w:t>（5）屠宰及肉类加工业</w:t>
                  </w:r>
                </w:p>
                <w:p w14:paraId="581BA24D">
                  <w:pPr>
                    <w:bidi w:val="0"/>
                    <w:rPr>
                      <w:rFonts w:hint="eastAsia"/>
                      <w:lang w:val="en-US" w:eastAsia="zh-CN"/>
                    </w:rPr>
                  </w:pPr>
                  <w:r>
                    <w:rPr>
                      <w:rFonts w:hint="eastAsia"/>
                      <w:lang w:val="en-US" w:eastAsia="zh-CN"/>
                    </w:rPr>
                    <w:t>采用颗粒物治理技术及恶臭治理技术。</w:t>
                  </w:r>
                </w:p>
                <w:p w14:paraId="68768A64">
                  <w:pPr>
                    <w:bidi w:val="0"/>
                    <w:rPr>
                      <w:rFonts w:hint="eastAsia"/>
                      <w:lang w:val="en-US" w:eastAsia="zh-CN"/>
                    </w:rPr>
                  </w:pPr>
                  <w:r>
                    <w:rPr>
                      <w:rFonts w:hint="eastAsia"/>
                      <w:lang w:val="en-US" w:eastAsia="zh-CN"/>
                    </w:rPr>
                    <w:t>（6）酒、饮料制造业</w:t>
                  </w:r>
                </w:p>
                <w:p w14:paraId="41AAD3FB">
                  <w:pPr>
                    <w:bidi w:val="0"/>
                    <w:rPr>
                      <w:rFonts w:hint="eastAsia"/>
                      <w:lang w:val="en-US" w:eastAsia="zh-CN"/>
                    </w:rPr>
                  </w:pPr>
                  <w:r>
                    <w:rPr>
                      <w:rFonts w:hint="eastAsia"/>
                      <w:lang w:val="en-US" w:eastAsia="zh-CN"/>
                    </w:rPr>
                    <w:t>酒、饮料制造业废气主要为污水处理站、酒糟堆场、果蔬渣堆场、沼渣堆场等无组织废气，其污染防治控制要求如下：</w:t>
                  </w:r>
                  <w:r>
                    <w:rPr>
                      <w:rFonts w:hint="default"/>
                      <w:lang w:val="en-US" w:eastAsia="zh-CN"/>
                    </w:rPr>
                    <w:t>a</w:t>
                  </w:r>
                  <w:r>
                    <w:rPr>
                      <w:rFonts w:hint="eastAsia"/>
                      <w:lang w:val="en-US" w:eastAsia="zh-CN"/>
                    </w:rPr>
                    <w:t>）对厂内综合污水处理站产生恶臭的区域加罩或加盖，或者投放除臭剂，或者集中收集恶臭气体到除臭装置处理后经排气筒排放。</w:t>
                  </w:r>
                  <w:r>
                    <w:rPr>
                      <w:rFonts w:hint="default"/>
                      <w:lang w:val="en-US" w:eastAsia="zh-CN"/>
                    </w:rPr>
                    <w:t>b</w:t>
                  </w:r>
                  <w:r>
                    <w:rPr>
                      <w:rFonts w:hint="eastAsia"/>
                      <w:lang w:val="en-US" w:eastAsia="zh-CN"/>
                    </w:rPr>
                    <w:t>）对于有酒糟堆场、果蔬渣堆场、沼渣堆场等的排污单位，堆放的酒糟、果蔬渣、沼渣等应进行覆盖，及时清理堆场、道路上抛洒的酒糟、果蔬渣、沼渣等。</w:t>
                  </w:r>
                </w:p>
                <w:p w14:paraId="0B739BB9">
                  <w:pPr>
                    <w:bidi w:val="0"/>
                    <w:rPr>
                      <w:rFonts w:hint="eastAsia"/>
                      <w:lang w:val="en-US" w:eastAsia="zh-CN"/>
                    </w:rPr>
                  </w:pPr>
                  <w:r>
                    <w:rPr>
                      <w:rFonts w:hint="eastAsia"/>
                      <w:lang w:val="en-US" w:eastAsia="zh-CN"/>
                    </w:rPr>
                    <w:t>中药饮片生产</w:t>
                  </w:r>
                </w:p>
                <w:p w14:paraId="282C1016">
                  <w:pPr>
                    <w:bidi w:val="0"/>
                    <w:rPr>
                      <w:rFonts w:hint="default"/>
                      <w:lang w:val="en-US" w:eastAsia="zh-CN"/>
                    </w:rPr>
                  </w:pPr>
                  <w:r>
                    <w:rPr>
                      <w:rFonts w:hint="eastAsia"/>
                      <w:lang w:val="en-US" w:eastAsia="zh-CN"/>
                    </w:rPr>
                    <w:t>采用袋式除尘；静电除尘；袋式除尘与湿式除尘的组合工艺去除颗粒物，水喷淋；催化氧化去除臭气浓度。</w:t>
                  </w:r>
                </w:p>
                <w:p w14:paraId="01437BE8">
                  <w:pPr>
                    <w:bidi w:val="0"/>
                    <w:rPr>
                      <w:rFonts w:hint="eastAsia"/>
                      <w:lang w:val="en-US" w:eastAsia="zh-CN"/>
                    </w:rPr>
                  </w:pPr>
                  <w:r>
                    <w:rPr>
                      <w:rFonts w:hint="eastAsia"/>
                      <w:lang w:val="en-US" w:eastAsia="zh-CN"/>
                    </w:rPr>
                    <w:t>（8）饲料加工、植物油加工工业</w:t>
                  </w:r>
                </w:p>
                <w:p w14:paraId="7BD1C857">
                  <w:pPr>
                    <w:bidi w:val="0"/>
                    <w:rPr>
                      <w:rFonts w:hint="eastAsia"/>
                      <w:lang w:val="en-US" w:eastAsia="zh-CN"/>
                    </w:rPr>
                  </w:pPr>
                  <w:r>
                    <w:rPr>
                      <w:rFonts w:hint="eastAsia"/>
                      <w:lang w:val="en-US" w:eastAsia="zh-CN"/>
                    </w:rPr>
                    <w:t>有组织排放控制要求：</w:t>
                  </w:r>
                  <w:r>
                    <w:rPr>
                      <w:rFonts w:hint="default"/>
                      <w:lang w:val="en-US" w:eastAsia="zh-CN"/>
                    </w:rPr>
                    <w:t>a</w:t>
                  </w:r>
                  <w:r>
                    <w:rPr>
                      <w:rFonts w:hint="eastAsia"/>
                      <w:lang w:val="en-US" w:eastAsia="zh-CN"/>
                    </w:rPr>
                    <w:t>）污染防治设施应与其对应的生产工艺设备同步运转，保证在生产工艺设备运行波动情况下仍能正常运转，实现达标排放。</w:t>
                  </w:r>
                  <w:r>
                    <w:rPr>
                      <w:rFonts w:hint="default"/>
                      <w:lang w:val="en-US" w:eastAsia="zh-CN"/>
                    </w:rPr>
                    <w:t>b</w:t>
                  </w:r>
                  <w:r>
                    <w:rPr>
                      <w:rFonts w:hint="eastAsia"/>
                      <w:lang w:val="en-US" w:eastAsia="zh-CN"/>
                    </w:rPr>
                    <w:t>）加强除尘设备巡检，消除设备隐患，保证正常运行。布袋除尘器应定期检查设备和管线的气密性。布袋除尘器应定期更换滤袋，保证滤袋完整无破损。电除尘器应定期检修维护极板、极丝、振打清灰装置。</w:t>
                  </w:r>
                  <w:r>
                    <w:rPr>
                      <w:rFonts w:hint="default"/>
                      <w:lang w:val="en-US" w:eastAsia="zh-CN"/>
                    </w:rPr>
                    <w:t>c</w:t>
                  </w:r>
                  <w:r>
                    <w:rPr>
                      <w:rFonts w:hint="eastAsia"/>
                      <w:lang w:val="en-US" w:eastAsia="zh-CN"/>
                    </w:rPr>
                    <w:t>）加强除臭设备巡检，消除设备隐患，保证正常运行。活性炭吸附装置定期更换活性炭，提高活性炭吸附率。采用生物法除臭的定期添加药剂、控制</w:t>
                  </w:r>
                  <w:r>
                    <w:rPr>
                      <w:rFonts w:hint="default"/>
                      <w:lang w:val="en-US" w:eastAsia="zh-CN"/>
                    </w:rPr>
                    <w:t>pH</w:t>
                  </w:r>
                  <w:r>
                    <w:rPr>
                      <w:rFonts w:hint="eastAsia"/>
                      <w:lang w:val="en-US" w:eastAsia="zh-CN"/>
                    </w:rPr>
                    <w:t>值和温度等。无组织排放控制要求：</w:t>
                  </w:r>
                </w:p>
                <w:p w14:paraId="523FA579">
                  <w:pPr>
                    <w:bidi w:val="0"/>
                    <w:rPr>
                      <w:rFonts w:hint="eastAsia"/>
                      <w:lang w:val="en-US" w:eastAsia="zh-CN"/>
                    </w:rPr>
                  </w:pPr>
                  <w:r>
                    <w:rPr>
                      <w:rFonts w:hint="default"/>
                      <w:lang w:val="en-US" w:eastAsia="zh-CN"/>
                    </w:rPr>
                    <w:t>a</w:t>
                  </w:r>
                  <w:r>
                    <w:rPr>
                      <w:rFonts w:hint="eastAsia"/>
                      <w:lang w:val="en-US" w:eastAsia="zh-CN"/>
                    </w:rPr>
                    <w:t>）加强装卸料、输运设备的密封或密闭，或者收集送除尘装置处理后排放。</w:t>
                  </w:r>
                  <w:r>
                    <w:rPr>
                      <w:rFonts w:hint="default"/>
                      <w:lang w:val="en-US" w:eastAsia="zh-CN"/>
                    </w:rPr>
                    <w:t>b</w:t>
                  </w:r>
                  <w:r>
                    <w:rPr>
                      <w:rFonts w:hint="eastAsia"/>
                      <w:lang w:val="en-US" w:eastAsia="zh-CN"/>
                    </w:rPr>
                    <w:t>）饲料加工排污单位应加强发酵车间、水产饲料脱臭环节的通风，安装排风扇，及时清洗、清运；或者集中收集经水封或处理后经排气筒排放。</w:t>
                  </w:r>
                  <w:r>
                    <w:rPr>
                      <w:rFonts w:hint="default"/>
                      <w:lang w:val="en-US" w:eastAsia="zh-CN"/>
                    </w:rPr>
                    <w:t>c</w:t>
                  </w:r>
                  <w:r>
                    <w:rPr>
                      <w:rFonts w:hint="eastAsia"/>
                      <w:lang w:val="en-US" w:eastAsia="zh-CN"/>
                    </w:rPr>
                    <w:t>）植物油加工工业排污单位应加强蒸炒、焙炒环节的通风，安装排风扇；或者集中收集经水封或处理后经排气筒排放。</w:t>
                  </w:r>
                  <w:r>
                    <w:rPr>
                      <w:rFonts w:hint="default"/>
                      <w:lang w:val="en-US" w:eastAsia="zh-CN"/>
                    </w:rPr>
                    <w:t>d</w:t>
                  </w:r>
                  <w:r>
                    <w:rPr>
                      <w:rFonts w:hint="eastAsia"/>
                      <w:lang w:val="en-US" w:eastAsia="zh-CN"/>
                    </w:rPr>
                    <w:t>）饲料加工、植物油加工工业排污单位的包装机应加强密闭，或者包装废气颗粒物在满足生产要求的前提下回用到生产前端，或者收集送除尘装置处理后排放。</w:t>
                  </w:r>
                  <w:r>
                    <w:rPr>
                      <w:rFonts w:hint="default"/>
                      <w:lang w:val="en-US" w:eastAsia="zh-CN"/>
                    </w:rPr>
                    <w:t>e</w:t>
                  </w:r>
                  <w:r>
                    <w:rPr>
                      <w:rFonts w:hint="eastAsia"/>
                      <w:lang w:val="en-US" w:eastAsia="zh-CN"/>
                    </w:rPr>
                    <w:t>）植物油加工工业排污单位应注意有机溶剂须储存于密闭存储装置中，并置于专用场地，并保持非取用状态密闭。</w:t>
                  </w:r>
                  <w:r>
                    <w:rPr>
                      <w:rFonts w:hint="default"/>
                      <w:lang w:val="en-US" w:eastAsia="zh-CN"/>
                    </w:rPr>
                    <w:t>f</w:t>
                  </w:r>
                  <w:r>
                    <w:rPr>
                      <w:rFonts w:hint="eastAsia"/>
                      <w:lang w:val="en-US" w:eastAsia="zh-CN"/>
                    </w:rPr>
                    <w:t>）应对厂内综合污水处理站产生恶臭的区域加罩或加盖密封；或者投放除臭剂；或者集中收集恶臭气体到除臭装置处理后经排气筒排放。</w:t>
                  </w:r>
                </w:p>
                <w:p w14:paraId="501EF148">
                  <w:pPr>
                    <w:bidi w:val="0"/>
                    <w:rPr>
                      <w:rFonts w:hint="eastAsia"/>
                      <w:lang w:val="en-US" w:eastAsia="zh-CN"/>
                    </w:rPr>
                  </w:pPr>
                  <w:r>
                    <w:rPr>
                      <w:rFonts w:hint="eastAsia"/>
                      <w:lang w:val="en-US" w:eastAsia="zh-CN"/>
                    </w:rPr>
                    <w:t>（9）装备制造业表面处理工序</w:t>
                  </w:r>
                </w:p>
                <w:p w14:paraId="4D3C1504">
                  <w:pPr>
                    <w:bidi w:val="0"/>
                    <w:rPr>
                      <w:rFonts w:hint="eastAsia"/>
                      <w:lang w:val="en-US" w:eastAsia="zh-CN"/>
                    </w:rPr>
                  </w:pPr>
                  <w:r>
                    <w:rPr>
                      <w:rFonts w:hint="default"/>
                      <w:lang w:val="en-US" w:eastAsia="zh-CN"/>
                    </w:rPr>
                    <w:t>1</w:t>
                  </w:r>
                  <w:r>
                    <w:rPr>
                      <w:rFonts w:hint="eastAsia"/>
                      <w:lang w:val="en-US" w:eastAsia="zh-CN"/>
                    </w:rPr>
                    <w:t>）企业应根据生产工艺、操作方式、废气性质和污染物类型，对工艺废气实施分类收集、分质处理。</w:t>
                  </w:r>
                  <w:r>
                    <w:rPr>
                      <w:rFonts w:hint="default"/>
                      <w:lang w:val="en-US" w:eastAsia="zh-CN"/>
                    </w:rPr>
                    <w:t>2</w:t>
                  </w:r>
                  <w:r>
                    <w:rPr>
                      <w:rFonts w:hint="eastAsia"/>
                      <w:lang w:val="en-US" w:eastAsia="zh-CN"/>
                    </w:rPr>
                    <w:t>）应按照“应收尽收”的原则提高废气收集率，减少污染物的无组织排放；按照与生产设施“同启同停”或“先启后停”的原则提高治理设施运转率，按照“适宜高效”的原则提高治理设施去除率，减少污染物的排放。</w:t>
                  </w:r>
                  <w:r>
                    <w:rPr>
                      <w:rFonts w:hint="default"/>
                      <w:lang w:val="en-US" w:eastAsia="zh-CN"/>
                    </w:rPr>
                    <w:t>3</w:t>
                  </w:r>
                  <w:r>
                    <w:rPr>
                      <w:rFonts w:hint="eastAsia"/>
                      <w:lang w:val="en-US" w:eastAsia="zh-CN"/>
                    </w:rPr>
                    <w:t>）对产生废气污染物的设施和生产过程，宜采用密闭或负压操作等措施，实现有组织排放。当无法采用密闭或负压操作时，宜选择局部集气罩或其他适宜的收集方式，并尽可能包围或靠近污染源，减少污染物外逸。</w:t>
                  </w:r>
                  <w:r>
                    <w:rPr>
                      <w:rFonts w:hint="default"/>
                      <w:lang w:val="en-US" w:eastAsia="zh-CN"/>
                    </w:rPr>
                    <w:t>4</w:t>
                  </w:r>
                  <w:r>
                    <w:rPr>
                      <w:rFonts w:hint="eastAsia"/>
                      <w:lang w:val="en-US" w:eastAsia="zh-CN"/>
                    </w:rPr>
                    <w:t>）涂装自动作业单元宜采用“循环风”技术，将喷涂等单元产生的有组织废气，经去除漆雾、调温、调湿后作为送风回用到非人工作业区，提高废气</w:t>
                  </w:r>
                  <w:r>
                    <w:rPr>
                      <w:rFonts w:hint="default"/>
                      <w:lang w:val="en-US" w:eastAsia="zh-CN"/>
                    </w:rPr>
                    <w:t>VOCs</w:t>
                  </w:r>
                  <w:r>
                    <w:rPr>
                      <w:rFonts w:hint="eastAsia"/>
                      <w:lang w:val="en-US" w:eastAsia="zh-CN"/>
                    </w:rPr>
                    <w:t>污染物浓度，减少需要处理的废气量，降低末端治理设施的投资和运行成本。</w:t>
                  </w:r>
                  <w:r>
                    <w:rPr>
                      <w:rFonts w:hint="default"/>
                      <w:lang w:val="en-US" w:eastAsia="zh-CN"/>
                    </w:rPr>
                    <w:t>5</w:t>
                  </w:r>
                  <w:r>
                    <w:rPr>
                      <w:rFonts w:hint="eastAsia"/>
                      <w:lang w:val="en-US" w:eastAsia="zh-CN"/>
                    </w:rPr>
                    <w:t>）大气污染治理工程的设计、施工、验收和运行应符合</w:t>
                  </w:r>
                  <w:r>
                    <w:rPr>
                      <w:rFonts w:hint="default"/>
                      <w:lang w:val="en-US" w:eastAsia="zh-CN"/>
                    </w:rPr>
                    <w:t>HJ2000</w:t>
                  </w:r>
                  <w:r>
                    <w:rPr>
                      <w:rFonts w:hint="eastAsia"/>
                      <w:lang w:val="en-US" w:eastAsia="zh-CN"/>
                    </w:rPr>
                    <w:t>的规定。具有爆炸危险性的场合，废气污染治理设施的设计应符合</w:t>
                  </w:r>
                  <w:r>
                    <w:rPr>
                      <w:rFonts w:hint="default"/>
                      <w:lang w:val="en-US" w:eastAsia="zh-CN"/>
                    </w:rPr>
                    <w:t>AQ4273</w:t>
                  </w:r>
                  <w:r>
                    <w:rPr>
                      <w:rFonts w:hint="eastAsia"/>
                      <w:lang w:val="en-US" w:eastAsia="zh-CN"/>
                    </w:rPr>
                    <w:t>的规定。</w:t>
                  </w:r>
                </w:p>
                <w:p w14:paraId="376B2BF6">
                  <w:pPr>
                    <w:bidi w:val="0"/>
                    <w:rPr>
                      <w:rFonts w:hint="default"/>
                      <w:lang w:val="en-US" w:eastAsia="zh-CN"/>
                    </w:rPr>
                  </w:pPr>
                  <w:r>
                    <w:rPr>
                      <w:rFonts w:hint="default"/>
                      <w:lang w:val="en-US" w:eastAsia="zh-CN"/>
                    </w:rPr>
                    <w:t>2、水污染防治及减缓措施</w:t>
                  </w:r>
                </w:p>
                <w:p w14:paraId="5AA806D2">
                  <w:pPr>
                    <w:bidi w:val="0"/>
                    <w:rPr>
                      <w:rFonts w:hint="eastAsia"/>
                      <w:lang w:val="en-US" w:eastAsia="zh-CN"/>
                    </w:rPr>
                  </w:pPr>
                  <w:r>
                    <w:rPr>
                      <w:rFonts w:hint="eastAsia"/>
                      <w:lang w:val="en-US" w:eastAsia="zh-CN"/>
                    </w:rPr>
                    <w:t>（</w:t>
                  </w:r>
                  <w:r>
                    <w:rPr>
                      <w:rFonts w:hint="default"/>
                      <w:lang w:val="en-US" w:eastAsia="zh-CN"/>
                    </w:rPr>
                    <w:t>1</w:t>
                  </w:r>
                  <w:r>
                    <w:rPr>
                      <w:rFonts w:hint="eastAsia"/>
                      <w:lang w:val="en-US" w:eastAsia="zh-CN"/>
                    </w:rPr>
                    <w:t>）落实完善区内污水管网建设。完善开发区排水管网系统，确保实现雨污分流、清污分流，提高开发区废水收集率及处理率，加强对水环境的保护，满足区域发展需求，区内企业排水接管率要达到</w:t>
                  </w:r>
                  <w:r>
                    <w:rPr>
                      <w:rFonts w:hint="default"/>
                      <w:lang w:val="en-US" w:eastAsia="zh-CN"/>
                    </w:rPr>
                    <w:t>100%</w:t>
                  </w:r>
                  <w:r>
                    <w:rPr>
                      <w:rFonts w:hint="eastAsia"/>
                      <w:lang w:val="en-US" w:eastAsia="zh-CN"/>
                    </w:rPr>
                    <w:t>。（</w:t>
                  </w:r>
                  <w:r>
                    <w:rPr>
                      <w:rFonts w:hint="default"/>
                      <w:lang w:val="en-US" w:eastAsia="zh-CN"/>
                    </w:rPr>
                    <w:t>2</w:t>
                  </w:r>
                  <w:r>
                    <w:rPr>
                      <w:rFonts w:hint="eastAsia"/>
                      <w:lang w:val="en-US" w:eastAsia="zh-CN"/>
                    </w:rPr>
                    <w:t>）强化对污废水排放企业的监管。开发区应加强对区内废水排放的监督管理，区内企业应做到“清污分流、雨污分流”，实现废水分类收集、分质处理，确保污染源的达标排放；同时鼓励企业内部综合水循环利用，逐步建立中水回用系统，减少废水排放量，降低对区域水生生态环境的影响；可能对开发区污水处理厂处理设施正常运行产生影响的企业，应当建设独立的废水处理设施，满足达标排放且不影响集中处理设施运行的要求后才能进入废水集中处理设施。（</w:t>
                  </w:r>
                  <w:r>
                    <w:rPr>
                      <w:rFonts w:hint="default"/>
                      <w:lang w:val="en-US" w:eastAsia="zh-CN"/>
                    </w:rPr>
                    <w:t>3</w:t>
                  </w:r>
                  <w:r>
                    <w:rPr>
                      <w:rFonts w:hint="eastAsia"/>
                      <w:lang w:val="en-US" w:eastAsia="zh-CN"/>
                    </w:rPr>
                    <w:t>）强化开发区内工业废水污染治理，加强对现有治污设施的运行管理，特别要加强对重点污染行业的治理，对重点污染源实施在线监控，确保主要污染源稳定达标排放。（</w:t>
                  </w:r>
                  <w:r>
                    <w:rPr>
                      <w:rFonts w:hint="default"/>
                      <w:lang w:val="en-US" w:eastAsia="zh-CN"/>
                    </w:rPr>
                    <w:t>4</w:t>
                  </w:r>
                  <w:r>
                    <w:rPr>
                      <w:rFonts w:hint="eastAsia"/>
                      <w:lang w:val="en-US" w:eastAsia="zh-CN"/>
                    </w:rPr>
                    <w:t>）严格制定园区工业项目准入条件，对企业实施清洁生产，要求入区生产等企业提高生产系统用水循环率，从源头削减污染物排放量。严禁工艺污染严重、污染难以处理达标的企业入驻园区。</w:t>
                  </w:r>
                </w:p>
                <w:p w14:paraId="40EA17F2">
                  <w:pPr>
                    <w:bidi w:val="0"/>
                    <w:rPr>
                      <w:rFonts w:hint="default"/>
                      <w:lang w:val="en-US" w:eastAsia="zh-CN"/>
                    </w:rPr>
                  </w:pPr>
                  <w:r>
                    <w:rPr>
                      <w:rFonts w:hint="eastAsia"/>
                      <w:lang w:val="en-US" w:eastAsia="zh-CN"/>
                    </w:rPr>
                    <w:t>（</w:t>
                  </w:r>
                  <w:r>
                    <w:rPr>
                      <w:rFonts w:hint="default"/>
                      <w:lang w:val="en-US" w:eastAsia="zh-CN"/>
                    </w:rPr>
                    <w:t>5</w:t>
                  </w:r>
                  <w:r>
                    <w:rPr>
                      <w:rFonts w:hint="eastAsia"/>
                      <w:lang w:val="en-US" w:eastAsia="zh-CN"/>
                    </w:rPr>
                    <w:t>）企业根据实际情况建设污水处理和回用系统，小企业可以合用大企业的污水处理设施。企业内部设置事故池和初期雨水收集池，用于收集企业生产事故废水和初期雨水，事故废水和初期雨水经企业内部污水处理设施处理达标后回用，如不能全部回用，将事故废水处理达园区污水处理厂进水指标入园区污水处理厂进行处理。（</w:t>
                  </w:r>
                  <w:r>
                    <w:rPr>
                      <w:rFonts w:hint="default"/>
                      <w:lang w:val="en-US" w:eastAsia="zh-CN"/>
                    </w:rPr>
                    <w:t>6</w:t>
                  </w:r>
                  <w:r>
                    <w:rPr>
                      <w:rFonts w:hint="eastAsia"/>
                      <w:lang w:val="en-US" w:eastAsia="zh-CN"/>
                    </w:rPr>
                    <w:t>）由园区管理委员会在水费上附加污水处理费用，生活用水和生产用水实行分价征收，按用水量收取相应的废水治理费用，用于废水处理设施运行和维护，以保证废水集中处理设施能有效、稳定运行。（</w:t>
                  </w:r>
                  <w:r>
                    <w:rPr>
                      <w:rFonts w:hint="default"/>
                      <w:lang w:val="en-US" w:eastAsia="zh-CN"/>
                    </w:rPr>
                    <w:t>7</w:t>
                  </w:r>
                  <w:r>
                    <w:rPr>
                      <w:rFonts w:hint="eastAsia"/>
                      <w:lang w:val="en-US" w:eastAsia="zh-CN"/>
                    </w:rPr>
                    <w:t>）水污染管理措施：</w:t>
                  </w:r>
                  <w:r>
                    <w:rPr>
                      <w:rFonts w:hint="default"/>
                      <w:lang w:val="en-US" w:eastAsia="zh-CN"/>
                    </w:rPr>
                    <w:t>1</w:t>
                  </w:r>
                  <w:r>
                    <w:rPr>
                      <w:rFonts w:hint="eastAsia"/>
                      <w:lang w:val="en-US" w:eastAsia="zh-CN"/>
                    </w:rPr>
                    <w:t>）加强污染源治理。对重点污染企业要严格管理，督促完善治理措施；入区的企业应采用清洁生产工艺。</w:t>
                  </w:r>
                  <w:r>
                    <w:rPr>
                      <w:rFonts w:hint="default"/>
                      <w:lang w:val="en-US" w:eastAsia="zh-CN"/>
                    </w:rPr>
                    <w:t>2</w:t>
                  </w:r>
                  <w:r>
                    <w:rPr>
                      <w:rFonts w:hint="eastAsia"/>
                      <w:lang w:val="en-US" w:eastAsia="zh-CN"/>
                    </w:rPr>
                    <w:t>）加强节水管理，提高工业用水的重复利用率。</w:t>
                  </w:r>
                </w:p>
                <w:p w14:paraId="33E501C8">
                  <w:pPr>
                    <w:bidi w:val="0"/>
                    <w:rPr>
                      <w:rFonts w:hint="default"/>
                      <w:lang w:val="en-US" w:eastAsia="zh-CN"/>
                    </w:rPr>
                  </w:pPr>
                  <w:r>
                    <w:rPr>
                      <w:rFonts w:hint="default"/>
                      <w:lang w:val="en-US" w:eastAsia="zh-CN"/>
                    </w:rPr>
                    <w:t>3、工业噪声防控及减缓措施</w:t>
                  </w:r>
                </w:p>
                <w:p w14:paraId="7965D1A6">
                  <w:pPr>
                    <w:bidi w:val="0"/>
                    <w:rPr>
                      <w:rFonts w:hint="default"/>
                      <w:lang w:val="en-US" w:eastAsia="zh-CN"/>
                    </w:rPr>
                  </w:pPr>
                  <w:bookmarkStart w:id="17" w:name="_Toc1637"/>
                  <w:r>
                    <w:rPr>
                      <w:rFonts w:hint="eastAsia"/>
                      <w:lang w:val="en-US" w:eastAsia="zh-CN"/>
                    </w:rPr>
                    <w:t>（</w:t>
                  </w:r>
                  <w:r>
                    <w:rPr>
                      <w:rFonts w:hint="default"/>
                      <w:lang w:val="en-US" w:eastAsia="zh-CN"/>
                    </w:rPr>
                    <w:t>1</w:t>
                  </w:r>
                  <w:r>
                    <w:rPr>
                      <w:rFonts w:hint="eastAsia"/>
                      <w:lang w:val="en-US" w:eastAsia="zh-CN"/>
                    </w:rPr>
                    <w:t>）对于设备和交通运输产生的噪声，应首先从声源上进行控制，优化设备布局和物流运输路线，采用低噪声设备和运输工具；如仍达不到要求，则应采用隔声、消声、吸声、隔振、柔性连接、绿化以及综合控制等噪声污染防治措施。（</w:t>
                  </w:r>
                  <w:r>
                    <w:rPr>
                      <w:rFonts w:hint="default"/>
                      <w:lang w:val="en-US" w:eastAsia="zh-CN"/>
                    </w:rPr>
                    <w:t>2</w:t>
                  </w:r>
                  <w:r>
                    <w:rPr>
                      <w:rFonts w:hint="eastAsia"/>
                      <w:lang w:val="en-US" w:eastAsia="zh-CN"/>
                    </w:rPr>
                    <w:t>）排放工业噪声且依法应申领排污许可证的排污单位应按照《排污许可证申请与核发技术规范工业噪声》（</w:t>
                  </w:r>
                  <w:r>
                    <w:rPr>
                      <w:rFonts w:hint="default"/>
                      <w:lang w:val="en-US" w:eastAsia="zh-CN"/>
                    </w:rPr>
                    <w:t>HJ1301-2023</w:t>
                  </w:r>
                  <w:r>
                    <w:rPr>
                      <w:rFonts w:hint="eastAsia"/>
                      <w:lang w:val="en-US" w:eastAsia="zh-CN"/>
                    </w:rPr>
                    <w:t>）要求填报排污许可证工业噪声相关申请信息；实行排污许可管理的单位依证排污，按照规定开展自行监测并向社会公开。属于本行政区域噪声重点排污单位名录中的噪声重点排污单位应依法开展噪声自动监测，并及时与生态环境主管部门的监控设备联网。</w:t>
                  </w:r>
                  <w:bookmarkEnd w:id="17"/>
                </w:p>
                <w:p w14:paraId="05A13B76">
                  <w:pPr>
                    <w:bidi w:val="0"/>
                    <w:rPr>
                      <w:rFonts w:hint="default"/>
                      <w:lang w:val="en-US" w:eastAsia="zh-CN"/>
                    </w:rPr>
                  </w:pPr>
                  <w:r>
                    <w:rPr>
                      <w:rFonts w:hint="default"/>
                      <w:lang w:val="en-US" w:eastAsia="zh-CN"/>
                    </w:rPr>
                    <w:t>4、固体废弃物防治对策</w:t>
                  </w:r>
                </w:p>
                <w:p w14:paraId="335C6122">
                  <w:pPr>
                    <w:bidi w:val="0"/>
                    <w:rPr>
                      <w:rFonts w:hint="default"/>
                      <w:lang w:val="en-US" w:eastAsia="zh-CN"/>
                    </w:rPr>
                  </w:pPr>
                  <w:bookmarkStart w:id="18" w:name="_Toc1888"/>
                  <w:r>
                    <w:rPr>
                      <w:rFonts w:hint="eastAsia"/>
                      <w:lang w:val="en-US" w:eastAsia="zh-CN"/>
                    </w:rPr>
                    <w:t>排污单位应按照《中华人民共和国固体废物污染环境防治法》等相关法律法规要求，对工业固体废物采用防扬散、防流失、防渗漏或者其他防止污染环境的措施，不得擅自倾倒、堆放、丢弃、遗撒工业固体废物。污染防控技术应符合排污单位适用的污染物排放标准、污染控制标准、污染防治可行技术等相关标准和管理文件要求。</w:t>
                  </w:r>
                  <w:bookmarkEnd w:id="18"/>
                </w:p>
              </w:tc>
              <w:tc>
                <w:tcPr>
                  <w:tcW w:w="1329" w:type="pct"/>
                  <w:noWrap w:val="0"/>
                  <w:vAlign w:val="center"/>
                </w:tcPr>
                <w:p w14:paraId="3041D29A">
                  <w:pPr>
                    <w:bidi w:val="0"/>
                    <w:rPr>
                      <w:rFonts w:hint="eastAsia"/>
                      <w:lang w:val="en-US" w:eastAsia="zh-CN"/>
                    </w:rPr>
                  </w:pPr>
                  <w:r>
                    <w:rPr>
                      <w:rFonts w:hint="eastAsia"/>
                      <w:lang w:val="en-US" w:eastAsia="zh-CN"/>
                    </w:rPr>
                    <w:t>本项目为饮料制造项目具体防治措施如下：</w:t>
                  </w:r>
                </w:p>
                <w:p w14:paraId="61A8A148">
                  <w:pPr>
                    <w:bidi w:val="0"/>
                    <w:rPr>
                      <w:rFonts w:hint="default"/>
                    </w:rPr>
                  </w:pPr>
                  <w:r>
                    <w:rPr>
                      <w:rFonts w:hint="default"/>
                    </w:rPr>
                    <w:t>本项目大气污染防治措施：</w:t>
                  </w:r>
                </w:p>
                <w:p w14:paraId="4D12D68C">
                  <w:pPr>
                    <w:rPr>
                      <w:color w:val="auto"/>
                      <w:highlight w:val="none"/>
                    </w:rPr>
                  </w:pPr>
                  <w:r>
                    <w:rPr>
                      <w:rFonts w:hint="eastAsia"/>
                      <w:color w:val="auto"/>
                      <w:highlight w:val="none"/>
                    </w:rPr>
                    <w:t>（1）</w:t>
                  </w:r>
                  <w:r>
                    <w:rPr>
                      <w:color w:val="auto"/>
                      <w:highlight w:val="none"/>
                    </w:rPr>
                    <w:t>生物质锅炉烟气经</w:t>
                  </w:r>
                  <w:r>
                    <w:rPr>
                      <w:rFonts w:hint="eastAsia"/>
                      <w:color w:val="auto"/>
                      <w:highlight w:val="none"/>
                      <w:lang w:val="en-US" w:eastAsia="zh-CN"/>
                    </w:rPr>
                    <w:t>旋风除尘器+布袋除尘器</w:t>
                  </w:r>
                  <w:r>
                    <w:rPr>
                      <w:color w:val="auto"/>
                      <w:highlight w:val="none"/>
                    </w:rPr>
                    <w:t>处理</w:t>
                  </w:r>
                  <w:r>
                    <w:rPr>
                      <w:rFonts w:hint="eastAsia"/>
                      <w:color w:val="auto"/>
                      <w:highlight w:val="none"/>
                      <w:lang w:eastAsia="zh-CN"/>
                    </w:rPr>
                    <w:t>后由</w:t>
                  </w:r>
                  <w:r>
                    <w:rPr>
                      <w:rFonts w:hint="eastAsia"/>
                      <w:color w:val="auto"/>
                      <w:highlight w:val="none"/>
                    </w:rPr>
                    <w:t>40</w:t>
                  </w:r>
                  <w:r>
                    <w:rPr>
                      <w:color w:val="auto"/>
                      <w:highlight w:val="none"/>
                    </w:rPr>
                    <w:t>m高烟囱（</w:t>
                  </w:r>
                  <w:r>
                    <w:rPr>
                      <w:rFonts w:hint="eastAsia"/>
                      <w:color w:val="auto"/>
                      <w:highlight w:val="none"/>
                      <w:lang w:val="en-US" w:eastAsia="zh-CN"/>
                    </w:rPr>
                    <w:t>DA00</w:t>
                  </w:r>
                  <w:r>
                    <w:rPr>
                      <w:color w:val="auto"/>
                      <w:highlight w:val="none"/>
                    </w:rPr>
                    <w:t>1）排放</w:t>
                  </w:r>
                  <w:r>
                    <w:rPr>
                      <w:rFonts w:hint="eastAsia"/>
                      <w:color w:val="auto"/>
                      <w:highlight w:val="none"/>
                    </w:rPr>
                    <w:t>，废气排放满足《锅炉大气污染物排放标准》（GB13271-2014）表2大气污染物排放限值要求</w:t>
                  </w:r>
                  <w:r>
                    <w:rPr>
                      <w:color w:val="auto"/>
                      <w:highlight w:val="none"/>
                    </w:rPr>
                    <w:t>；</w:t>
                  </w:r>
                </w:p>
                <w:p w14:paraId="7FA06A66">
                  <w:pPr>
                    <w:rPr>
                      <w:rFonts w:hint="eastAsia"/>
                      <w:color w:val="auto"/>
                      <w:highlight w:val="none"/>
                    </w:rPr>
                  </w:pPr>
                  <w:r>
                    <w:rPr>
                      <w:rFonts w:hint="eastAsia"/>
                      <w:color w:val="auto"/>
                      <w:highlight w:val="none"/>
                    </w:rPr>
                    <w:t>（2）筛分过程产生的粉尘分别经集气罩收集由</w:t>
                  </w:r>
                  <w:r>
                    <w:rPr>
                      <w:rFonts w:hint="eastAsia"/>
                      <w:color w:val="auto"/>
                      <w:highlight w:val="none"/>
                      <w:lang w:val="en-US" w:eastAsia="zh-CN"/>
                    </w:rPr>
                    <w:t>布袋除尘器</w:t>
                  </w:r>
                  <w:r>
                    <w:rPr>
                      <w:rFonts w:hint="eastAsia"/>
                      <w:color w:val="auto"/>
                      <w:highlight w:val="none"/>
                    </w:rPr>
                    <w:t>处理后由1根15米高排气筒</w:t>
                  </w:r>
                  <w:r>
                    <w:rPr>
                      <w:rFonts w:hint="eastAsia"/>
                      <w:color w:val="auto"/>
                      <w:highlight w:val="none"/>
                      <w:lang w:eastAsia="zh-CN"/>
                    </w:rPr>
                    <w:t>（</w:t>
                  </w:r>
                  <w:r>
                    <w:rPr>
                      <w:rFonts w:hint="eastAsia"/>
                      <w:color w:val="auto"/>
                      <w:highlight w:val="none"/>
                      <w:lang w:val="en-US" w:eastAsia="zh-CN"/>
                    </w:rPr>
                    <w:t>DA002</w:t>
                  </w:r>
                  <w:r>
                    <w:rPr>
                      <w:rFonts w:hint="eastAsia"/>
                      <w:color w:val="auto"/>
                      <w:highlight w:val="none"/>
                      <w:lang w:eastAsia="zh-CN"/>
                    </w:rPr>
                    <w:t>）</w:t>
                  </w:r>
                  <w:r>
                    <w:rPr>
                      <w:rFonts w:hint="eastAsia"/>
                      <w:color w:val="auto"/>
                      <w:highlight w:val="none"/>
                    </w:rPr>
                    <w:t>排放，产生的有组织及无组织颗粒物可以满足《大气污染物综合排放标准》（GB 16297-1996）。</w:t>
                  </w:r>
                </w:p>
                <w:p w14:paraId="75252FDC">
                  <w:pPr>
                    <w:rPr>
                      <w:rFonts w:hint="eastAsia"/>
                      <w:color w:val="auto"/>
                      <w:highlight w:val="none"/>
                    </w:rPr>
                  </w:pPr>
                  <w:r>
                    <w:rPr>
                      <w:rFonts w:hint="eastAsia"/>
                      <w:color w:val="auto"/>
                      <w:highlight w:val="none"/>
                      <w:lang w:val="en-US" w:eastAsia="zh-CN"/>
                    </w:rPr>
                    <w:t>（3）烘干过程产生的粉尘分别经集气罩收集由布袋除尘器处理后由1根15米高排气筒（DA003）排放，产生的有组织及无组织颗粒物可以满足《大气污染物综合排放标准》（GB 16297-1996）。</w:t>
                  </w:r>
                </w:p>
                <w:p w14:paraId="2153B7C9">
                  <w:pPr>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本项目浸出车间浸出工段采用正己烷，产生有机废气，以非甲烷总烃计，大豆油及米糠油浸出工段均设置集气罩，通过密闭管道连接对应设备的冷凝器，将有机废气冷凝成液态通过密闭管道回流到浸出工段，各冷凝器安装集气管线，经冷凝器+石蜡回收塔处理后废气统一由</w:t>
                  </w:r>
                  <w:r>
                    <w:rPr>
                      <w:rFonts w:hint="eastAsia"/>
                      <w:color w:val="auto"/>
                      <w:highlight w:val="none"/>
                      <w:lang w:val="en-US" w:eastAsia="zh-CN"/>
                    </w:rPr>
                    <w:t>20</w:t>
                  </w:r>
                  <w:r>
                    <w:rPr>
                      <w:rFonts w:hint="eastAsia"/>
                      <w:color w:val="auto"/>
                      <w:highlight w:val="none"/>
                    </w:rPr>
                    <w:t>m高排气筒（</w:t>
                  </w:r>
                  <w:r>
                    <w:rPr>
                      <w:rFonts w:hint="eastAsia"/>
                      <w:color w:val="auto"/>
                      <w:highlight w:val="none"/>
                      <w:lang w:val="en-US" w:eastAsia="zh-CN"/>
                    </w:rPr>
                    <w:t>DA004</w:t>
                  </w:r>
                  <w:r>
                    <w:rPr>
                      <w:rFonts w:hint="eastAsia"/>
                      <w:color w:val="auto"/>
                      <w:highlight w:val="none"/>
                    </w:rPr>
                    <w:t>）排放，产生的有组织及无组织非甲烷总烃可以满足《大气污染物综合排放标准》（GB 16297-1996）要求，厂区内厂房外非甲烷总烃可以满足《挥发性有机物无组织排放控制标准》GB 37822-2019）。</w:t>
                  </w:r>
                </w:p>
                <w:p w14:paraId="7D432ADE">
                  <w:pPr>
                    <w:bidi w:val="0"/>
                    <w:rPr>
                      <w:rFonts w:hint="default"/>
                      <w:lang w:val="en-US" w:eastAsia="zh-CN"/>
                    </w:rPr>
                  </w:pPr>
                  <w:r>
                    <w:rPr>
                      <w:rFonts w:hint="eastAsia" w:eastAsia="宋体"/>
                      <w:color w:val="auto"/>
                      <w:highlight w:val="none"/>
                      <w:lang w:eastAsia="zh-CN"/>
                    </w:rPr>
                    <w:t>（</w:t>
                  </w:r>
                  <w:r>
                    <w:rPr>
                      <w:rFonts w:hint="eastAsia"/>
                      <w:color w:val="auto"/>
                      <w:highlight w:val="none"/>
                      <w:lang w:val="en-US" w:eastAsia="zh-CN"/>
                    </w:rPr>
                    <w:t>5</w:t>
                  </w:r>
                  <w:r>
                    <w:rPr>
                      <w:rFonts w:hint="eastAsia" w:eastAsia="宋体"/>
                      <w:color w:val="auto"/>
                      <w:highlight w:val="none"/>
                      <w:lang w:val="en-US" w:eastAsia="zh-CN"/>
                    </w:rPr>
                    <w:t>）污水处理站恶臭经活性炭吸附后由15m高排气筒</w:t>
                  </w:r>
                  <w:r>
                    <w:rPr>
                      <w:rFonts w:hint="eastAsia"/>
                      <w:color w:val="auto"/>
                      <w:highlight w:val="none"/>
                      <w:lang w:val="en-US" w:eastAsia="zh-CN"/>
                    </w:rPr>
                    <w:t>（DA005）</w:t>
                  </w:r>
                  <w:r>
                    <w:rPr>
                      <w:rFonts w:hint="eastAsia" w:eastAsia="宋体"/>
                      <w:color w:val="auto"/>
                      <w:highlight w:val="none"/>
                      <w:lang w:val="en-US" w:eastAsia="zh-CN"/>
                    </w:rPr>
                    <w:t>排放，产生得有组织及无组织恶臭满足</w:t>
                  </w:r>
                  <w:r>
                    <w:rPr>
                      <w:rFonts w:hint="eastAsia" w:eastAsia="宋体"/>
                      <w:color w:val="auto"/>
                      <w:highlight w:val="none"/>
                    </w:rPr>
                    <w:t>《恶臭污染物排放标准》（GB14554-93）</w:t>
                  </w:r>
                  <w:r>
                    <w:rPr>
                      <w:rFonts w:hint="eastAsia" w:eastAsia="宋体"/>
                      <w:color w:val="auto"/>
                      <w:highlight w:val="none"/>
                      <w:lang w:val="en-US" w:eastAsia="zh-CN"/>
                    </w:rPr>
                    <w:t>要求，活性炭每三个月更换一次。</w:t>
                  </w:r>
                </w:p>
                <w:p w14:paraId="2A270E7F">
                  <w:pPr>
                    <w:bidi w:val="0"/>
                    <w:rPr>
                      <w:rFonts w:hint="default"/>
                    </w:rPr>
                  </w:pPr>
                  <w:r>
                    <w:rPr>
                      <w:rFonts w:hint="default"/>
                    </w:rPr>
                    <w:t>水污染防治措施：</w:t>
                  </w:r>
                </w:p>
                <w:p w14:paraId="383139C7">
                  <w:pPr>
                    <w:bidi w:val="0"/>
                    <w:rPr>
                      <w:rFonts w:hint="default"/>
                      <w:lang w:eastAsia="zh-CN"/>
                    </w:rPr>
                  </w:pPr>
                  <w:r>
                    <w:rPr>
                      <w:rFonts w:hint="default"/>
                      <w:lang w:eastAsia="zh-CN"/>
                    </w:rPr>
                    <w:t>本项目废水主要为生产废水和生活废水，生活废水通过污水管网排入市政管线。生产废水排入厂内污水处理站，处理达标后排入市政管网，进入</w:t>
                  </w:r>
                  <w:r>
                    <w:rPr>
                      <w:rFonts w:hint="eastAsia"/>
                      <w:lang w:eastAsia="zh-CN"/>
                    </w:rPr>
                    <w:t>桦南浦华净源水务有限公司（桦南县污水处理厂）</w:t>
                  </w:r>
                  <w:r>
                    <w:rPr>
                      <w:rFonts w:hint="default"/>
                      <w:lang w:eastAsia="zh-CN"/>
                    </w:rPr>
                    <w:t>。</w:t>
                  </w:r>
                </w:p>
                <w:p w14:paraId="494FFC1E">
                  <w:pPr>
                    <w:bidi w:val="0"/>
                    <w:rPr>
                      <w:rFonts w:hint="default"/>
                    </w:rPr>
                  </w:pPr>
                  <w:r>
                    <w:rPr>
                      <w:rFonts w:hint="default"/>
                    </w:rPr>
                    <w:t>3、噪声污染防治措施：</w:t>
                  </w:r>
                </w:p>
                <w:p w14:paraId="78D08CA7">
                  <w:pPr>
                    <w:bidi w:val="0"/>
                    <w:rPr>
                      <w:rFonts w:hint="eastAsia"/>
                      <w:lang w:eastAsia="zh-CN"/>
                    </w:rPr>
                  </w:pPr>
                  <w:bookmarkStart w:id="19" w:name="_Toc22877"/>
                  <w:r>
                    <w:rPr>
                      <w:rFonts w:hint="default"/>
                    </w:rPr>
                    <w:t>采用隔声、基础减震等措施</w:t>
                  </w:r>
                  <w:r>
                    <w:rPr>
                      <w:rFonts w:hint="eastAsia"/>
                      <w:lang w:eastAsia="zh-CN"/>
                    </w:rPr>
                    <w:t>。</w:t>
                  </w:r>
                  <w:bookmarkEnd w:id="19"/>
                </w:p>
                <w:p w14:paraId="508C5540">
                  <w:pPr>
                    <w:bidi w:val="0"/>
                    <w:rPr>
                      <w:rFonts w:hint="default"/>
                    </w:rPr>
                  </w:pPr>
                  <w:bookmarkStart w:id="20" w:name="_Toc20042"/>
                  <w:r>
                    <w:rPr>
                      <w:rFonts w:hint="default"/>
                    </w:rPr>
                    <w:t>4、固体废弃物防治措施：</w:t>
                  </w:r>
                  <w:bookmarkEnd w:id="20"/>
                </w:p>
                <w:p w14:paraId="1F10BD68">
                  <w:pPr>
                    <w:bidi w:val="0"/>
                    <w:rPr>
                      <w:rFonts w:hint="eastAsia"/>
                      <w:lang w:eastAsia="zh-CN"/>
                    </w:rPr>
                  </w:pPr>
                  <w:bookmarkStart w:id="21" w:name="_Toc12743"/>
                  <w:r>
                    <w:rPr>
                      <w:rFonts w:hint="default"/>
                    </w:rPr>
                    <w:t>本项目按照垃圾和工业固废减量化、资源化、无害化的处理原则，针对本项目产生的固体废物进行合理妥善的处置</w:t>
                  </w:r>
                  <w:r>
                    <w:rPr>
                      <w:rFonts w:hint="eastAsia"/>
                      <w:lang w:eastAsia="zh-CN"/>
                    </w:rPr>
                    <w:t>。</w:t>
                  </w:r>
                  <w:bookmarkEnd w:id="21"/>
                </w:p>
              </w:tc>
              <w:tc>
                <w:tcPr>
                  <w:tcW w:w="508" w:type="pct"/>
                  <w:noWrap w:val="0"/>
                  <w:vAlign w:val="center"/>
                </w:tcPr>
                <w:p w14:paraId="2BD1DAE5">
                  <w:pPr>
                    <w:bidi w:val="0"/>
                    <w:rPr>
                      <w:rFonts w:hint="default"/>
                    </w:rPr>
                  </w:pPr>
                  <w:bookmarkStart w:id="22" w:name="_Toc30642"/>
                  <w:r>
                    <w:rPr>
                      <w:rFonts w:hint="default"/>
                    </w:rPr>
                    <w:t>符合</w:t>
                  </w:r>
                  <w:bookmarkEnd w:id="22"/>
                </w:p>
              </w:tc>
            </w:tr>
            <w:tr w14:paraId="62F93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0" w:hRule="atLeast"/>
              </w:trPr>
              <w:tc>
                <w:tcPr>
                  <w:tcW w:w="893" w:type="pct"/>
                  <w:noWrap w:val="0"/>
                  <w:vAlign w:val="center"/>
                </w:tcPr>
                <w:p w14:paraId="2C81A0D8">
                  <w:pPr>
                    <w:bidi w:val="0"/>
                    <w:rPr>
                      <w:rFonts w:hint="default"/>
                      <w:lang w:val="en-US" w:eastAsia="zh-CN"/>
                    </w:rPr>
                  </w:pPr>
                  <w:bookmarkStart w:id="23" w:name="_Toc28470"/>
                  <w:r>
                    <w:rPr>
                      <w:rFonts w:hint="default"/>
                      <w:lang w:val="en-US" w:eastAsia="zh-CN"/>
                    </w:rPr>
                    <w:t>风险防范措施</w:t>
                  </w:r>
                  <w:bookmarkEnd w:id="23"/>
                </w:p>
              </w:tc>
              <w:tc>
                <w:tcPr>
                  <w:tcW w:w="2268" w:type="pct"/>
                  <w:noWrap w:val="0"/>
                  <w:vAlign w:val="center"/>
                </w:tcPr>
                <w:p w14:paraId="745516BF">
                  <w:pPr>
                    <w:bidi w:val="0"/>
                    <w:rPr>
                      <w:rFonts w:hint="eastAsia"/>
                      <w:lang w:val="en-US" w:eastAsia="zh-CN"/>
                    </w:rPr>
                  </w:pPr>
                  <w:bookmarkStart w:id="24" w:name="_Toc7565"/>
                  <w:r>
                    <w:rPr>
                      <w:rFonts w:hint="eastAsia"/>
                      <w:lang w:val="en-US" w:eastAsia="zh-CN"/>
                    </w:rPr>
                    <w:t>①强化应急物资储备和救援队伍建设。②要求企业在选址、总图布置、建筑安全、危险化学品贮存安全、自动控制设计安全、电气和电讯安全、消防和火灾报警系统、人员培训等方面完善各项环境风险防范措施和制度，突出全防全控，确保将风险防范融入日常环境管理制度体系；园区管理部门应加强执法监督，建立危险源数据库并动态更新，实现对重点企业和主要环境风险类型的动态监控。③园区管理部门应当组织建设有毒有害气体环境风险预警体系，建设园区环境风险防范设施，强化区域环境风险应急防范能力。④加强环境应急预案管理。园区和园区内企业应当结合经营性质、规模、组织体系，建立健全环境应急预案体系，并强化企业、园区以及上级政府环境应急预案之间的衔接；加强环境应急预案演练、评估与修订；编制园区重污染天气应急预案，与桦南县重污染天气应急预案做好衔接，当预测到区域将出现重污染天气时，根据预警发布，按级别启动应急响应措施。⑤劳动力密集型的非化工企业不得与化工企业混建在精细化工产业区内。</w:t>
                  </w:r>
                  <w:bookmarkEnd w:id="24"/>
                </w:p>
              </w:tc>
              <w:tc>
                <w:tcPr>
                  <w:tcW w:w="1329" w:type="pct"/>
                  <w:noWrap w:val="0"/>
                  <w:vAlign w:val="center"/>
                </w:tcPr>
                <w:p w14:paraId="0E47891D">
                  <w:pPr>
                    <w:bidi w:val="0"/>
                    <w:rPr>
                      <w:rFonts w:hint="default"/>
                      <w:lang w:val="en-US" w:eastAsia="zh-CN"/>
                    </w:rPr>
                  </w:pPr>
                  <w:r>
                    <w:rPr>
                      <w:rFonts w:ascii="Times New Roman" w:hAnsi="Times New Roman" w:eastAsia="宋体" w:cs="Times New Roman"/>
                      <w:kern w:val="2"/>
                      <w:sz w:val="21"/>
                      <w:szCs w:val="21"/>
                    </w:rPr>
                    <w:t>提出合理有效的环境风险防范措施</w:t>
                  </w:r>
                  <w:r>
                    <w:rPr>
                      <w:rFonts w:hint="eastAsia" w:eastAsia="宋体" w:cs="Times New Roman"/>
                      <w:kern w:val="2"/>
                      <w:sz w:val="21"/>
                      <w:szCs w:val="21"/>
                      <w:lang w:eastAsia="zh-CN"/>
                    </w:rPr>
                    <w:t>，</w:t>
                  </w:r>
                  <w:r>
                    <w:rPr>
                      <w:rFonts w:hint="eastAsia" w:eastAsia="宋体" w:cs="Times New Roman"/>
                      <w:kern w:val="2"/>
                      <w:sz w:val="21"/>
                      <w:szCs w:val="21"/>
                      <w:lang w:val="zh-CN" w:eastAsia="zh-CN"/>
                    </w:rPr>
                    <w:t>充分考虑总体布置的安全性，顺应生产流程布置，严格执行有关标准、规范和规定。根据本项目中使用物料的性质确定各个装置的耐火等级、防火间距、消防车通道的配置。建筑物采用屋面避雷针，防止直接雷击及感应雷击，设置事故水池</w:t>
                  </w:r>
                  <w:r>
                    <w:rPr>
                      <w:rFonts w:ascii="Times New Roman" w:hAnsi="Times New Roman" w:eastAsia="宋体" w:cs="Times New Roman"/>
                      <w:kern w:val="2"/>
                      <w:sz w:val="21"/>
                      <w:szCs w:val="21"/>
                    </w:rPr>
                    <w:t>。制定突发环境事件应急预案，合理配置环境风险防控及应对处置能力。</w:t>
                  </w:r>
                </w:p>
              </w:tc>
              <w:tc>
                <w:tcPr>
                  <w:tcW w:w="508" w:type="pct"/>
                  <w:noWrap w:val="0"/>
                  <w:vAlign w:val="center"/>
                </w:tcPr>
                <w:p w14:paraId="1873D9CC">
                  <w:pPr>
                    <w:bidi w:val="0"/>
                    <w:rPr>
                      <w:rFonts w:hint="default"/>
                    </w:rPr>
                  </w:pPr>
                  <w:bookmarkStart w:id="25" w:name="_Toc16849"/>
                  <w:r>
                    <w:rPr>
                      <w:rFonts w:hint="default"/>
                    </w:rPr>
                    <w:t>符合</w:t>
                  </w:r>
                  <w:bookmarkEnd w:id="25"/>
                </w:p>
              </w:tc>
            </w:tr>
          </w:tbl>
          <w:p w14:paraId="73967E58">
            <w:pPr>
              <w:pStyle w:val="135"/>
              <w:snapToGrid w:val="0"/>
              <w:spacing w:line="360" w:lineRule="auto"/>
              <w:rPr>
                <w:color w:val="auto"/>
                <w:sz w:val="24"/>
              </w:rPr>
            </w:pPr>
            <w:r>
              <w:rPr>
                <w:rFonts w:hint="default" w:ascii="Times New Roman" w:hAnsi="Times New Roman" w:eastAsia="宋体" w:cs="Times New Roman"/>
                <w:color w:val="auto"/>
                <w:sz w:val="24"/>
                <w:szCs w:val="24"/>
                <w:highlight w:val="none"/>
                <w:lang w:val="en-US" w:eastAsia="zh-CN"/>
              </w:rPr>
              <w:t>综上，本项目符合《</w:t>
            </w:r>
            <w:r>
              <w:rPr>
                <w:rFonts w:hint="eastAsia" w:ascii="Times New Roman" w:hAnsi="Times New Roman" w:eastAsia="宋体" w:cs="Times New Roman"/>
                <w:color w:val="auto"/>
                <w:sz w:val="24"/>
                <w:szCs w:val="24"/>
                <w:highlight w:val="none"/>
                <w:lang w:val="en-US" w:eastAsia="zh-CN"/>
              </w:rPr>
              <w:t>黑龙江桦南</w:t>
            </w:r>
            <w:r>
              <w:rPr>
                <w:rFonts w:hint="eastAsia" w:ascii="Times New Roman" w:hAnsi="Times New Roman" w:cs="Times New Roman"/>
                <w:color w:val="auto"/>
                <w:sz w:val="24"/>
                <w:highlight w:val="none"/>
                <w:lang w:val="en-US" w:eastAsia="zh-CN"/>
              </w:rPr>
              <w:t>经济开发区总体规划（2021~2035年）环境影响报告书》</w:t>
            </w:r>
            <w:r>
              <w:rPr>
                <w:rFonts w:hint="default" w:ascii="Times New Roman" w:hAnsi="Times New Roman" w:cs="Times New Roman"/>
                <w:color w:val="auto"/>
                <w:sz w:val="24"/>
                <w:highlight w:val="none"/>
                <w:lang w:val="en-US" w:eastAsia="zh-CN"/>
              </w:rPr>
              <w:t>及审查意见的相关要求。</w:t>
            </w:r>
          </w:p>
        </w:tc>
      </w:tr>
      <w:tr w14:paraId="0F587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2" w:type="pct"/>
            <w:vAlign w:val="center"/>
          </w:tcPr>
          <w:p w14:paraId="0F7F6808">
            <w:pPr>
              <w:autoSpaceDE w:val="0"/>
              <w:autoSpaceDN w:val="0"/>
              <w:adjustRightInd w:val="0"/>
              <w:snapToGrid w:val="0"/>
              <w:jc w:val="center"/>
              <w:rPr>
                <w:color w:val="auto"/>
                <w:kern w:val="0"/>
                <w:sz w:val="24"/>
              </w:rPr>
            </w:pPr>
            <w:r>
              <w:rPr>
                <w:color w:val="auto"/>
                <w:kern w:val="0"/>
                <w:sz w:val="24"/>
              </w:rPr>
              <w:t>其他符合性分析</w:t>
            </w:r>
          </w:p>
        </w:tc>
        <w:tc>
          <w:tcPr>
            <w:tcW w:w="4637" w:type="pct"/>
            <w:gridSpan w:val="3"/>
            <w:vAlign w:val="center"/>
          </w:tcPr>
          <w:p w14:paraId="30BA1384">
            <w:pPr>
              <w:autoSpaceDE w:val="0"/>
              <w:autoSpaceDN w:val="0"/>
              <w:adjustRightInd w:val="0"/>
              <w:spacing w:line="360" w:lineRule="auto"/>
              <w:rPr>
                <w:rFonts w:hint="eastAsia" w:ascii="Times New Roman" w:hAnsi="Times New Roman" w:eastAsia="宋体" w:cs="Times New Roman"/>
                <w:b/>
                <w:bCs/>
                <w:color w:val="auto"/>
                <w:sz w:val="28"/>
                <w:szCs w:val="28"/>
              </w:rPr>
            </w:pPr>
            <w:r>
              <w:rPr>
                <w:rFonts w:hint="eastAsia" w:ascii="Times New Roman" w:hAnsi="Times New Roman" w:eastAsia="宋体" w:cs="Times New Roman"/>
                <w:b/>
                <w:bCs/>
                <w:color w:val="auto"/>
                <w:sz w:val="28"/>
                <w:szCs w:val="28"/>
              </w:rPr>
              <w:t>一、编制依据</w:t>
            </w:r>
          </w:p>
          <w:p w14:paraId="3496BAFC">
            <w:pPr>
              <w:autoSpaceDE w:val="0"/>
              <w:autoSpaceDN w:val="0"/>
              <w:adjustRightInd w:val="0"/>
              <w:snapToGrid w:val="0"/>
              <w:spacing w:line="360" w:lineRule="auto"/>
              <w:ind w:firstLine="480" w:firstLineChars="200"/>
              <w:rPr>
                <w:rFonts w:hint="eastAsia"/>
                <w:b/>
                <w:bCs/>
                <w:color w:val="auto"/>
                <w:sz w:val="28"/>
                <w:szCs w:val="28"/>
              </w:rPr>
            </w:pPr>
            <w:r>
              <w:rPr>
                <w:rFonts w:hint="eastAsia" w:ascii="Times New Roman" w:hAnsi="Times New Roman" w:cs="Times New Roman"/>
                <w:color w:val="auto"/>
                <w:sz w:val="24"/>
                <w:highlight w:val="none"/>
                <w:lang w:val="zh-CN"/>
              </w:rPr>
              <w:t>依据《建设项目环境影响评价分类管理名录》（2021年版）规定，本项目属于“十、农副食品加工业13；16.植物油加工133*”应编制环境影响评价报告表。本项目原环评已经于202</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zh-CN"/>
              </w:rPr>
              <w:t>年</w:t>
            </w:r>
            <w:r>
              <w:rPr>
                <w:rFonts w:hint="eastAsia" w:ascii="Times New Roman" w:hAnsi="Times New Roman" w:cs="Times New Roman"/>
                <w:color w:val="auto"/>
                <w:sz w:val="24"/>
                <w:highlight w:val="none"/>
                <w:lang w:val="en-US" w:eastAsia="zh-CN"/>
              </w:rPr>
              <w:t>6</w:t>
            </w:r>
            <w:r>
              <w:rPr>
                <w:rFonts w:hint="eastAsia" w:ascii="Times New Roman" w:hAnsi="Times New Roman" w:cs="Times New Roman"/>
                <w:color w:val="auto"/>
                <w:sz w:val="24"/>
                <w:highlight w:val="none"/>
                <w:lang w:val="zh-CN"/>
              </w:rPr>
              <w:t>月</w:t>
            </w:r>
            <w:r>
              <w:rPr>
                <w:rFonts w:hint="eastAsia" w:ascii="Times New Roman" w:hAnsi="Times New Roman" w:cs="Times New Roman"/>
                <w:color w:val="auto"/>
                <w:sz w:val="24"/>
                <w:highlight w:val="none"/>
                <w:lang w:val="en-US" w:eastAsia="zh-CN"/>
              </w:rPr>
              <w:t>30</w:t>
            </w:r>
            <w:r>
              <w:rPr>
                <w:rFonts w:hint="eastAsia" w:ascii="Times New Roman" w:hAnsi="Times New Roman" w:cs="Times New Roman"/>
                <w:color w:val="auto"/>
                <w:sz w:val="24"/>
                <w:highlight w:val="none"/>
                <w:lang w:val="zh-CN"/>
              </w:rPr>
              <w:t>日取得了</w:t>
            </w:r>
            <w:r>
              <w:rPr>
                <w:rFonts w:hint="eastAsia" w:ascii="Times New Roman" w:hAnsi="Times New Roman" w:cs="Times New Roman"/>
                <w:color w:val="auto"/>
                <w:sz w:val="24"/>
                <w:highlight w:val="none"/>
                <w:lang w:val="en-US" w:eastAsia="zh-CN"/>
              </w:rPr>
              <w:t>佳木斯市桦南生态环境局</w:t>
            </w:r>
            <w:r>
              <w:rPr>
                <w:rFonts w:hint="eastAsia" w:ascii="Times New Roman" w:hAnsi="Times New Roman" w:cs="Times New Roman"/>
                <w:color w:val="auto"/>
                <w:sz w:val="24"/>
                <w:highlight w:val="none"/>
                <w:lang w:val="zh-CN"/>
              </w:rPr>
              <w:t>的批复文件</w:t>
            </w:r>
            <w:r>
              <w:rPr>
                <w:rFonts w:hint="eastAsia" w:ascii="Times New Roman" w:hAnsi="Times New Roman" w:cs="Times New Roman"/>
                <w:color w:val="auto"/>
                <w:sz w:val="24"/>
                <w:highlight w:val="none"/>
                <w:lang w:val="en-US" w:eastAsia="zh-CN"/>
              </w:rPr>
              <w:t>佳花环承审</w:t>
            </w:r>
            <w:r>
              <w:rPr>
                <w:rFonts w:hint="eastAsia" w:ascii="Times New Roman" w:hAnsi="Times New Roman" w:cs="Times New Roman"/>
                <w:color w:val="auto"/>
                <w:sz w:val="24"/>
                <w:highlight w:val="none"/>
                <w:lang w:val="zh-CN"/>
              </w:rPr>
              <w:t>[202</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zh-CN"/>
              </w:rPr>
              <w:t>]</w:t>
            </w:r>
            <w:r>
              <w:rPr>
                <w:rFonts w:hint="eastAsia"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zh-CN"/>
              </w:rPr>
              <w:t>号《关于黑龙江宏昌生物科技有限公司日加工500吨大豆(米糠)双生产线建设项目环境影响报告表的批复》。在</w:t>
            </w:r>
            <w:r>
              <w:rPr>
                <w:rFonts w:hint="eastAsia" w:ascii="Times New Roman" w:hAnsi="Times New Roman" w:cs="Times New Roman"/>
                <w:color w:val="auto"/>
                <w:sz w:val="24"/>
                <w:highlight w:val="none"/>
                <w:lang w:val="en-US" w:eastAsia="zh-CN"/>
              </w:rPr>
              <w:t>设计</w:t>
            </w:r>
            <w:r>
              <w:rPr>
                <w:rFonts w:hint="eastAsia" w:ascii="Times New Roman" w:hAnsi="Times New Roman" w:cs="Times New Roman"/>
                <w:color w:val="auto"/>
                <w:sz w:val="24"/>
                <w:highlight w:val="none"/>
                <w:lang w:val="zh-CN"/>
              </w:rPr>
              <w:t>过程中建设单位通过调研发现原环评中批复的生产工艺产生的</w:t>
            </w:r>
            <w:r>
              <w:rPr>
                <w:rFonts w:hint="eastAsia" w:ascii="Times New Roman" w:hAnsi="Times New Roman" w:cs="Times New Roman"/>
                <w:color w:val="auto"/>
                <w:sz w:val="24"/>
                <w:highlight w:val="none"/>
                <w:lang w:val="en-US" w:eastAsia="zh-CN"/>
              </w:rPr>
              <w:t>生产</w:t>
            </w:r>
            <w:r>
              <w:rPr>
                <w:rFonts w:hint="eastAsia" w:ascii="Times New Roman" w:hAnsi="Times New Roman" w:cs="Times New Roman"/>
                <w:color w:val="auto"/>
                <w:sz w:val="24"/>
                <w:highlight w:val="none"/>
                <w:lang w:val="zh-CN"/>
              </w:rPr>
              <w:t>污水无法全回用，因此决定</w:t>
            </w:r>
            <w:r>
              <w:rPr>
                <w:rFonts w:hint="eastAsia" w:ascii="Times New Roman" w:hAnsi="Times New Roman" w:cs="Times New Roman"/>
                <w:color w:val="auto"/>
                <w:sz w:val="24"/>
                <w:highlight w:val="none"/>
                <w:lang w:val="en-US" w:eastAsia="zh-CN"/>
              </w:rPr>
              <w:t>新建一座污水处理站，</w:t>
            </w:r>
            <w:r>
              <w:rPr>
                <w:rFonts w:hint="eastAsia" w:ascii="Times New Roman" w:hAnsi="Times New Roman" w:cs="Times New Roman"/>
                <w:color w:val="auto"/>
                <w:sz w:val="24"/>
                <w:highlight w:val="none"/>
                <w:lang w:val="zh-CN"/>
              </w:rPr>
              <w:t>将生产过程中产生的</w:t>
            </w:r>
            <w:r>
              <w:rPr>
                <w:rFonts w:hint="eastAsia" w:ascii="Times New Roman" w:hAnsi="Times New Roman" w:cs="Times New Roman"/>
                <w:color w:val="auto"/>
                <w:sz w:val="24"/>
                <w:highlight w:val="none"/>
                <w:lang w:val="en-US" w:eastAsia="zh-CN"/>
              </w:rPr>
              <w:t>生产</w:t>
            </w:r>
            <w:r>
              <w:rPr>
                <w:rFonts w:hint="eastAsia" w:ascii="Times New Roman" w:hAnsi="Times New Roman" w:cs="Times New Roman"/>
                <w:color w:val="auto"/>
                <w:sz w:val="24"/>
                <w:highlight w:val="none"/>
                <w:lang w:val="zh-CN"/>
              </w:rPr>
              <w:t>污水</w:t>
            </w:r>
            <w:r>
              <w:rPr>
                <w:rFonts w:hint="eastAsia" w:ascii="Times New Roman" w:hAnsi="Times New Roman" w:cs="Times New Roman"/>
                <w:color w:val="auto"/>
                <w:sz w:val="24"/>
                <w:highlight w:val="none"/>
                <w:lang w:val="en-US" w:eastAsia="zh-CN"/>
              </w:rPr>
              <w:t>经过厂区内污水处理站处理后</w:t>
            </w:r>
            <w:r>
              <w:rPr>
                <w:rFonts w:hint="eastAsia" w:ascii="Times New Roman" w:hAnsi="Times New Roman" w:cs="Times New Roman"/>
                <w:color w:val="auto"/>
                <w:sz w:val="24"/>
                <w:highlight w:val="none"/>
                <w:lang w:val="zh-CN"/>
              </w:rPr>
              <w:t>通过市政管网排入</w:t>
            </w:r>
            <w:r>
              <w:rPr>
                <w:rFonts w:hint="eastAsia" w:cs="Times New Roman"/>
                <w:color w:val="auto"/>
                <w:sz w:val="24"/>
                <w:highlight w:val="none"/>
                <w:lang w:val="zh-CN"/>
              </w:rPr>
              <w:t>桦南浦华净源水务有限公司（桦南县污水处理厂）</w:t>
            </w:r>
            <w:r>
              <w:rPr>
                <w:rFonts w:hint="eastAsia" w:ascii="Times New Roman" w:hAnsi="Times New Roman" w:cs="Times New Roman"/>
                <w:color w:val="auto"/>
                <w:sz w:val="24"/>
                <w:highlight w:val="none"/>
                <w:lang w:val="zh-CN"/>
              </w:rPr>
              <w:t>处。环办环评函〔2020〕688号《关于印发&lt;污染影响类建设项目重大变动清单（试行）&gt;的通知》中明确了“8.废气、废水污染防治措施变化，导致第6条中所列情形之一（废气无组织排放改为有组织排放、污染防治措施强化或改进的除外）或大气污染物无组织排放量增加10%及以上的”</w:t>
            </w:r>
            <w:r>
              <w:rPr>
                <w:rFonts w:hint="eastAsia" w:cs="Times New Roman"/>
                <w:color w:val="auto"/>
                <w:sz w:val="24"/>
                <w:highlight w:val="none"/>
                <w:lang w:val="zh-CN"/>
              </w:rPr>
              <w:t>“生产、处置或储存能力增大30%及以上的”</w:t>
            </w:r>
            <w:r>
              <w:rPr>
                <w:rFonts w:hint="eastAsia" w:ascii="Times New Roman" w:hAnsi="Times New Roman" w:cs="Times New Roman"/>
                <w:color w:val="auto"/>
                <w:sz w:val="24"/>
                <w:highlight w:val="none"/>
                <w:lang w:val="zh-CN"/>
              </w:rPr>
              <w:t>的</w:t>
            </w:r>
            <w:bookmarkStart w:id="157" w:name="_GoBack"/>
            <w:bookmarkEnd w:id="157"/>
            <w:r>
              <w:rPr>
                <w:rFonts w:hint="eastAsia" w:ascii="Times New Roman" w:hAnsi="Times New Roman" w:cs="Times New Roman"/>
                <w:color w:val="auto"/>
                <w:sz w:val="24"/>
                <w:highlight w:val="none"/>
                <w:lang w:val="zh-CN"/>
              </w:rPr>
              <w:t>情形属于重大变动，本项目变更后废水防治措施由原环评的生产废水全部回用变更为</w:t>
            </w:r>
            <w:r>
              <w:rPr>
                <w:rFonts w:hint="eastAsia" w:ascii="Times New Roman" w:hAnsi="Times New Roman" w:cs="Times New Roman"/>
                <w:color w:val="auto"/>
                <w:sz w:val="24"/>
                <w:highlight w:val="none"/>
                <w:lang w:val="en-US" w:eastAsia="zh-CN"/>
              </w:rPr>
              <w:t>生产</w:t>
            </w:r>
            <w:r>
              <w:rPr>
                <w:rFonts w:hint="eastAsia" w:ascii="Times New Roman" w:hAnsi="Times New Roman" w:cs="Times New Roman"/>
                <w:color w:val="auto"/>
                <w:sz w:val="24"/>
                <w:highlight w:val="none"/>
                <w:lang w:val="zh-CN"/>
              </w:rPr>
              <w:t>废水</w:t>
            </w:r>
            <w:r>
              <w:rPr>
                <w:rFonts w:hint="eastAsia" w:ascii="Times New Roman" w:hAnsi="Times New Roman" w:cs="Times New Roman"/>
                <w:color w:val="auto"/>
                <w:sz w:val="24"/>
                <w:highlight w:val="none"/>
                <w:lang w:val="en-US" w:eastAsia="zh-CN"/>
              </w:rPr>
              <w:t>经过厂区内污水处理站处理后</w:t>
            </w:r>
            <w:r>
              <w:rPr>
                <w:rFonts w:hint="eastAsia" w:ascii="Times New Roman" w:hAnsi="Times New Roman" w:cs="Times New Roman"/>
                <w:color w:val="auto"/>
                <w:sz w:val="24"/>
                <w:highlight w:val="none"/>
                <w:lang w:val="zh-CN"/>
              </w:rPr>
              <w:t>通过市政管网排入</w:t>
            </w:r>
            <w:r>
              <w:rPr>
                <w:rFonts w:hint="eastAsia" w:cs="Times New Roman"/>
                <w:color w:val="auto"/>
                <w:sz w:val="24"/>
                <w:highlight w:val="none"/>
                <w:lang w:val="zh-CN"/>
              </w:rPr>
              <w:t>桦南浦华净源水务有限公司（桦南县污水处理厂）</w:t>
            </w:r>
            <w:r>
              <w:rPr>
                <w:rFonts w:hint="eastAsia" w:ascii="Times New Roman" w:hAnsi="Times New Roman" w:cs="Times New Roman"/>
                <w:color w:val="auto"/>
                <w:sz w:val="24"/>
                <w:highlight w:val="none"/>
                <w:lang w:val="zh-CN"/>
              </w:rPr>
              <w:t>处，全厂废水主要污染物COD排放量由原环评的</w:t>
            </w:r>
            <w:r>
              <w:rPr>
                <w:rFonts w:hint="eastAsia" w:ascii="Times New Roman" w:hAnsi="Times New Roman" w:cs="Times New Roman"/>
                <w:color w:val="auto"/>
                <w:sz w:val="24"/>
                <w:highlight w:val="none"/>
                <w:lang w:val="en-US" w:eastAsia="zh-CN"/>
              </w:rPr>
              <w:t>0.59</w:t>
            </w:r>
            <w:r>
              <w:rPr>
                <w:rFonts w:hint="eastAsia"/>
                <w:color w:val="auto"/>
                <w:sz w:val="24"/>
              </w:rPr>
              <w:t>t/a</w:t>
            </w:r>
            <w:r>
              <w:rPr>
                <w:rFonts w:hint="eastAsia" w:ascii="Times New Roman" w:hAnsi="Times New Roman" w:cs="Times New Roman"/>
                <w:color w:val="auto"/>
                <w:sz w:val="24"/>
                <w:highlight w:val="none"/>
                <w:lang w:val="zh-CN"/>
              </w:rPr>
              <w:t>变更为</w:t>
            </w:r>
            <w:r>
              <w:rPr>
                <w:rFonts w:hint="eastAsia" w:ascii="Times New Roman" w:hAnsi="Times New Roman" w:cs="Times New Roman"/>
                <w:color w:val="auto"/>
                <w:sz w:val="24"/>
                <w:highlight w:val="none"/>
                <w:lang w:val="zh-CN" w:eastAsia="zh-CN"/>
              </w:rPr>
              <w:t>4.82</w:t>
            </w:r>
            <w:r>
              <w:rPr>
                <w:rFonts w:hint="eastAsia" w:ascii="Times New Roman" w:hAnsi="Times New Roman" w:cs="Times New Roman"/>
                <w:color w:val="auto"/>
                <w:sz w:val="24"/>
                <w:highlight w:val="none"/>
                <w:lang w:val="zh-CN"/>
              </w:rPr>
              <w:t>t/a，增大了</w:t>
            </w:r>
            <w:r>
              <w:rPr>
                <w:rFonts w:hint="eastAsia" w:cs="Times New Roman"/>
                <w:color w:val="auto"/>
                <w:sz w:val="24"/>
                <w:highlight w:val="none"/>
                <w:lang w:val="en-US" w:eastAsia="zh-CN"/>
              </w:rPr>
              <w:t>717</w:t>
            </w:r>
            <w:r>
              <w:rPr>
                <w:rFonts w:hint="eastAsia" w:ascii="Times New Roman" w:hAnsi="Times New Roman" w:cs="Times New Roman"/>
                <w:color w:val="auto"/>
                <w:sz w:val="24"/>
                <w:highlight w:val="none"/>
                <w:lang w:val="zh-CN"/>
              </w:rPr>
              <w:t>%＞10%</w:t>
            </w:r>
            <w:r>
              <w:rPr>
                <w:rFonts w:hint="eastAsia" w:cs="Times New Roman"/>
                <w:color w:val="auto"/>
                <w:sz w:val="24"/>
                <w:highlight w:val="none"/>
                <w:lang w:val="zh-CN"/>
              </w:rPr>
              <w:t>；</w:t>
            </w:r>
            <w:r>
              <w:rPr>
                <w:rFonts w:hint="eastAsia" w:cs="Times New Roman"/>
                <w:color w:val="auto"/>
                <w:sz w:val="24"/>
                <w:highlight w:val="none"/>
                <w:lang w:val="en-US" w:eastAsia="zh-CN"/>
              </w:rPr>
              <w:t>本项目新增两处筒仓，储存能力增大80%，</w:t>
            </w:r>
            <w:r>
              <w:rPr>
                <w:rFonts w:hint="eastAsia" w:ascii="Times New Roman" w:hAnsi="Times New Roman" w:cs="Times New Roman"/>
                <w:color w:val="auto"/>
                <w:sz w:val="24"/>
                <w:highlight w:val="none"/>
                <w:lang w:val="zh-CN"/>
              </w:rPr>
              <w:t>因此依据《关于印发&lt;污染影响类建设项目重大变动清单（试行）&gt;的通知》中第6条的“（4）其他污染物排放量增加10%及以上的”，本项目属于重大变动因此本项目应编制报告表重新报批。</w:t>
            </w:r>
          </w:p>
          <w:p w14:paraId="515D7ADC">
            <w:pPr>
              <w:autoSpaceDE w:val="0"/>
              <w:autoSpaceDN w:val="0"/>
              <w:adjustRightInd w:val="0"/>
              <w:spacing w:line="360" w:lineRule="auto"/>
              <w:rPr>
                <w:b/>
                <w:bCs/>
                <w:color w:val="auto"/>
                <w:sz w:val="28"/>
                <w:szCs w:val="28"/>
              </w:rPr>
            </w:pPr>
            <w:r>
              <w:rPr>
                <w:rFonts w:hint="eastAsia"/>
                <w:b/>
                <w:bCs/>
                <w:color w:val="auto"/>
                <w:sz w:val="28"/>
                <w:szCs w:val="28"/>
                <w:lang w:val="en-US" w:eastAsia="zh-CN"/>
              </w:rPr>
              <w:t>二</w:t>
            </w:r>
            <w:r>
              <w:rPr>
                <w:rFonts w:hint="eastAsia"/>
                <w:b/>
                <w:bCs/>
                <w:color w:val="auto"/>
                <w:sz w:val="28"/>
                <w:szCs w:val="28"/>
              </w:rPr>
              <w:t>、产业政策等符合性分析</w:t>
            </w:r>
          </w:p>
          <w:p w14:paraId="1BE1082C">
            <w:pPr>
              <w:pStyle w:val="135"/>
              <w:snapToGrid w:val="0"/>
              <w:spacing w:line="360" w:lineRule="auto"/>
              <w:rPr>
                <w:rFonts w:hint="eastAsia"/>
                <w:color w:val="auto"/>
                <w:sz w:val="24"/>
              </w:rPr>
            </w:pPr>
            <w:r>
              <w:rPr>
                <w:rFonts w:hint="eastAsia"/>
                <w:color w:val="auto"/>
                <w:sz w:val="24"/>
              </w:rPr>
              <w:t>1</w:t>
            </w:r>
            <w:r>
              <w:rPr>
                <w:rFonts w:hint="eastAsia"/>
                <w:color w:val="auto"/>
                <w:sz w:val="24"/>
                <w:lang w:val="zh-CN"/>
              </w:rPr>
              <w:t>、产业政策符合性分析</w:t>
            </w:r>
          </w:p>
          <w:p w14:paraId="461C261F">
            <w:pPr>
              <w:pStyle w:val="135"/>
              <w:snapToGrid w:val="0"/>
              <w:spacing w:line="360" w:lineRule="auto"/>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bCs/>
                <w:color w:val="auto"/>
                <w:kern w:val="2"/>
                <w:sz w:val="24"/>
                <w:szCs w:val="24"/>
                <w:highlight w:val="none"/>
              </w:rPr>
              <w:t>项目所用设备均无《</w:t>
            </w:r>
            <w:r>
              <w:rPr>
                <w:rFonts w:hint="default" w:ascii="Times New Roman" w:hAnsi="Times New Roman" w:eastAsia="宋体" w:cs="Times New Roman"/>
                <w:color w:val="auto"/>
                <w:sz w:val="24"/>
                <w:szCs w:val="24"/>
                <w:highlight w:val="none"/>
              </w:rPr>
              <w:t>产业结构调整指导目录（2024年本）</w:t>
            </w:r>
            <w:r>
              <w:rPr>
                <w:rFonts w:hint="default" w:ascii="Times New Roman" w:hAnsi="Times New Roman" w:eastAsia="宋体" w:cs="Times New Roman"/>
                <w:bCs/>
                <w:color w:val="auto"/>
                <w:kern w:val="2"/>
                <w:sz w:val="24"/>
                <w:szCs w:val="24"/>
                <w:highlight w:val="none"/>
              </w:rPr>
              <w:t>》中限制、淘汰类设备。</w:t>
            </w:r>
            <w:r>
              <w:rPr>
                <w:rFonts w:hint="default" w:ascii="Times New Roman" w:hAnsi="Times New Roman" w:eastAsia="宋体" w:cs="Times New Roman"/>
                <w:bCs/>
                <w:color w:val="auto"/>
                <w:kern w:val="2"/>
                <w:sz w:val="24"/>
                <w:szCs w:val="24"/>
                <w:highlight w:val="none"/>
                <w:lang w:val="en-US" w:eastAsia="zh-CN"/>
              </w:rPr>
              <w:t>本项目属于农副食品加工行业，根据《产业结构调整指导目录（2024年本）》“当项目属于鼓励类、限制类和淘汰类之外的，且符合国家有关法律、法规和政策规定的属于允许类”，本项目不属于鼓励类、限制类和淘汰类，因此本项目属于允许类，符合国家产业政策要求。</w:t>
            </w:r>
          </w:p>
          <w:p w14:paraId="6CBE785C">
            <w:pPr>
              <w:pStyle w:val="135"/>
              <w:snapToGrid w:val="0"/>
              <w:spacing w:line="360" w:lineRule="auto"/>
              <w:rPr>
                <w:color w:val="auto"/>
                <w:sz w:val="24"/>
              </w:rPr>
            </w:pPr>
            <w:bookmarkStart w:id="26" w:name="_Toc27562"/>
            <w:r>
              <w:rPr>
                <w:rFonts w:hint="eastAsia"/>
                <w:color w:val="auto"/>
                <w:sz w:val="24"/>
              </w:rPr>
              <w:t>2</w:t>
            </w:r>
            <w:r>
              <w:rPr>
                <w:color w:val="auto"/>
                <w:sz w:val="24"/>
              </w:rPr>
              <w:t>、与大气污染防治行动计划符合性分析</w:t>
            </w:r>
            <w:bookmarkEnd w:id="26"/>
          </w:p>
          <w:p w14:paraId="6594817E">
            <w:pPr>
              <w:pStyle w:val="135"/>
              <w:snapToGrid w:val="0"/>
              <w:spacing w:line="360" w:lineRule="auto"/>
              <w:rPr>
                <w:color w:val="auto"/>
                <w:sz w:val="24"/>
              </w:rPr>
            </w:pPr>
            <w:r>
              <w:rPr>
                <w:rFonts w:hint="eastAsia"/>
                <w:color w:val="auto"/>
                <w:sz w:val="24"/>
              </w:rPr>
              <w:t>①</w:t>
            </w:r>
            <w:r>
              <w:rPr>
                <w:color w:val="auto"/>
                <w:sz w:val="24"/>
              </w:rPr>
              <w:t>根据《大气污染防治行动计划》（国发[2013]37号）提出：加强工业企业大气污染综合治理，全面整治燃煤小锅炉。加快推进集中供热、“煤改气”、“煤改电”工程建设，到2017年，除必要保留的以外，地级及以上城市建成区基本淘汰每小时10蒸吨及以下的燃煤锅炉，禁止新建每小时20蒸吨以下的燃煤锅炉</w:t>
            </w:r>
            <w:r>
              <w:rPr>
                <w:rFonts w:hint="eastAsia"/>
                <w:color w:val="auto"/>
                <w:sz w:val="24"/>
              </w:rPr>
              <w:t>；</w:t>
            </w:r>
            <w:r>
              <w:rPr>
                <w:color w:val="auto"/>
                <w:sz w:val="24"/>
              </w:rPr>
              <w:t>其他地区原则上不再新建每小时10蒸吨以下的燃煤锅炉。在供热供气管网不能覆盖的地区，改用电、新能源或洁净煤，推广应用高效</w:t>
            </w:r>
            <w:r>
              <w:rPr>
                <w:color w:val="auto"/>
              </w:rPr>
              <w:fldChar w:fldCharType="begin"/>
            </w:r>
            <w:r>
              <w:rPr>
                <w:color w:val="auto"/>
              </w:rPr>
              <w:instrText xml:space="preserve"> HYPERLINK "https://news.bjx.com.cn/topics/jienenghuanbao/" \t "https://news.bjx.com.cn/html/20130912/_blank" \o "节能环保新闻专题" </w:instrText>
            </w:r>
            <w:r>
              <w:rPr>
                <w:color w:val="auto"/>
              </w:rPr>
              <w:fldChar w:fldCharType="separate"/>
            </w:r>
            <w:r>
              <w:rPr>
                <w:color w:val="auto"/>
                <w:sz w:val="24"/>
              </w:rPr>
              <w:t>节能环保</w:t>
            </w:r>
            <w:r>
              <w:rPr>
                <w:color w:val="auto"/>
                <w:sz w:val="24"/>
              </w:rPr>
              <w:fldChar w:fldCharType="end"/>
            </w:r>
            <w:r>
              <w:rPr>
                <w:color w:val="auto"/>
                <w:sz w:val="24"/>
              </w:rPr>
              <w:t>型锅炉。在化工、造纸、印染、制革、制药等产业集聚区，通过集中建设热电联产机组逐步淘汰分散燃煤锅炉。</w:t>
            </w:r>
          </w:p>
          <w:p w14:paraId="2989406B">
            <w:pPr>
              <w:pStyle w:val="135"/>
              <w:snapToGrid w:val="0"/>
              <w:spacing w:line="360" w:lineRule="auto"/>
              <w:rPr>
                <w:color w:val="auto"/>
                <w:sz w:val="24"/>
              </w:rPr>
            </w:pPr>
            <w:r>
              <w:rPr>
                <w:rFonts w:hint="eastAsia"/>
                <w:color w:val="auto"/>
                <w:sz w:val="24"/>
                <w:lang w:eastAsia="zh-CN"/>
              </w:rPr>
              <w:t>本项目新建1台1</w:t>
            </w:r>
            <w:r>
              <w:rPr>
                <w:rFonts w:hint="eastAsia"/>
                <w:color w:val="auto"/>
                <w:sz w:val="24"/>
                <w:lang w:val="en-US" w:eastAsia="zh-CN"/>
              </w:rPr>
              <w:t>8</w:t>
            </w:r>
            <w:r>
              <w:rPr>
                <w:rFonts w:hint="eastAsia"/>
                <w:color w:val="auto"/>
                <w:sz w:val="24"/>
                <w:lang w:eastAsia="zh-CN"/>
              </w:rPr>
              <w:t>t/h生物质蒸汽锅炉和一台备用的1</w:t>
            </w:r>
            <w:r>
              <w:rPr>
                <w:rFonts w:hint="eastAsia"/>
                <w:color w:val="auto"/>
                <w:sz w:val="24"/>
                <w:lang w:val="en-US" w:eastAsia="zh-CN"/>
              </w:rPr>
              <w:t>5</w:t>
            </w:r>
            <w:r>
              <w:rPr>
                <w:rFonts w:hint="eastAsia"/>
                <w:color w:val="auto"/>
                <w:sz w:val="24"/>
                <w:lang w:eastAsia="zh-CN"/>
              </w:rPr>
              <w:t>t/h生物质蒸汽锅炉，用于生产，燃料为生物质成型燃料，符合《大气污染防治行动计划》（国发[2013]37号）要求。</w:t>
            </w:r>
          </w:p>
          <w:p w14:paraId="056CE46E">
            <w:pPr>
              <w:pStyle w:val="135"/>
              <w:snapToGrid w:val="0"/>
              <w:spacing w:line="360" w:lineRule="auto"/>
              <w:rPr>
                <w:color w:val="auto"/>
                <w:sz w:val="24"/>
              </w:rPr>
            </w:pPr>
            <w:r>
              <w:rPr>
                <w:rFonts w:hint="eastAsia"/>
                <w:color w:val="auto"/>
                <w:sz w:val="24"/>
              </w:rPr>
              <w:t>②</w:t>
            </w:r>
            <w:r>
              <w:rPr>
                <w:color w:val="auto"/>
                <w:sz w:val="24"/>
              </w:rPr>
              <w:t>《黑龙江省大气污染防治条例》</w:t>
            </w:r>
          </w:p>
          <w:p w14:paraId="1CF21CB5">
            <w:pPr>
              <w:autoSpaceDE w:val="0"/>
              <w:autoSpaceDN w:val="0"/>
              <w:adjustRightInd w:val="0"/>
              <w:snapToGrid w:val="0"/>
              <w:spacing w:line="360" w:lineRule="auto"/>
              <w:ind w:firstLine="480" w:firstLineChars="200"/>
              <w:jc w:val="left"/>
              <w:rPr>
                <w:color w:val="auto"/>
                <w:kern w:val="0"/>
                <w:sz w:val="24"/>
              </w:rPr>
            </w:pPr>
            <w:r>
              <w:rPr>
                <w:color w:val="auto"/>
                <w:kern w:val="0"/>
                <w:sz w:val="24"/>
              </w:rPr>
              <w:t>第六条企业事业单位和其他生产经营者应当采取有效措施，防止和减少大气污染，对所造成的损害依法承担责任。第十条企业事业单位和其他生产经营者建设对大气环境有影响的项目，应当依法进行环境影响评价、公开环境影响评价文件；向大气排放污染物的，应当符合大气污染物排放标准，遵守重点大气污染物排放总量控制要求。</w:t>
            </w:r>
          </w:p>
          <w:p w14:paraId="10C40E7C">
            <w:pPr>
              <w:pStyle w:val="135"/>
              <w:snapToGrid w:val="0"/>
              <w:spacing w:line="360" w:lineRule="auto"/>
              <w:rPr>
                <w:color w:val="auto"/>
                <w:sz w:val="24"/>
              </w:rPr>
            </w:pPr>
            <w:r>
              <w:rPr>
                <w:color w:val="auto"/>
                <w:sz w:val="24"/>
              </w:rPr>
              <w:t>第三十三条 设区的市级城市建成区内，禁止新建额定蒸发量低于每小时二十吨或者额定功率低于十四兆瓦的</w:t>
            </w:r>
            <w:r>
              <w:rPr>
                <w:color w:val="auto"/>
              </w:rPr>
              <w:fldChar w:fldCharType="begin"/>
            </w:r>
            <w:r>
              <w:rPr>
                <w:color w:val="auto"/>
              </w:rPr>
              <w:instrText xml:space="preserve"> HYPERLINK "https://baike.baidu.com/item/%E7%87%83%E7%85%A4%E9%94%85%E7%82%89/2369922" \t "https://baike.baidu.com/item/%E9%BB%91%E9%BE%99%E6%B1%9F%E7%9C%81%E5%A4%A7%E6%B0%94%E6%B1%A1%E6%9F%93%E9%98%B2%E6%B2%BB%E6%9D%A1%E4%BE%8B/_blank" </w:instrText>
            </w:r>
            <w:r>
              <w:rPr>
                <w:color w:val="auto"/>
              </w:rPr>
              <w:fldChar w:fldCharType="separate"/>
            </w:r>
            <w:r>
              <w:rPr>
                <w:color w:val="auto"/>
                <w:sz w:val="24"/>
              </w:rPr>
              <w:t>燃煤锅炉</w:t>
            </w:r>
            <w:r>
              <w:rPr>
                <w:color w:val="auto"/>
                <w:sz w:val="24"/>
              </w:rPr>
              <w:fldChar w:fldCharType="end"/>
            </w:r>
            <w:r>
              <w:rPr>
                <w:color w:val="auto"/>
                <w:sz w:val="24"/>
              </w:rPr>
              <w:t>；已经建成的额定蒸发量每小时十吨以下或者额定功率七兆瓦以下的燃煤锅炉，应当在国家规定的期限内淘汰。国家对新建和淘汰燃煤锅炉另有规定的，从其规定。</w:t>
            </w:r>
          </w:p>
          <w:p w14:paraId="30DEA34E">
            <w:pPr>
              <w:pStyle w:val="135"/>
              <w:snapToGrid w:val="0"/>
              <w:spacing w:line="360" w:lineRule="auto"/>
              <w:rPr>
                <w:color w:val="auto"/>
                <w:sz w:val="24"/>
              </w:rPr>
            </w:pPr>
            <w:r>
              <w:rPr>
                <w:color w:val="auto"/>
                <w:sz w:val="24"/>
              </w:rPr>
              <w:t>设区的市级人民政府可以制定高于前款规定的标准。</w:t>
            </w:r>
          </w:p>
          <w:p w14:paraId="23A44A6F">
            <w:pPr>
              <w:pStyle w:val="135"/>
              <w:snapToGrid w:val="0"/>
              <w:spacing w:line="360" w:lineRule="auto"/>
              <w:rPr>
                <w:color w:val="auto"/>
                <w:sz w:val="24"/>
              </w:rPr>
            </w:pPr>
            <w:r>
              <w:rPr>
                <w:color w:val="auto"/>
                <w:sz w:val="24"/>
              </w:rPr>
              <w:t>县级以上人民政府应当向社会公布</w:t>
            </w:r>
            <w:r>
              <w:rPr>
                <w:color w:val="auto"/>
              </w:rPr>
              <w:fldChar w:fldCharType="begin"/>
            </w:r>
            <w:r>
              <w:rPr>
                <w:color w:val="auto"/>
              </w:rPr>
              <w:instrText xml:space="preserve"> HYPERLINK "https://baike.baidu.com/item/%E7%87%83%E7%85%A4%E9%94%85%E7%82%89/2369922" \t "https://baike.baidu.com/item/%E9%BB%91%E9%BE%99%E6%B1%9F%E7%9C%81%E5%A4%A7%E6%B0%94%E6%B1%A1%E6%9F%93%E9%98%B2%E6%B2%BB%E6%9D%A1%E4%BE%8B/_blank" </w:instrText>
            </w:r>
            <w:r>
              <w:rPr>
                <w:color w:val="auto"/>
              </w:rPr>
              <w:fldChar w:fldCharType="separate"/>
            </w:r>
            <w:r>
              <w:rPr>
                <w:color w:val="auto"/>
                <w:sz w:val="24"/>
              </w:rPr>
              <w:t>燃煤锅炉</w:t>
            </w:r>
            <w:r>
              <w:rPr>
                <w:color w:val="auto"/>
                <w:sz w:val="24"/>
              </w:rPr>
              <w:fldChar w:fldCharType="end"/>
            </w:r>
            <w:r>
              <w:rPr>
                <w:color w:val="auto"/>
                <w:sz w:val="24"/>
              </w:rPr>
              <w:t>计划淘汰名单和时限，并合理控制城市建成区外规划区内额定蒸发量每小时十吨以下或者额定功率七兆瓦以下燃煤锅炉的建设和使用。</w:t>
            </w:r>
          </w:p>
          <w:p w14:paraId="38947BEB">
            <w:pPr>
              <w:autoSpaceDE w:val="0"/>
              <w:autoSpaceDN w:val="0"/>
              <w:adjustRightInd w:val="0"/>
              <w:snapToGrid w:val="0"/>
              <w:spacing w:line="360" w:lineRule="auto"/>
              <w:ind w:firstLine="480" w:firstLineChars="200"/>
              <w:jc w:val="left"/>
              <w:rPr>
                <w:rFonts w:hint="eastAsia"/>
                <w:color w:val="auto"/>
                <w:sz w:val="24"/>
              </w:rPr>
            </w:pPr>
            <w:r>
              <w:rPr>
                <w:color w:val="auto"/>
                <w:kern w:val="0"/>
                <w:sz w:val="24"/>
              </w:rPr>
              <w:t>本项目建设前进行环境影响评价、公开环境影响评价文件</w:t>
            </w:r>
            <w:r>
              <w:rPr>
                <w:rFonts w:hint="eastAsia"/>
                <w:color w:val="auto"/>
                <w:kern w:val="0"/>
                <w:sz w:val="24"/>
              </w:rPr>
              <w:t>。</w:t>
            </w:r>
            <w:r>
              <w:rPr>
                <w:rFonts w:hint="eastAsia"/>
                <w:color w:val="auto"/>
                <w:kern w:val="0"/>
                <w:sz w:val="24"/>
                <w:lang w:eastAsia="zh-CN"/>
              </w:rPr>
              <w:t>本项目所在区域无集中供热和集中供气，本项目</w:t>
            </w:r>
            <w:r>
              <w:rPr>
                <w:rFonts w:hint="eastAsia"/>
                <w:color w:val="auto"/>
                <w:sz w:val="24"/>
              </w:rPr>
              <w:t>建设1台1</w:t>
            </w:r>
            <w:r>
              <w:rPr>
                <w:rFonts w:hint="eastAsia"/>
                <w:color w:val="auto"/>
                <w:sz w:val="24"/>
                <w:lang w:val="en-US" w:eastAsia="zh-CN"/>
              </w:rPr>
              <w:t>8</w:t>
            </w:r>
            <w:r>
              <w:rPr>
                <w:rFonts w:hint="eastAsia"/>
                <w:color w:val="auto"/>
                <w:sz w:val="24"/>
              </w:rPr>
              <w:t>t/h生物质蒸汽锅炉和一台备用的1</w:t>
            </w:r>
            <w:r>
              <w:rPr>
                <w:rFonts w:hint="eastAsia"/>
                <w:color w:val="auto"/>
                <w:sz w:val="24"/>
                <w:lang w:val="en-US" w:eastAsia="zh-CN"/>
              </w:rPr>
              <w:t>5</w:t>
            </w:r>
            <w:r>
              <w:rPr>
                <w:rFonts w:hint="eastAsia"/>
                <w:color w:val="auto"/>
                <w:sz w:val="24"/>
              </w:rPr>
              <w:t>t/h生物质蒸汽锅炉，配套</w:t>
            </w:r>
            <w:r>
              <w:rPr>
                <w:rFonts w:hint="eastAsia"/>
                <w:color w:val="auto"/>
                <w:sz w:val="24"/>
                <w:lang w:val="en-US" w:eastAsia="zh-CN"/>
              </w:rPr>
              <w:t>旋风除尘器+布袋除尘器</w:t>
            </w:r>
            <w:r>
              <w:rPr>
                <w:rFonts w:hint="eastAsia"/>
                <w:color w:val="auto"/>
                <w:sz w:val="24"/>
              </w:rPr>
              <w:t>，由40米高烟囱排放。本项目属于食品加工项目，</w:t>
            </w:r>
            <w:r>
              <w:rPr>
                <w:color w:val="auto"/>
                <w:sz w:val="24"/>
              </w:rPr>
              <w:t>本项目不属于石化、有机化工、表面涂装、包装印刷等排放大量挥发性有机物行业。</w:t>
            </w:r>
            <w:r>
              <w:rPr>
                <w:rFonts w:hint="eastAsia"/>
                <w:color w:val="auto"/>
                <w:sz w:val="24"/>
              </w:rPr>
              <w:t>本项目各污染物经采取相应措施后可以满足相应排放标准。本项目的建设</w:t>
            </w:r>
            <w:r>
              <w:rPr>
                <w:color w:val="auto"/>
                <w:sz w:val="24"/>
              </w:rPr>
              <w:t>符合《黑龙江省大气污染防治条例》。</w:t>
            </w:r>
          </w:p>
          <w:p w14:paraId="1EA1AB1A">
            <w:pPr>
              <w:pStyle w:val="135"/>
              <w:snapToGrid w:val="0"/>
              <w:spacing w:line="360" w:lineRule="auto"/>
              <w:rPr>
                <w:color w:val="auto"/>
                <w:sz w:val="24"/>
              </w:rPr>
            </w:pPr>
            <w:r>
              <w:rPr>
                <w:rFonts w:hint="eastAsia"/>
                <w:color w:val="auto"/>
                <w:sz w:val="24"/>
              </w:rPr>
              <w:t>3、</w:t>
            </w:r>
            <w:r>
              <w:rPr>
                <w:color w:val="auto"/>
                <w:sz w:val="24"/>
              </w:rPr>
              <w:t>与《黑龙江省人民政府关于印发黑龙江省“十四五”生态环境保护规划的通知》（黑政规〔2021〕18号）符合性</w:t>
            </w:r>
          </w:p>
          <w:p w14:paraId="7755F86F">
            <w:pPr>
              <w:pStyle w:val="135"/>
              <w:snapToGrid w:val="0"/>
              <w:spacing w:line="360" w:lineRule="auto"/>
              <w:rPr>
                <w:color w:val="auto"/>
                <w:sz w:val="24"/>
              </w:rPr>
            </w:pPr>
            <w:r>
              <w:rPr>
                <w:color w:val="auto"/>
                <w:sz w:val="24"/>
              </w:rPr>
              <w:t>根据《黑龙江省人民政府关于印发黑龙江省</w:t>
            </w:r>
            <w:r>
              <w:rPr>
                <w:rFonts w:hint="eastAsia"/>
                <w:color w:val="auto"/>
                <w:sz w:val="24"/>
              </w:rPr>
              <w:t>“</w:t>
            </w:r>
            <w:r>
              <w:rPr>
                <w:color w:val="auto"/>
                <w:sz w:val="24"/>
              </w:rPr>
              <w:t>十四五</w:t>
            </w:r>
            <w:r>
              <w:rPr>
                <w:rFonts w:hint="eastAsia"/>
                <w:color w:val="auto"/>
                <w:sz w:val="24"/>
              </w:rPr>
              <w:t>”</w:t>
            </w:r>
            <w:r>
              <w:rPr>
                <w:color w:val="auto"/>
                <w:sz w:val="24"/>
              </w:rPr>
              <w:t>生态环境保护规划的通知》（黑政规〔2021〕18号），加大燃煤污染治理力度。深入实施散煤污染治理</w:t>
            </w:r>
            <w:r>
              <w:rPr>
                <w:rFonts w:hint="eastAsia"/>
                <w:color w:val="auto"/>
                <w:sz w:val="24"/>
              </w:rPr>
              <w:t>“</w:t>
            </w:r>
            <w:r>
              <w:rPr>
                <w:color w:val="auto"/>
                <w:sz w:val="24"/>
              </w:rPr>
              <w:t>三重一改</w:t>
            </w:r>
            <w:r>
              <w:rPr>
                <w:rFonts w:hint="eastAsia"/>
                <w:color w:val="auto"/>
                <w:sz w:val="24"/>
              </w:rPr>
              <w:t>”</w:t>
            </w:r>
            <w:r>
              <w:rPr>
                <w:color w:val="auto"/>
                <w:sz w:val="24"/>
              </w:rPr>
              <w:t>攻坚行动，统筹城市棚户区、城中村、城乡结合部、商户和农村地区散煤污染治理，到2022年，</w:t>
            </w:r>
            <w:r>
              <w:rPr>
                <w:rFonts w:hint="eastAsia"/>
                <w:color w:val="auto"/>
                <w:sz w:val="24"/>
              </w:rPr>
              <w:t>“</w:t>
            </w:r>
            <w:r>
              <w:rPr>
                <w:color w:val="auto"/>
                <w:sz w:val="24"/>
              </w:rPr>
              <w:t>两市两县两景区</w:t>
            </w:r>
            <w:r>
              <w:rPr>
                <w:rFonts w:hint="eastAsia"/>
                <w:color w:val="auto"/>
                <w:sz w:val="24"/>
              </w:rPr>
              <w:t>”</w:t>
            </w:r>
            <w:r>
              <w:rPr>
                <w:color w:val="auto"/>
                <w:sz w:val="24"/>
              </w:rPr>
              <w:t>等重点地区散煤用量大幅下降。各地持续推进散煤污染治理，到2025年，哈尔滨市、齐齐哈尔市、大庆市、绥化市散煤用量分别减少50%，哈尔滨市主城区建成区基本实现散煤清零。加快淘汰地级城市建成区10-35蒸吨/小时燃煤锅炉，推进65蒸吨/小时及以上燃煤锅炉（含电力）超低排放改造。实现20蒸吨/小时及以上锅炉稳定达标排放全覆盖。</w:t>
            </w:r>
          </w:p>
          <w:p w14:paraId="686CC9B0">
            <w:pPr>
              <w:pStyle w:val="135"/>
              <w:snapToGrid w:val="0"/>
              <w:spacing w:line="360" w:lineRule="auto"/>
              <w:rPr>
                <w:color w:val="auto"/>
                <w:sz w:val="24"/>
              </w:rPr>
            </w:pPr>
            <w:r>
              <w:rPr>
                <w:color w:val="auto"/>
                <w:sz w:val="24"/>
              </w:rPr>
              <w:t>本项目本项目</w:t>
            </w:r>
            <w:r>
              <w:rPr>
                <w:rFonts w:hint="eastAsia"/>
                <w:color w:val="auto"/>
                <w:sz w:val="24"/>
              </w:rPr>
              <w:t>建设1台1</w:t>
            </w:r>
            <w:r>
              <w:rPr>
                <w:rFonts w:hint="eastAsia"/>
                <w:color w:val="auto"/>
                <w:sz w:val="24"/>
                <w:lang w:val="en-US" w:eastAsia="zh-CN"/>
              </w:rPr>
              <w:t>8</w:t>
            </w:r>
            <w:r>
              <w:rPr>
                <w:rFonts w:hint="eastAsia"/>
                <w:color w:val="auto"/>
                <w:sz w:val="24"/>
              </w:rPr>
              <w:t>t/h生物质蒸汽锅炉和一台备用的1</w:t>
            </w:r>
            <w:r>
              <w:rPr>
                <w:rFonts w:hint="eastAsia"/>
                <w:color w:val="auto"/>
                <w:sz w:val="24"/>
                <w:lang w:val="en-US" w:eastAsia="zh-CN"/>
              </w:rPr>
              <w:t>5</w:t>
            </w:r>
            <w:r>
              <w:rPr>
                <w:rFonts w:hint="eastAsia"/>
                <w:color w:val="auto"/>
                <w:sz w:val="24"/>
              </w:rPr>
              <w:t>t/h生物质蒸汽锅炉，</w:t>
            </w:r>
            <w:r>
              <w:rPr>
                <w:color w:val="auto"/>
                <w:sz w:val="24"/>
              </w:rPr>
              <w:t>用于生产，燃料为生物质成型燃料</w:t>
            </w:r>
            <w:r>
              <w:rPr>
                <w:rFonts w:hint="eastAsia"/>
                <w:color w:val="auto"/>
                <w:sz w:val="24"/>
              </w:rPr>
              <w:t>，配套</w:t>
            </w:r>
            <w:r>
              <w:rPr>
                <w:rFonts w:hint="eastAsia"/>
                <w:color w:val="auto"/>
                <w:sz w:val="24"/>
                <w:lang w:val="en-US" w:eastAsia="zh-CN"/>
              </w:rPr>
              <w:t>旋风除尘器+布袋除尘器</w:t>
            </w:r>
            <w:r>
              <w:rPr>
                <w:rFonts w:hint="eastAsia"/>
                <w:color w:val="auto"/>
                <w:sz w:val="24"/>
              </w:rPr>
              <w:t>，由40米高烟囱排放。</w:t>
            </w:r>
            <w:r>
              <w:rPr>
                <w:color w:val="auto"/>
                <w:sz w:val="24"/>
              </w:rPr>
              <w:t>符合《黑龙江省人民政府关于印发黑龙江省</w:t>
            </w:r>
            <w:r>
              <w:rPr>
                <w:rFonts w:hint="eastAsia"/>
                <w:color w:val="auto"/>
                <w:sz w:val="24"/>
              </w:rPr>
              <w:t>“</w:t>
            </w:r>
            <w:r>
              <w:rPr>
                <w:color w:val="auto"/>
                <w:sz w:val="24"/>
              </w:rPr>
              <w:t>十四五</w:t>
            </w:r>
            <w:r>
              <w:rPr>
                <w:rFonts w:hint="eastAsia"/>
                <w:color w:val="auto"/>
                <w:sz w:val="24"/>
              </w:rPr>
              <w:t>”</w:t>
            </w:r>
            <w:r>
              <w:rPr>
                <w:color w:val="auto"/>
                <w:sz w:val="24"/>
              </w:rPr>
              <w:t>生态环境保护规划的通知》（黑政规〔2021〕18号）相关要求。</w:t>
            </w:r>
          </w:p>
          <w:p w14:paraId="3A54C9F1">
            <w:pPr>
              <w:pStyle w:val="135"/>
              <w:snapToGrid w:val="0"/>
              <w:spacing w:line="360" w:lineRule="auto"/>
              <w:rPr>
                <w:rFonts w:hint="eastAsia" w:eastAsia="宋体"/>
                <w:color w:val="auto"/>
                <w:lang w:val="en-US" w:eastAsia="zh-CN"/>
              </w:rPr>
            </w:pPr>
            <w:r>
              <w:rPr>
                <w:rFonts w:hint="eastAsia" w:ascii="Times New Roman" w:hAnsi="Times New Roman" w:eastAsia="宋体" w:cs="Times New Roman"/>
                <w:color w:val="auto"/>
                <w:sz w:val="24"/>
                <w:lang w:val="en-US" w:eastAsia="zh-CN"/>
              </w:rPr>
              <w:t>4、与《黑龙江省空气质量持续改善行动计划实施方案》（黑政发〔2023〕19号）符合性分析</w:t>
            </w:r>
          </w:p>
          <w:p w14:paraId="07CB710E">
            <w:pPr>
              <w:pStyle w:val="7"/>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
                <w:bCs/>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三、持续优化改善能源结构（十一）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14:paraId="045EE6D5">
            <w:pPr>
              <w:pStyle w:val="135"/>
              <w:snapToGrid w:val="0"/>
              <w:spacing w:line="360" w:lineRule="auto"/>
              <w:rPr>
                <w:rFonts w:hint="eastAsia"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本项目</w:t>
            </w:r>
            <w:r>
              <w:rPr>
                <w:rFonts w:hint="eastAsia" w:ascii="Times New Roman" w:hAnsi="Times New Roman" w:eastAsia="宋体" w:cs="Times New Roman"/>
                <w:b w:val="0"/>
                <w:bCs w:val="0"/>
                <w:color w:val="auto"/>
                <w:kern w:val="0"/>
                <w:sz w:val="24"/>
                <w:szCs w:val="24"/>
                <w:highlight w:val="none"/>
                <w:lang w:val="en-US" w:eastAsia="zh-CN" w:bidi="ar-SA"/>
              </w:rPr>
              <w:t>利用</w:t>
            </w:r>
            <w:r>
              <w:rPr>
                <w:rFonts w:hint="default" w:ascii="Times New Roman" w:hAnsi="Times New Roman" w:eastAsia="宋体" w:cs="Times New Roman"/>
                <w:b w:val="0"/>
                <w:bCs w:val="0"/>
                <w:color w:val="auto"/>
                <w:kern w:val="0"/>
                <w:sz w:val="24"/>
                <w:szCs w:val="24"/>
                <w:highlight w:val="none"/>
                <w:lang w:val="en-US" w:eastAsia="zh-CN" w:bidi="ar-SA"/>
              </w:rPr>
              <w:t>现有工程中</w:t>
            </w:r>
            <w:r>
              <w:rPr>
                <w:rFonts w:hint="eastAsia" w:ascii="Times New Roman" w:hAnsi="Times New Roman" w:eastAsia="宋体" w:cs="Times New Roman"/>
                <w:b w:val="0"/>
                <w:bCs w:val="0"/>
                <w:color w:val="auto"/>
                <w:kern w:val="0"/>
                <w:sz w:val="24"/>
                <w:szCs w:val="24"/>
                <w:highlight w:val="none"/>
                <w:lang w:val="en-US" w:eastAsia="zh-CN" w:bidi="ar-SA"/>
              </w:rPr>
              <w:t>锅炉，</w:t>
            </w:r>
            <w:r>
              <w:rPr>
                <w:rFonts w:hint="default" w:ascii="Times New Roman" w:hAnsi="Times New Roman" w:eastAsia="宋体" w:cs="Times New Roman"/>
                <w:b w:val="0"/>
                <w:bCs w:val="0"/>
                <w:color w:val="auto"/>
                <w:kern w:val="0"/>
                <w:sz w:val="24"/>
                <w:szCs w:val="24"/>
                <w:highlight w:val="none"/>
                <w:lang w:val="en-US" w:eastAsia="zh-CN" w:bidi="ar-SA"/>
              </w:rPr>
              <w:t>锅炉燃料使用的为</w:t>
            </w:r>
            <w:r>
              <w:rPr>
                <w:rFonts w:hint="eastAsia" w:ascii="Times New Roman" w:hAnsi="Times New Roman" w:eastAsia="宋体" w:cs="Times New Roman"/>
                <w:b w:val="0"/>
                <w:bCs w:val="0"/>
                <w:color w:val="auto"/>
                <w:kern w:val="0"/>
                <w:sz w:val="24"/>
                <w:szCs w:val="24"/>
                <w:highlight w:val="none"/>
                <w:lang w:val="en-US" w:eastAsia="zh-CN" w:bidi="ar-SA"/>
              </w:rPr>
              <w:t>生物质成型燃料</w:t>
            </w:r>
            <w:r>
              <w:rPr>
                <w:rFonts w:hint="default" w:ascii="Times New Roman" w:hAnsi="Times New Roman" w:eastAsia="宋体"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建有建设1台18t/h生物质蒸汽锅炉和一台备用的15t/h生物质蒸汽锅炉，配套旋风除尘器+布袋除尘器，由40米高烟囱排放。锅炉排放颗粒物、二氧化硫和氮氧化物均满足《锅炉大气污染物排放标准》（GB13271-2014）排放限值要求。符合《黑龙江省空气质量持续改善行动计划实施方案》（黑政发〔2023〕19号）相关要求。</w:t>
            </w:r>
          </w:p>
          <w:p w14:paraId="02685239">
            <w:pPr>
              <w:pStyle w:val="135"/>
              <w:snapToGrid w:val="0"/>
              <w:spacing w:line="360" w:lineRule="auto"/>
              <w:rPr>
                <w:rFonts w:hint="eastAsia"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5、与《佳木斯市空气质量持续改善行动计划实施方案》（佳政发〔2024〕4号）符合性分析</w:t>
            </w:r>
          </w:p>
          <w:p w14:paraId="4A2E8AD5">
            <w:pPr>
              <w:pStyle w:val="135"/>
              <w:snapToGrid w:val="0"/>
              <w:spacing w:line="360" w:lineRule="auto"/>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二、重点任务（一）稳步推进化石能源减量替代。3.推进燃煤设施设备淘汰改造。动态掌握工业炉窑清单底数，稳步推进在用高污染燃料的工业炉窑改用工业余热、电能、天然气等清洁燃料。县级及以上城市建成区原则上不再新建35蒸吨/小时及以下燃煤锅炉，其他地区原则上不再新建10蒸吨/小时以下燃煤锅炉。到2025年，基本完成城市建成区35蒸吨/小时及以下燃煤锅炉淘汰。[市发展改革委、市生态环境局、市市场监管局按职责分工负责]4.开展燃气、生物质锅炉深度治理。燃气锅炉实施低氮燃烧改造，严把低氮燃烧器、烟气再循环系统、分级燃烧系统、燃料及风量调配系统等关键部件质量关，确保低氮燃烧系统稳定运行。生物质锅炉采用专用锅炉，配套布袋等高效除尘设施，禁止掺烧煤炭、生活垃圾等其他物料。推进整合小型生物质锅炉，城市建成区内新建生物质供热锅炉要达到天然气排放标准，积极引导城市建成区内生物质锅炉（含电力）超低排放改造。[市生态环境局、市市场监管局按职责分工负责]”</w:t>
            </w:r>
            <w:r>
              <w:rPr>
                <w:rFonts w:hint="eastAsia" w:ascii="Times New Roman" w:hAnsi="Times New Roman" w:eastAsia="宋体" w:cs="Times New Roman"/>
                <w:b w:val="0"/>
                <w:bCs w:val="0"/>
                <w:color w:val="auto"/>
                <w:kern w:val="0"/>
                <w:sz w:val="24"/>
                <w:szCs w:val="24"/>
                <w:highlight w:val="none"/>
                <w:lang w:val="en-US" w:eastAsia="zh-CN" w:bidi="ar-SA"/>
              </w:rPr>
              <w:t>。</w:t>
            </w:r>
          </w:p>
          <w:p w14:paraId="74B654C2">
            <w:pPr>
              <w:pStyle w:val="135"/>
              <w:snapToGrid w:val="0"/>
              <w:spacing w:line="360" w:lineRule="auto"/>
              <w:rPr>
                <w:rFonts w:hint="eastAsia"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本项目</w:t>
            </w:r>
            <w:r>
              <w:rPr>
                <w:rFonts w:hint="eastAsia" w:ascii="Times New Roman" w:hAnsi="Times New Roman" w:eastAsia="宋体" w:cs="Times New Roman"/>
                <w:b w:val="0"/>
                <w:bCs w:val="0"/>
                <w:color w:val="auto"/>
                <w:kern w:val="0"/>
                <w:sz w:val="24"/>
                <w:szCs w:val="24"/>
                <w:highlight w:val="none"/>
                <w:lang w:val="en-US" w:eastAsia="zh-CN" w:bidi="ar-SA"/>
              </w:rPr>
              <w:t>利用</w:t>
            </w:r>
            <w:r>
              <w:rPr>
                <w:rFonts w:hint="default" w:ascii="Times New Roman" w:hAnsi="Times New Roman" w:eastAsia="宋体" w:cs="Times New Roman"/>
                <w:b w:val="0"/>
                <w:bCs w:val="0"/>
                <w:color w:val="auto"/>
                <w:kern w:val="0"/>
                <w:sz w:val="24"/>
                <w:szCs w:val="24"/>
                <w:highlight w:val="none"/>
                <w:lang w:val="en-US" w:eastAsia="zh-CN" w:bidi="ar-SA"/>
              </w:rPr>
              <w:t>现有工程中</w:t>
            </w:r>
            <w:r>
              <w:rPr>
                <w:rFonts w:hint="eastAsia" w:ascii="Times New Roman" w:hAnsi="Times New Roman" w:eastAsia="宋体" w:cs="Times New Roman"/>
                <w:b w:val="0"/>
                <w:bCs w:val="0"/>
                <w:color w:val="auto"/>
                <w:kern w:val="0"/>
                <w:sz w:val="24"/>
                <w:szCs w:val="24"/>
                <w:highlight w:val="none"/>
                <w:lang w:val="en-US" w:eastAsia="zh-CN" w:bidi="ar-SA"/>
              </w:rPr>
              <w:t>锅炉，</w:t>
            </w:r>
            <w:r>
              <w:rPr>
                <w:rFonts w:hint="default" w:ascii="Times New Roman" w:hAnsi="Times New Roman" w:eastAsia="宋体" w:cs="Times New Roman"/>
                <w:b w:val="0"/>
                <w:bCs w:val="0"/>
                <w:color w:val="auto"/>
                <w:kern w:val="0"/>
                <w:sz w:val="24"/>
                <w:szCs w:val="24"/>
                <w:highlight w:val="none"/>
                <w:lang w:val="en-US" w:eastAsia="zh-CN" w:bidi="ar-SA"/>
              </w:rPr>
              <w:t>锅炉燃料使用的为</w:t>
            </w:r>
            <w:r>
              <w:rPr>
                <w:rFonts w:hint="eastAsia" w:ascii="Times New Roman" w:hAnsi="Times New Roman" w:eastAsia="宋体" w:cs="Times New Roman"/>
                <w:b w:val="0"/>
                <w:bCs w:val="0"/>
                <w:color w:val="auto"/>
                <w:kern w:val="0"/>
                <w:sz w:val="24"/>
                <w:szCs w:val="24"/>
                <w:highlight w:val="none"/>
                <w:lang w:val="en-US" w:eastAsia="zh-CN" w:bidi="ar-SA"/>
              </w:rPr>
              <w:t>生物质成型燃料</w:t>
            </w:r>
            <w:r>
              <w:rPr>
                <w:rFonts w:hint="default" w:ascii="Times New Roman" w:hAnsi="Times New Roman" w:eastAsia="宋体"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建有建设1台18t/h生物质蒸汽锅炉和一台备用的15t/h生物质蒸汽锅炉，配套旋风除尘器+布袋除尘器，由40米高烟囱排放。锅炉排放颗粒物、二氧化硫和氮氧化物均满足《锅炉大气污染物排放标准》（GB13271-2014）排放限值要求。符合《佳木斯市空气质量持续改善行动计划实施方案》（佳政发〔2024〕4号）相关要求。</w:t>
            </w:r>
          </w:p>
          <w:p w14:paraId="265DCC9E">
            <w:pPr>
              <w:pStyle w:val="135"/>
              <w:snapToGrid w:val="0"/>
              <w:spacing w:line="360" w:lineRule="auto"/>
              <w:rPr>
                <w:rFonts w:hint="default" w:ascii="Times New Roman" w:hAnsi="Times New Roman" w:eastAsia="宋体" w:cs="Times New Roman"/>
                <w:b w:val="0"/>
                <w:bCs w:val="0"/>
                <w:color w:val="auto"/>
                <w:kern w:val="0"/>
                <w:sz w:val="24"/>
                <w:szCs w:val="24"/>
                <w:highlight w:val="none"/>
                <w:lang w:val="en-US" w:eastAsia="zh-CN" w:bidi="ar-SA"/>
              </w:rPr>
            </w:pPr>
            <w:r>
              <w:rPr>
                <w:rFonts w:hint="eastAsia" w:ascii="Times New Roman" w:hAnsi="Times New Roman" w:eastAsia="宋体" w:cs="Times New Roman"/>
                <w:b w:val="0"/>
                <w:bCs w:val="0"/>
                <w:color w:val="auto"/>
                <w:kern w:val="0"/>
                <w:sz w:val="24"/>
                <w:szCs w:val="24"/>
                <w:highlight w:val="none"/>
                <w:lang w:val="en-US" w:eastAsia="zh-CN" w:bidi="ar-SA"/>
              </w:rPr>
              <w:t>6</w:t>
            </w:r>
            <w:r>
              <w:rPr>
                <w:rFonts w:hint="default" w:ascii="Times New Roman" w:hAnsi="Times New Roman" w:eastAsia="宋体" w:cs="Times New Roman"/>
                <w:b w:val="0"/>
                <w:bCs w:val="0"/>
                <w:color w:val="auto"/>
                <w:kern w:val="0"/>
                <w:sz w:val="24"/>
                <w:szCs w:val="24"/>
                <w:highlight w:val="none"/>
                <w:lang w:val="en-US" w:eastAsia="zh-CN" w:bidi="ar-SA"/>
              </w:rPr>
              <w:t>、与《佳木斯市“十四五”生态环境保护规划》符合性分析</w:t>
            </w:r>
          </w:p>
          <w:p w14:paraId="1919C8DA">
            <w:pPr>
              <w:numPr>
                <w:ilvl w:val="0"/>
                <w:numId w:val="0"/>
              </w:numPr>
              <w:spacing w:line="360" w:lineRule="auto"/>
              <w:ind w:firstLine="480" w:firstLineChars="200"/>
              <w:rPr>
                <w:rFonts w:hint="default"/>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3.构建清洁低碳能源体系。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完善能源产供储销体系，加快落实“气化龙江”、电能替代工程，建设智慧能源系统，保障全市能源供应。优化电力生产和输送通道布局，提高能源输配效率。优化风电、光伏发电布局。优先发展新能源产业，持续推进电能替代行动计划，推广电锅炉、电窑炉、电采暖等新型用能方式，探索在风电、光电富集地区利用低谷富余电实施储能供暖。实施终端用能清洁化替代。重点削减小型燃煤锅炉、民用散煤与农业用煤消费量，降低煤炭在终端分散利用比例，对以煤、石焦油、渣油、重油等为燃料的锅炉和工业炉窑，加快使用清洁低碳能源以及工业余热、电力热力等进行替代。到2023年采暖季前，全市清洁取暖率基本达到100%，平原地区基本完成散煤替代。</w:t>
            </w:r>
            <w:r>
              <w:rPr>
                <w:rFonts w:hint="eastAsia"/>
                <w:color w:val="auto"/>
                <w:highlight w:val="none"/>
                <w:lang w:val="en-US" w:eastAsia="zh-CN"/>
              </w:rPr>
              <w:t>”</w:t>
            </w:r>
          </w:p>
          <w:p w14:paraId="482BB7A4">
            <w:pPr>
              <w:numPr>
                <w:ilvl w:val="0"/>
                <w:numId w:val="0"/>
              </w:numPr>
              <w:spacing w:line="360" w:lineRule="auto"/>
              <w:ind w:firstLine="480" w:firstLineChars="200"/>
              <w:rPr>
                <w:rFonts w:hint="default"/>
                <w:color w:val="auto"/>
                <w:highlight w:val="none"/>
                <w:lang w:val="en-US" w:eastAsia="zh-CN"/>
              </w:rPr>
            </w:pPr>
            <w:r>
              <w:rPr>
                <w:rFonts w:hint="default"/>
                <w:color w:val="auto"/>
                <w:sz w:val="24"/>
                <w:highlight w:val="none"/>
                <w:lang w:val="en-US" w:eastAsia="zh-CN"/>
              </w:rPr>
              <w:t>项目生产用热和生活供热由自建锅炉房内的1台18t/h的生物质蒸汽锅炉供给，1台15t/h的生物质蒸汽锅炉作为备用锅炉，分别配套两套除尘器，经旋风除尘器+布袋除尘器处理由后40m高烟囱（</w:t>
            </w:r>
            <w:r>
              <w:rPr>
                <w:rFonts w:hint="eastAsia"/>
                <w:color w:val="auto"/>
                <w:sz w:val="24"/>
                <w:lang w:val="en-US" w:eastAsia="zh-CN"/>
              </w:rPr>
              <w:t>DA00</w:t>
            </w:r>
            <w:r>
              <w:rPr>
                <w:rFonts w:hint="default"/>
                <w:color w:val="auto"/>
                <w:sz w:val="24"/>
                <w:highlight w:val="none"/>
                <w:lang w:val="en-US" w:eastAsia="zh-CN"/>
              </w:rPr>
              <w:t>1）排放，当供热期间生物质锅炉发生故障时可启用备用锅炉，</w:t>
            </w:r>
            <w:r>
              <w:rPr>
                <w:rFonts w:hint="eastAsia"/>
                <w:color w:val="auto"/>
                <w:sz w:val="24"/>
                <w:highlight w:val="none"/>
              </w:rPr>
              <w:t>锅炉</w:t>
            </w:r>
            <w:r>
              <w:rPr>
                <w:color w:val="auto"/>
                <w:sz w:val="24"/>
                <w:highlight w:val="none"/>
              </w:rPr>
              <w:t>排放颗粒物、二氧化硫和氮氧化物均满足</w:t>
            </w:r>
            <w:r>
              <w:rPr>
                <w:rFonts w:hint="eastAsia"/>
                <w:color w:val="auto"/>
                <w:sz w:val="24"/>
                <w:highlight w:val="none"/>
              </w:rPr>
              <w:t>《</w:t>
            </w:r>
            <w:bookmarkStart w:id="27" w:name="OLE_LINK1"/>
            <w:r>
              <w:rPr>
                <w:rFonts w:hint="eastAsia"/>
                <w:color w:val="auto"/>
                <w:sz w:val="24"/>
                <w:highlight w:val="none"/>
              </w:rPr>
              <w:t>锅炉大气污染物排放标准</w:t>
            </w:r>
            <w:bookmarkEnd w:id="27"/>
            <w:r>
              <w:rPr>
                <w:rFonts w:hint="eastAsia"/>
                <w:color w:val="auto"/>
                <w:sz w:val="24"/>
                <w:highlight w:val="none"/>
              </w:rPr>
              <w:t>》（GB13271-2014）表2大气污染物排放限值</w:t>
            </w:r>
            <w:r>
              <w:rPr>
                <w:rFonts w:hint="eastAsia"/>
                <w:color w:val="auto"/>
                <w:sz w:val="24"/>
                <w:highlight w:val="none"/>
                <w:lang w:val="en-US" w:eastAsia="zh-CN"/>
              </w:rPr>
              <w:t>。</w:t>
            </w:r>
            <w:r>
              <w:rPr>
                <w:rFonts w:hint="eastAsia" w:ascii="Times New Roman" w:hAnsi="Times New Roman" w:eastAsia="宋体" w:cs="Times New Roman"/>
                <w:color w:val="auto"/>
                <w:sz w:val="24"/>
                <w:szCs w:val="24"/>
                <w:highlight w:val="none"/>
                <w:lang w:val="en-US" w:eastAsia="zh-CN"/>
              </w:rPr>
              <w:t>符合《佳木斯市“十四五”生态环境保护规划》相关要求。</w:t>
            </w:r>
          </w:p>
          <w:p w14:paraId="16AB5181">
            <w:pPr>
              <w:pStyle w:val="135"/>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与《“十三五”挥发性有机物污染防治工作方案》的符合性分析</w:t>
            </w:r>
          </w:p>
          <w:p w14:paraId="33F7511A">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总体要求:以改善环境空气质量为核心，以重点地区为主 要着力点，以重点行业和重点污染物为主要控制对象，推进VOCs与 NOx 协同减排，强化新增污染物排放控制，实施固定污染源排污许可，全面加强基础能力建设和政策支持保障，因地制宜，突出重点，源 头防控，分业施策，建立VOCs污染防治长效机制，促进环境空气质 量持续改善和产业绿色发展。开展其他生活源VOCs治理:推广使用配备溶剂回收制冷系统、不直接外排废气的全封闭式干洗机，到2020年底前，京津冀大气污 染传输通道城市、长三角、珠三角等基本淘汰开启式干洗机。定期 进行干洗机及干洗剂输送管道、阀门的检查，防止干洗剂泄漏。城 市建成区餐饮企业应安装高效油烟净化设施，并确保正常使用。开展规模以上餐饮企业污染物排放自动监测试点，推广使用高效净化型家用吸油烟机。</w:t>
            </w:r>
          </w:p>
          <w:p w14:paraId="43624DC2">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宋体" w:hAnsi="宋体" w:eastAsia="宋体" w:cs="宋体"/>
                <w:b/>
                <w:bCs/>
                <w:color w:val="auto"/>
                <w:sz w:val="24"/>
                <w:szCs w:val="24"/>
                <w:lang w:val="en-US" w:eastAsia="zh-CN"/>
              </w:rPr>
            </w:pPr>
            <w:r>
              <w:rPr>
                <w:rFonts w:hint="eastAsia" w:ascii="Times New Roman" w:hAnsi="Times New Roman" w:eastAsia="宋体" w:cs="Times New Roman"/>
                <w:color w:val="auto"/>
                <w:kern w:val="2"/>
                <w:sz w:val="24"/>
                <w:szCs w:val="24"/>
                <w:highlight w:val="none"/>
                <w:lang w:val="en-US" w:eastAsia="zh-CN" w:bidi="ar-SA"/>
              </w:rPr>
              <w:t>本项目浸出车间浸出工段采用正己烷，产生有机废气，以非甲烷总烃计，大豆油及米糠油浸出工段均设置集气罩，通过密闭管道连接对应设备的冷凝器，将有机废气冷凝成液态通过密闭管道回流到浸出工段，各冷凝器安装集气管线，经冷凝器+石蜡回收塔处理后废气统一由15m高排气筒（</w:t>
            </w:r>
            <w:r>
              <w:rPr>
                <w:rFonts w:hint="eastAsia"/>
                <w:color w:val="auto"/>
                <w:sz w:val="24"/>
                <w:lang w:val="en-US" w:eastAsia="zh-CN"/>
              </w:rPr>
              <w:t>DA00</w:t>
            </w:r>
            <w:r>
              <w:rPr>
                <w:rFonts w:hint="eastAsia" w:ascii="Times New Roman" w:hAnsi="Times New Roman" w:eastAsia="宋体" w:cs="Times New Roman"/>
                <w:color w:val="auto"/>
                <w:kern w:val="2"/>
                <w:sz w:val="24"/>
                <w:szCs w:val="24"/>
                <w:highlight w:val="none"/>
                <w:lang w:val="en-US" w:eastAsia="zh-CN" w:bidi="ar-SA"/>
              </w:rPr>
              <w:t>3）排放，产生的有组织及无组织非甲烷总烃可以满足《大气污染物综合排放标准》（GB 16297-1996）要求，厂区内厂房外非甲烷总烃可以满足《挥发性有机物无组织排放控制标准》GB 37822-2019）。综上所述，符合《“十三五”挥发性有机物污染防治工作方案》相关要求。</w:t>
            </w:r>
          </w:p>
          <w:p w14:paraId="4AA69959">
            <w:pPr>
              <w:pStyle w:val="135"/>
              <w:keepNext w:val="0"/>
              <w:keepLines w:val="0"/>
              <w:pageBreakBefore w:val="0"/>
              <w:widowControl w:val="0"/>
              <w:numPr>
                <w:ilvl w:val="0"/>
                <w:numId w:val="4"/>
              </w:numPr>
              <w:kinsoku/>
              <w:wordWrap/>
              <w:overflowPunct/>
              <w:topLinePunct w:val="0"/>
              <w:autoSpaceDE/>
              <w:autoSpaceDN/>
              <w:bidi w:val="0"/>
              <w:adjustRightInd/>
              <w:snapToGrid w:val="0"/>
              <w:spacing w:line="360" w:lineRule="auto"/>
              <w:ind w:left="0" w:leftChars="0"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与《挥发性有机物无组织排放控制标准》（GB37822-2019）的符合性分析</w:t>
            </w:r>
          </w:p>
          <w:p w14:paraId="2A1741BC">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密闭：污染物质不与环境空气接触，或通过密闭材料、密闭设备与环境空气隔离的状态或作业方式。VOCs 物料应储存于密闭的容器、包装袋、储罐、储库、料仓中。盛装 VOCs物料的容器或包装袋应存放于室内，或存放于设置有雨棚、遮阳和防渗设施的专用场地。盛装 VOCs 物料的容器或包装袋在非取用状态时应加盖、封口，保持密闭。</w:t>
            </w:r>
          </w:p>
          <w:p w14:paraId="4C0E9A76">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本项目建设建筑面积为43m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的地下溶剂库；设置2个50m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溶剂储罐，建设地下储池，按重点防渗要求进行防渗，等效黏土防渗层Mb≥6.0，渗透系数K≤1×10</w:t>
            </w:r>
            <w:r>
              <w:rPr>
                <w:rFonts w:hint="eastAsia" w:ascii="Times New Roman" w:hAnsi="Times New Roman" w:eastAsia="宋体" w:cs="Times New Roman"/>
                <w:color w:val="auto"/>
                <w:kern w:val="2"/>
                <w:sz w:val="24"/>
                <w:szCs w:val="24"/>
                <w:highlight w:val="none"/>
                <w:vertAlign w:val="superscript"/>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cm/s。综上所述，符合挥发性有机物无组织排放控制标准》（GB37822-2019）相关要求。</w:t>
            </w:r>
          </w:p>
          <w:p w14:paraId="6F7006C5">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、与《食品安全国家标准 食品生产通用卫生规范》（GB 14881—2013）</w:t>
            </w:r>
            <w:r>
              <w:rPr>
                <w:rFonts w:hint="default" w:ascii="Times New Roman" w:hAnsi="Times New Roman" w:eastAsia="宋体" w:cs="Times New Roman"/>
                <w:color w:val="auto"/>
                <w:kern w:val="2"/>
                <w:sz w:val="24"/>
                <w:szCs w:val="24"/>
                <w:highlight w:val="none"/>
                <w:lang w:val="en-US" w:eastAsia="zh-CN" w:bidi="ar-SA"/>
              </w:rPr>
              <w:t>符合性分析</w:t>
            </w:r>
          </w:p>
          <w:p w14:paraId="16431FB3">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“废弃物存放设施：应配备设计合理、防止渗漏、易于清洁的存放废弃物的专用设施；车间内存放废弃物的设施和容器 应标识清晰。必要时应在适当地点设置废弃物临时存放设施，并依废弃物特性分类存放；仓储设施：仓库应以无毒、坚固的材料建成；仓库地面应平整，便于通风换气。仓库的设计应能易于维护和清洁，防止虫害藏匿，并应有防止虫害侵入的装置。原料、半成品、成品、包装材料等应依据性质的不同分设贮存场所、或分区域码放，并有明确标识，防止交叉污染。必要时仓库应设有温、湿度控制设施。排水设施：污水在排放前应经适当方式处理，以符合国家污水排放的相关规定”。</w:t>
            </w:r>
          </w:p>
          <w:p w14:paraId="016D21CC">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本项目设置固废暂存间，用于储存固体废物；设置燃料库、原料车间、地下溶剂库、液体油罐等仓储设施；活废水经市政管网排入</w:t>
            </w:r>
            <w:r>
              <w:rPr>
                <w:rFonts w:hint="eastAsia" w:cs="Times New Roman"/>
                <w:color w:val="auto"/>
                <w:kern w:val="2"/>
                <w:sz w:val="24"/>
                <w:szCs w:val="24"/>
                <w:highlight w:val="none"/>
                <w:lang w:val="en-US" w:eastAsia="zh-CN" w:bidi="ar-SA"/>
              </w:rPr>
              <w:t>桦南浦华净源水务有限公司（桦南县污水处理厂）</w:t>
            </w:r>
            <w:r>
              <w:rPr>
                <w:rFonts w:hint="eastAsia" w:ascii="Times New Roman" w:hAnsi="Times New Roman" w:eastAsia="宋体" w:cs="Times New Roman"/>
                <w:color w:val="auto"/>
                <w:kern w:val="2"/>
                <w:sz w:val="24"/>
                <w:szCs w:val="24"/>
                <w:highlight w:val="none"/>
                <w:lang w:val="en-US" w:eastAsia="zh-CN" w:bidi="ar-SA"/>
              </w:rPr>
              <w:t>处理；生产废水排入厂内污水处理站，污水处理站设计规模100m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/d，采用“隔油池+调节池+气浮+水解+UASB+兼氧池+SBR”工艺，处理达标后通过市政管网排入</w:t>
            </w:r>
            <w:r>
              <w:rPr>
                <w:rFonts w:hint="eastAsia" w:cs="Times New Roman"/>
                <w:color w:val="auto"/>
                <w:kern w:val="2"/>
                <w:sz w:val="24"/>
                <w:szCs w:val="24"/>
                <w:highlight w:val="none"/>
                <w:lang w:val="en-US" w:eastAsia="zh-CN" w:bidi="ar-SA"/>
              </w:rPr>
              <w:t>桦南浦华净源水务有限公司（桦南县污水处理厂）</w:t>
            </w:r>
            <w:r>
              <w:rPr>
                <w:rFonts w:hint="eastAsia" w:ascii="Times New Roman" w:hAnsi="Times New Roman" w:eastAsia="宋体" w:cs="Times New Roman"/>
                <w:color w:val="auto"/>
                <w:kern w:val="2"/>
                <w:sz w:val="24"/>
                <w:szCs w:val="24"/>
                <w:highlight w:val="none"/>
                <w:lang w:val="en-US" w:eastAsia="zh-CN" w:bidi="ar-SA"/>
              </w:rPr>
              <w:t>处理。本项目符合《食品安全国家标准 食品生产通用卫生规范》（GB 14881—2013）要求。</w:t>
            </w:r>
          </w:p>
          <w:p w14:paraId="5194AAD8">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、与《桦南县国土空间总体规划》（2021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2035年）</w:t>
            </w:r>
            <w:r>
              <w:rPr>
                <w:rFonts w:hint="default" w:ascii="Times New Roman" w:hAnsi="Times New Roman" w:eastAsia="宋体" w:cs="Times New Roman"/>
                <w:color w:val="auto"/>
                <w:kern w:val="2"/>
                <w:sz w:val="24"/>
                <w:szCs w:val="24"/>
                <w:highlight w:val="none"/>
                <w:lang w:val="en-US" w:eastAsia="zh-CN" w:bidi="ar-SA"/>
              </w:rPr>
              <w:t>符合性分析</w:t>
            </w:r>
          </w:p>
          <w:p w14:paraId="1EA09514">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w:t>
            </w:r>
            <w:r>
              <w:rPr>
                <w:rFonts w:hint="eastAsia" w:ascii="Times New Roman" w:hAnsi="Times New Roman" w:eastAsia="宋体" w:cs="Times New Roman"/>
                <w:color w:val="auto"/>
                <w:kern w:val="2"/>
                <w:sz w:val="24"/>
                <w:szCs w:val="24"/>
                <w:highlight w:val="none"/>
                <w:lang w:val="en-US" w:eastAsia="zh-CN" w:bidi="ar-SA"/>
              </w:rPr>
              <w:t>《桦南县国土空间总体规划》（2021-2035年）内容</w:t>
            </w:r>
            <w:r>
              <w:rPr>
                <w:rFonts w:hint="default" w:ascii="Times New Roman" w:hAnsi="Times New Roman" w:eastAsia="宋体" w:cs="Times New Roman"/>
                <w:color w:val="auto"/>
                <w:kern w:val="2"/>
                <w:sz w:val="24"/>
                <w:szCs w:val="24"/>
                <w:highlight w:val="none"/>
                <w:lang w:val="en-US" w:eastAsia="zh-CN" w:bidi="ar-SA"/>
              </w:rPr>
              <w:t>：</w:t>
            </w:r>
          </w:p>
          <w:p w14:paraId="40CA1BDC">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（1）规划范围</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桦南县行政辖区范围，规划面积4417.97平方公里。</w:t>
            </w:r>
          </w:p>
          <w:p w14:paraId="69C60311">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近期：2021-2025年；</w:t>
            </w:r>
          </w:p>
          <w:p w14:paraId="2606C722">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远期：2026-2035年，远景展望是到2050年。</w:t>
            </w:r>
          </w:p>
          <w:p w14:paraId="4604EB6B">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（2）功能分区</w:t>
            </w:r>
            <w:r>
              <w:rPr>
                <w:rFonts w:hint="default" w:ascii="Times New Roman" w:hAnsi="Times New Roman" w:eastAsia="宋体" w:cs="Times New Roman"/>
                <w:color w:val="auto"/>
                <w:kern w:val="2"/>
                <w:sz w:val="24"/>
                <w:szCs w:val="24"/>
                <w:highlight w:val="none"/>
                <w:lang w:val="en-US" w:eastAsia="zh-CN" w:bidi="ar-SA"/>
              </w:rPr>
              <w:t>：</w:t>
            </w:r>
          </w:p>
          <w:p w14:paraId="09988461">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1.半山生态农业区：</w:t>
            </w:r>
          </w:p>
          <w:p w14:paraId="3FE9AA80">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依托东部半山区地理优势，着力培育林下经济产业特色品牌，大力发展紫苏、沙棘、大榛子、黑木耳、香菇、白瓜、藏香猪等产业。</w:t>
            </w:r>
          </w:p>
          <w:p w14:paraId="31126AB7">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2.休闲特色农业区</w:t>
            </w:r>
          </w:p>
          <w:p w14:paraId="2601D0FE">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实施休闲农业精品工程，开发金达莱花山赏花、中药基地观赏等农旅融合项目，大力发展绿色采摘园、休闲垂钓基地、特色农家饮食等休闲度假园区。</w:t>
            </w:r>
          </w:p>
          <w:p w14:paraId="145C175A">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3.现代农业发展区</w:t>
            </w:r>
          </w:p>
          <w:p w14:paraId="56883E85">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大力发展无公害食品、绿色食品、有机食品，发展高产、高效、优质、安全的现代化大农业。发展农产品深加工，加大绿色食品开发力度。</w:t>
            </w:r>
          </w:p>
          <w:p w14:paraId="0C238BE0">
            <w:pPr>
              <w:pStyle w:val="14"/>
              <w:keepNext w:val="0"/>
              <w:keepLines w:val="0"/>
              <w:pageBreakBefore w:val="0"/>
              <w:widowControl/>
              <w:kinsoku/>
              <w:wordWrap/>
              <w:overflowPunct/>
              <w:topLinePunct w:val="0"/>
              <w:autoSpaceDE/>
              <w:autoSpaceDN/>
              <w:bidi w:val="0"/>
              <w:adjustRightInd/>
              <w:snapToGrid w:val="0"/>
              <w:spacing w:line="360" w:lineRule="auto"/>
              <w:ind w:right="113"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城镇空间格局建立“一主三辅，三轴五区”的城镇空间格局，一主：中心城区(以桦南镇、柳毛河镇为主体)；三辅：三个重点镇(孟家岗镇、土龙山镇、石头河子镇)；三轴：一条城镇发展主轴-鹤大发展主轴，两条城镇发展次轴-桦依、同汪(桦双段)发展轴，牡佳发展轴；五区：核心发展区、北部发展区、南部发展区、东部发展区、西部发展区。加强全县空间资源统筹，推动空间资源向重大项目集聚。</w:t>
            </w:r>
          </w:p>
          <w:p w14:paraId="2096447F">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本项目为</w:t>
            </w:r>
            <w:r>
              <w:rPr>
                <w:rFonts w:hint="eastAsia"/>
                <w:color w:val="auto"/>
                <w:sz w:val="24"/>
              </w:rPr>
              <w:t>植物油加工</w:t>
            </w:r>
            <w:r>
              <w:rPr>
                <w:rFonts w:hint="eastAsia"/>
                <w:color w:val="auto"/>
                <w:sz w:val="24"/>
                <w:highlight w:val="none"/>
                <w:lang w:val="en-US" w:eastAsia="zh-CN"/>
              </w:rPr>
              <w:t>项目</w:t>
            </w:r>
            <w:r>
              <w:rPr>
                <w:rFonts w:hint="eastAsia" w:ascii="Times New Roman" w:hAnsi="Times New Roman" w:eastAsia="宋体" w:cs="Times New Roman"/>
                <w:color w:val="auto"/>
                <w:kern w:val="2"/>
                <w:sz w:val="24"/>
                <w:szCs w:val="24"/>
                <w:highlight w:val="none"/>
                <w:lang w:val="en-US" w:eastAsia="zh-CN" w:bidi="ar-SA"/>
              </w:rPr>
              <w:t>，位于</w:t>
            </w:r>
            <w:r>
              <w:rPr>
                <w:rFonts w:hint="eastAsia"/>
                <w:color w:val="auto"/>
                <w:sz w:val="24"/>
              </w:rPr>
              <w:t>佳木斯市桦南县双果路与龙兴街交叉口西南侧</w:t>
            </w:r>
            <w:r>
              <w:rPr>
                <w:rFonts w:hint="eastAsia" w:ascii="Times New Roman" w:hAnsi="Times New Roman" w:eastAsia="宋体" w:cs="Times New Roman"/>
                <w:color w:val="auto"/>
                <w:kern w:val="2"/>
                <w:sz w:val="24"/>
                <w:szCs w:val="24"/>
                <w:highlight w:val="none"/>
                <w:lang w:val="en-US" w:eastAsia="zh-CN" w:bidi="ar-SA"/>
              </w:rPr>
              <w:t>，</w:t>
            </w:r>
            <w:r>
              <w:rPr>
                <w:rFonts w:hint="eastAsia"/>
                <w:color w:val="auto"/>
                <w:sz w:val="24"/>
              </w:rPr>
              <w:t>经济开发区</w:t>
            </w:r>
            <w:r>
              <w:rPr>
                <w:rFonts w:hint="eastAsia"/>
                <w:color w:val="auto"/>
                <w:sz w:val="24"/>
                <w:lang w:val="en-US" w:eastAsia="zh-CN"/>
              </w:rPr>
              <w:t>内，本项目符合园区规划要求，</w:t>
            </w:r>
            <w:r>
              <w:rPr>
                <w:rFonts w:hint="eastAsia" w:ascii="Times New Roman" w:hAnsi="Times New Roman" w:eastAsia="宋体" w:cs="Times New Roman"/>
                <w:color w:val="auto"/>
                <w:kern w:val="2"/>
                <w:sz w:val="24"/>
                <w:szCs w:val="24"/>
                <w:highlight w:val="none"/>
                <w:lang w:val="en-US" w:eastAsia="zh-CN" w:bidi="ar-SA"/>
              </w:rPr>
              <w:t>有利于城市发展。</w:t>
            </w:r>
          </w:p>
          <w:p w14:paraId="72F64B66">
            <w:pPr>
              <w:autoSpaceDE w:val="0"/>
              <w:autoSpaceDN w:val="0"/>
              <w:adjustRightInd w:val="0"/>
              <w:spacing w:line="360" w:lineRule="auto"/>
              <w:rPr>
                <w:rFonts w:eastAsia="黑体"/>
                <w:bCs/>
                <w:color w:val="auto"/>
                <w:kern w:val="0"/>
                <w:sz w:val="28"/>
                <w:szCs w:val="28"/>
              </w:rPr>
            </w:pPr>
            <w:r>
              <w:rPr>
                <w:rFonts w:hint="eastAsia" w:eastAsia="黑体"/>
                <w:bCs/>
                <w:color w:val="auto"/>
                <w:kern w:val="0"/>
                <w:sz w:val="28"/>
                <w:szCs w:val="28"/>
                <w:lang w:val="en-US" w:eastAsia="zh-CN"/>
              </w:rPr>
              <w:t>三</w:t>
            </w:r>
            <w:r>
              <w:rPr>
                <w:rFonts w:eastAsia="黑体"/>
                <w:bCs/>
                <w:color w:val="auto"/>
                <w:kern w:val="0"/>
                <w:sz w:val="28"/>
                <w:szCs w:val="28"/>
              </w:rPr>
              <w:t>、选址合理性分析</w:t>
            </w:r>
          </w:p>
          <w:p w14:paraId="51313376">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本项目位于黑龙江省佳木斯市桦南县双果路与龙兴街交叉口西南侧，项目东侧和北侧是道路，南侧和西侧是工厂。本项目选址用地性质为工业用地。</w:t>
            </w:r>
          </w:p>
          <w:p w14:paraId="3BC74D77">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本项目位于黑龙江省佳木斯市桦南县双果路与龙兴街交叉口西南侧，区域无国家、省、市级自然保护区、风景名胜区、疗养院及重要的政治文化设施和水源地。本生活废水经市政管网排入</w:t>
            </w:r>
            <w:r>
              <w:rPr>
                <w:rFonts w:hint="eastAsia" w:cs="Times New Roman"/>
                <w:color w:val="auto"/>
                <w:kern w:val="2"/>
                <w:sz w:val="24"/>
                <w:szCs w:val="24"/>
                <w:highlight w:val="none"/>
                <w:lang w:val="en-US" w:eastAsia="zh-CN" w:bidi="ar-SA"/>
              </w:rPr>
              <w:t>桦南浦华净源水务有限公司（桦南县污水处理厂）</w:t>
            </w:r>
            <w:r>
              <w:rPr>
                <w:rFonts w:hint="eastAsia" w:ascii="Times New Roman" w:hAnsi="Times New Roman" w:eastAsia="宋体" w:cs="Times New Roman"/>
                <w:color w:val="auto"/>
                <w:kern w:val="2"/>
                <w:sz w:val="24"/>
                <w:szCs w:val="24"/>
                <w:highlight w:val="none"/>
                <w:lang w:val="en-US" w:eastAsia="zh-CN" w:bidi="ar-SA"/>
              </w:rPr>
              <w:t>处理；生产废水包括锅炉排污水、设备清洗水、浸出废水，锅炉废水部分用于厂区洒水降尘和灰渣加湿，剩余部分和设备清洗水、浸出废水一同排入厂内污水处理站，污水处理站设计规模100m3/d，采用“隔油池+调节池+气浮+水解+UASB+兼氧池+SBR”工艺，处理达标后通过市政管网排入</w:t>
            </w:r>
            <w:r>
              <w:rPr>
                <w:rFonts w:hint="eastAsia" w:cs="Times New Roman"/>
                <w:color w:val="auto"/>
                <w:kern w:val="2"/>
                <w:sz w:val="24"/>
                <w:szCs w:val="24"/>
                <w:highlight w:val="none"/>
                <w:lang w:val="en-US" w:eastAsia="zh-CN" w:bidi="ar-SA"/>
              </w:rPr>
              <w:t>桦南浦华净源水务有限公司（桦南县污水处理厂）</w:t>
            </w:r>
            <w:r>
              <w:rPr>
                <w:rFonts w:hint="eastAsia" w:ascii="Times New Roman" w:hAnsi="Times New Roman" w:eastAsia="宋体" w:cs="Times New Roman"/>
                <w:color w:val="auto"/>
                <w:kern w:val="2"/>
                <w:sz w:val="24"/>
                <w:szCs w:val="24"/>
                <w:highlight w:val="none"/>
                <w:lang w:val="en-US" w:eastAsia="zh-CN" w:bidi="ar-SA"/>
              </w:rPr>
              <w:t>处理。生物质锅炉烟气经旋风除尘器+布袋除尘器处理后由40m高烟囱（</w:t>
            </w:r>
            <w:r>
              <w:rPr>
                <w:rFonts w:hint="eastAsia"/>
                <w:color w:val="auto"/>
                <w:sz w:val="24"/>
                <w:lang w:val="en-US" w:eastAsia="zh-CN"/>
              </w:rPr>
              <w:t>DA00</w:t>
            </w:r>
            <w:r>
              <w:rPr>
                <w:rFonts w:hint="eastAsia" w:ascii="Times New Roman" w:hAnsi="Times New Roman" w:eastAsia="宋体" w:cs="Times New Roman"/>
                <w:color w:val="auto"/>
                <w:kern w:val="2"/>
                <w:sz w:val="24"/>
                <w:szCs w:val="24"/>
                <w:highlight w:val="none"/>
                <w:lang w:val="en-US" w:eastAsia="zh-CN" w:bidi="ar-SA"/>
              </w:rPr>
              <w:t>1）排放，废气排放满足《锅炉大气污染物排放标准》（GB13271-2014）表2大气污染物排放限值要求；筛分过程产生的粉尘分别经集气罩收集由布袋除尘器处理后由1根15米高排气筒排放，产生的有组织及无组织颗粒物可以满足《大气污染物综合排放标准》（GB 16297-1996）；本项目浸出车间浸出工段采用正己烷，产生有机废气，以非甲烷总烃计，大豆油及米糠油浸出工段均设置集气罩，通过密闭管道连接对应设备的冷凝器，将有机废气冷凝成液态通过密闭管道回流到浸出工段，各冷凝器安装集气管线，经冷凝器+石蜡回收塔处理后废气统一由20m高排气筒（</w:t>
            </w:r>
            <w:r>
              <w:rPr>
                <w:rFonts w:hint="eastAsia"/>
                <w:color w:val="auto"/>
                <w:sz w:val="24"/>
                <w:lang w:val="en-US" w:eastAsia="zh-CN"/>
              </w:rPr>
              <w:t>DA00</w:t>
            </w:r>
            <w:r>
              <w:rPr>
                <w:rFonts w:hint="eastAsia" w:ascii="Times New Roman" w:hAnsi="Times New Roman" w:eastAsia="宋体" w:cs="Times New Roman"/>
                <w:color w:val="auto"/>
                <w:kern w:val="2"/>
                <w:sz w:val="24"/>
                <w:szCs w:val="24"/>
                <w:highlight w:val="none"/>
                <w:lang w:val="en-US" w:eastAsia="zh-CN" w:bidi="ar-SA"/>
              </w:rPr>
              <w:t>3）排放，产生的有组织及无组织非甲烷总烃可以满足《大气污染物综合排放标准》（GB 16297-1996）要求，厂区内厂房外非甲烷总烃可以满足《挥发性有机物无组织排放控制标准》GB 37822-2019）；污水处理站恶臭经活性炭吸附后由15m高排气筒排放，产生得有组织及无组织恶臭满足《恶臭污染物排放标准》（GB14554-93）要求，活性炭每三个月更换一次；烘干过程产生的粉尘分别经集气罩收集由布袋除尘器处理后由1根15米高排气筒排放，产生的有组织及无组织颗粒物可以满足《大气污染物综合排放标准》（GB 16297-1996）。本项目的固体废物经妥善处理，对环境影响很小。本项目500米范围内无环境敏感目标，经采取本报告中各项措施后，本项目对其及周围环境敏感目标影响较小。</w:t>
            </w:r>
          </w:p>
          <w:p w14:paraId="7A3E2B04">
            <w:pPr>
              <w:pStyle w:val="135"/>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综上，本项目从环保角度考虑选址合理。</w:t>
            </w:r>
          </w:p>
          <w:p w14:paraId="6DD5358C">
            <w:pPr>
              <w:autoSpaceDE w:val="0"/>
              <w:autoSpaceDN w:val="0"/>
              <w:adjustRightInd w:val="0"/>
              <w:spacing w:line="360" w:lineRule="auto"/>
              <w:rPr>
                <w:rFonts w:eastAsia="黑体"/>
                <w:bCs/>
                <w:color w:val="auto"/>
                <w:kern w:val="0"/>
                <w:sz w:val="28"/>
                <w:szCs w:val="28"/>
              </w:rPr>
            </w:pPr>
            <w:r>
              <w:rPr>
                <w:rFonts w:hint="eastAsia" w:eastAsia="黑体"/>
                <w:bCs/>
                <w:color w:val="auto"/>
                <w:kern w:val="0"/>
                <w:sz w:val="28"/>
                <w:szCs w:val="28"/>
                <w:lang w:val="en-US" w:eastAsia="zh-CN"/>
              </w:rPr>
              <w:t>四</w:t>
            </w:r>
            <w:r>
              <w:rPr>
                <w:rFonts w:eastAsia="黑体"/>
                <w:bCs/>
                <w:color w:val="auto"/>
                <w:kern w:val="0"/>
                <w:sz w:val="28"/>
                <w:szCs w:val="28"/>
              </w:rPr>
              <w:t>、“</w:t>
            </w:r>
            <w:r>
              <w:rPr>
                <w:rFonts w:hint="eastAsia" w:eastAsia="黑体"/>
                <w:bCs/>
                <w:color w:val="auto"/>
                <w:kern w:val="0"/>
                <w:sz w:val="28"/>
                <w:szCs w:val="28"/>
                <w:lang w:val="en-US" w:eastAsia="zh-CN"/>
              </w:rPr>
              <w:t>生态环境分区管控</w:t>
            </w:r>
            <w:r>
              <w:rPr>
                <w:rFonts w:eastAsia="黑体"/>
                <w:bCs/>
                <w:color w:val="auto"/>
                <w:kern w:val="0"/>
                <w:sz w:val="28"/>
                <w:szCs w:val="28"/>
              </w:rPr>
              <w:t>”符合性分析</w:t>
            </w:r>
          </w:p>
          <w:p w14:paraId="47539443">
            <w:pPr>
              <w:spacing w:line="360" w:lineRule="auto"/>
              <w:ind w:firstLine="480" w:firstLineChars="200"/>
              <w:rPr>
                <w:color w:val="auto"/>
                <w:sz w:val="24"/>
              </w:rPr>
            </w:pPr>
            <w:r>
              <w:rPr>
                <w:rFonts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szCs w:val="24"/>
                <w:highlight w:val="none"/>
                <w:vertAlign w:val="baseline"/>
                <w:lang w:val="en-US" w:eastAsia="zh-CN"/>
              </w:rPr>
              <w:t>《佳木斯市生态环境准入清单（2023年版）》</w:t>
            </w:r>
            <w:r>
              <w:rPr>
                <w:rFonts w:hint="eastAsia" w:cs="Times New Roman"/>
                <w:color w:val="auto"/>
                <w:sz w:val="24"/>
                <w:szCs w:val="24"/>
                <w:highlight w:val="none"/>
                <w:lang w:val="en-US" w:eastAsia="zh-CN"/>
              </w:rPr>
              <w:t>及黑</w:t>
            </w:r>
            <w:r>
              <w:rPr>
                <w:rFonts w:hint="eastAsia" w:ascii="Times New Roman" w:hAnsi="Times New Roman" w:eastAsia="宋体" w:cs="Times New Roman"/>
                <w:color w:val="auto"/>
                <w:sz w:val="24"/>
                <w:szCs w:val="24"/>
                <w:highlight w:val="none"/>
                <w:lang w:val="en-US" w:eastAsia="zh-CN"/>
              </w:rPr>
              <w:t>龙江省生态环境分区管控数据应用平台</w:t>
            </w:r>
            <w:r>
              <w:rPr>
                <w:rFonts w:hint="eastAsia" w:ascii="Times New Roman" w:hAnsi="Times New Roman" w:eastAsia="宋体" w:cs="Times New Roman"/>
                <w:color w:val="auto"/>
                <w:sz w:val="24"/>
                <w:highlight w:val="none"/>
              </w:rPr>
              <w:t>，本项目</w:t>
            </w:r>
            <w:r>
              <w:rPr>
                <w:rFonts w:hint="default" w:ascii="Times New Roman" w:hAnsi="Times New Roman" w:eastAsia="宋体" w:cs="Times New Roman"/>
                <w:color w:val="auto"/>
                <w:kern w:val="0"/>
                <w:sz w:val="24"/>
                <w:szCs w:val="24"/>
                <w:highlight w:val="none"/>
                <w:lang w:val="en-US" w:eastAsia="zh-CN" w:bidi="ar"/>
              </w:rPr>
              <w:t>位于黑龙江省佳木斯市桦南县双果路与龙兴街交叉口西南侧</w:t>
            </w:r>
            <w:r>
              <w:rPr>
                <w:rFonts w:hint="eastAsia" w:ascii="Times New Roman" w:hAnsi="Times New Roman" w:eastAsia="宋体" w:cs="Times New Roman"/>
                <w:color w:val="auto"/>
                <w:kern w:val="0"/>
                <w:sz w:val="24"/>
                <w:szCs w:val="24"/>
                <w:highlight w:val="none"/>
                <w:lang w:val="en-US" w:eastAsia="zh-CN" w:bidi="ar"/>
              </w:rPr>
              <w:t>，</w:t>
            </w:r>
            <w:r>
              <w:rPr>
                <w:rFonts w:hint="eastAsia" w:ascii="Times New Roman" w:hAnsi="Times New Roman" w:eastAsia="宋体" w:cs="Times New Roman"/>
                <w:color w:val="auto"/>
                <w:sz w:val="24"/>
                <w:highlight w:val="none"/>
              </w:rPr>
              <w:t>所在区域为</w:t>
            </w:r>
            <w:r>
              <w:rPr>
                <w:rFonts w:hint="eastAsia" w:ascii="Times New Roman" w:hAnsi="Times New Roman" w:eastAsia="宋体" w:cs="Times New Roman"/>
                <w:color w:val="auto"/>
                <w:sz w:val="24"/>
                <w:highlight w:val="none"/>
                <w:lang w:eastAsia="zh-CN"/>
              </w:rPr>
              <w:t>重点</w:t>
            </w:r>
            <w:r>
              <w:rPr>
                <w:rFonts w:hint="eastAsia" w:ascii="Times New Roman" w:hAnsi="Times New Roman" w:eastAsia="宋体" w:cs="Times New Roman"/>
                <w:color w:val="auto"/>
                <w:sz w:val="24"/>
                <w:highlight w:val="none"/>
              </w:rPr>
              <w:t>管控单元。</w:t>
            </w:r>
          </w:p>
          <w:p w14:paraId="4969E789">
            <w:pPr>
              <w:spacing w:line="360" w:lineRule="auto"/>
              <w:ind w:firstLine="480" w:firstLineChars="200"/>
              <w:rPr>
                <w:color w:val="auto"/>
                <w:sz w:val="24"/>
              </w:rPr>
            </w:pPr>
            <w:r>
              <w:rPr>
                <w:color w:val="auto"/>
                <w:sz w:val="24"/>
              </w:rPr>
              <w:t>1、生态保护红线符合性分析</w:t>
            </w:r>
          </w:p>
          <w:p w14:paraId="198951F4">
            <w:pPr>
              <w:overflowPunct w:val="0"/>
              <w:spacing w:line="360" w:lineRule="auto"/>
              <w:ind w:firstLine="480" w:firstLineChars="200"/>
              <w:rPr>
                <w:color w:val="auto"/>
                <w:sz w:val="24"/>
                <w:szCs w:val="20"/>
              </w:rPr>
            </w:pPr>
            <w:r>
              <w:rPr>
                <w:color w:val="auto"/>
                <w:sz w:val="24"/>
              </w:rPr>
              <w:t>本项目位于黑龙江省佳木斯市桦南县双果路与龙兴街交叉口西南侧，项目东侧和北侧是道路，南侧和西侧是工厂</w:t>
            </w:r>
            <w:r>
              <w:rPr>
                <w:rFonts w:hint="eastAsia"/>
                <w:color w:val="auto"/>
                <w:sz w:val="24"/>
              </w:rPr>
              <w:t>。本项目选址不位于</w:t>
            </w:r>
            <w:r>
              <w:rPr>
                <w:rFonts w:hint="eastAsia"/>
                <w:color w:val="auto"/>
                <w:sz w:val="24"/>
                <w:lang w:eastAsia="zh-CN"/>
              </w:rPr>
              <w:t>自然</w:t>
            </w:r>
            <w:r>
              <w:rPr>
                <w:color w:val="auto"/>
                <w:sz w:val="24"/>
              </w:rPr>
              <w:t>保护区、地质公园、风景名胜区、森林公园、水产种质资源保护区、饮用水水源保护区、湿地公园和一级国家级公益生态林等生态保护红线区域。根据桦南县“三区三线”划定成果</w:t>
            </w:r>
            <w:r>
              <w:rPr>
                <w:rFonts w:hint="eastAsia"/>
                <w:color w:val="auto"/>
                <w:sz w:val="24"/>
              </w:rPr>
              <w:t>，本项目不属于生态保护红线范围内，</w:t>
            </w:r>
            <w:r>
              <w:rPr>
                <w:color w:val="auto"/>
                <w:sz w:val="24"/>
              </w:rPr>
              <w:t>本项目选址符合“三线一单”中生态保护红线的相关要求。</w:t>
            </w:r>
          </w:p>
          <w:p w14:paraId="468D7FDD">
            <w:pPr>
              <w:numPr>
                <w:ilvl w:val="0"/>
                <w:numId w:val="0"/>
              </w:numPr>
              <w:spacing w:line="360" w:lineRule="auto"/>
              <w:rPr>
                <w:rFonts w:hint="eastAsia" w:eastAsia="宋体"/>
                <w:color w:val="auto"/>
                <w:kern w:val="0"/>
                <w:sz w:val="24"/>
                <w:lang w:eastAsia="zh-CN"/>
              </w:rPr>
            </w:pPr>
            <w:r>
              <w:rPr>
                <w:sz w:val="24"/>
              </w:rPr>
              <mc:AlternateContent>
                <mc:Choice Requires="wps">
                  <w:drawing>
                    <wp:anchor distT="0" distB="0" distL="114300" distR="114300" simplePos="0" relativeHeight="251696128" behindDoc="0" locked="0" layoutInCell="1" allowOverlap="1">
                      <wp:simplePos x="0" y="0"/>
                      <wp:positionH relativeFrom="column">
                        <wp:posOffset>267335</wp:posOffset>
                      </wp:positionH>
                      <wp:positionV relativeFrom="paragraph">
                        <wp:posOffset>2373630</wp:posOffset>
                      </wp:positionV>
                      <wp:extent cx="509270" cy="273685"/>
                      <wp:effectExtent l="0" t="0" r="0" b="0"/>
                      <wp:wrapNone/>
                      <wp:docPr id="13" name="文本框 13"/>
                      <wp:cNvGraphicFramePr/>
                      <a:graphic xmlns:a="http://schemas.openxmlformats.org/drawingml/2006/main">
                        <a:graphicData uri="http://schemas.microsoft.com/office/word/2010/wordprocessingShape">
                          <wps:wsp>
                            <wps:cNvSpPr txBox="1"/>
                            <wps:spPr>
                              <a:xfrm>
                                <a:off x="1680210" y="8815070"/>
                                <a:ext cx="509270" cy="273685"/>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12B67421">
                                  <w:pPr>
                                    <w:rPr>
                                      <w:rFonts w:hint="default" w:eastAsia="宋体"/>
                                      <w:sz w:val="13"/>
                                      <w:szCs w:val="13"/>
                                      <w:lang w:val="en-US" w:eastAsia="zh-CN"/>
                                    </w:rPr>
                                  </w:pPr>
                                  <w:r>
                                    <w:rPr>
                                      <w:rFonts w:hint="eastAsia"/>
                                      <w:sz w:val="13"/>
                                      <w:szCs w:val="13"/>
                                      <w:lang w:val="en-US" w:eastAsia="zh-CN"/>
                                    </w:rPr>
                                    <w:t>3500m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5pt;margin-top:186.9pt;height:21.55pt;width:40.1pt;z-index:251696128;mso-width-relative:page;mso-height-relative:page;" filled="f" stroked="f" coordsize="21600,21600" o:gfxdata="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&#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A7YDh02gAAAAoBAAAPAAAAAAAAAAEAIAAAACIAAABk&#10;cnMvZG93bnJldi54bWxQSwECFAAUAAAACACHTuJA5SKRl68CAABbBQAADgAAAAAAAAABACAAAAAp&#10;AQAAZHJzL2Uyb0RvYy54bWxQSwUGAAAAAAYABgBZAQAASgYAAAAA&#10;">
                      <v:fill on="f" focussize="0,0"/>
                      <v:stroke on="f" weight="0.5pt"/>
                      <v:imagedata o:title=""/>
                      <o:lock v:ext="edit" aspectratio="f"/>
                      <v:textbox>
                        <w:txbxContent>
                          <w:p w14:paraId="12B67421">
                            <w:pPr>
                              <w:rPr>
                                <w:rFonts w:hint="default" w:eastAsia="宋体"/>
                                <w:sz w:val="13"/>
                                <w:szCs w:val="13"/>
                                <w:lang w:val="en-US" w:eastAsia="zh-CN"/>
                              </w:rPr>
                            </w:pPr>
                            <w:r>
                              <w:rPr>
                                <w:rFonts w:hint="eastAsia"/>
                                <w:sz w:val="13"/>
                                <w:szCs w:val="13"/>
                                <w:lang w:val="en-US" w:eastAsia="zh-CN"/>
                              </w:rPr>
                              <w:t>3500m</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287655</wp:posOffset>
                      </wp:positionH>
                      <wp:positionV relativeFrom="paragraph">
                        <wp:posOffset>2439670</wp:posOffset>
                      </wp:positionV>
                      <wp:extent cx="426720" cy="4445"/>
                      <wp:effectExtent l="0" t="12700" r="11430" b="20955"/>
                      <wp:wrapNone/>
                      <wp:docPr id="4" name="直接连接符 4"/>
                      <wp:cNvGraphicFramePr/>
                      <a:graphic xmlns:a="http://schemas.openxmlformats.org/drawingml/2006/main">
                        <a:graphicData uri="http://schemas.microsoft.com/office/word/2010/wordprocessingShape">
                          <wps:wsp>
                            <wps:cNvCnPr/>
                            <wps:spPr>
                              <a:xfrm>
                                <a:off x="2466975" y="7941310"/>
                                <a:ext cx="426720" cy="444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2.65pt;margin-top:192.1pt;height:0.35pt;width:33.6pt;z-index:251695104;mso-width-relative:page;mso-height-relative:page;" filled="f" stroked="t" coordsize="21600,21600" o:gfxdata="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PpP0&#10;W9YAAAAKAQAADwAAAAAAAAABACAAAAAiAAAAZHJzL2Rvd25yZXYueG1sUEsBAhQAFAAAAAgAh07i&#10;QFAtU3vrAQAAqQMAAA4AAAAAAAAAAQAgAAAAJQEAAGRycy9lMm9Eb2MueG1sUEsFBgAAAAAGAAYA&#10;WQEAAIIFAAAAAA==&#10;">
                      <v:fill on="f" focussize="0,0"/>
                      <v:stroke weight="2pt" color="#4F81BD [3204]" joinstyle="round"/>
                      <v:imagedata o:title=""/>
                      <o:lock v:ext="edit" aspectratio="f"/>
                    </v:line>
                  </w:pict>
                </mc:Fallback>
              </mc:AlternateContent>
            </w: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1865630</wp:posOffset>
                      </wp:positionH>
                      <wp:positionV relativeFrom="paragraph">
                        <wp:posOffset>1861185</wp:posOffset>
                      </wp:positionV>
                      <wp:extent cx="697865" cy="292100"/>
                      <wp:effectExtent l="4445" t="4445" r="21590" b="8255"/>
                      <wp:wrapNone/>
                      <wp:docPr id="11" name="文本框 11"/>
                      <wp:cNvGraphicFramePr/>
                      <a:graphic xmlns:a="http://schemas.openxmlformats.org/drawingml/2006/main">
                        <a:graphicData uri="http://schemas.microsoft.com/office/word/2010/wordprocessingShape">
                          <wps:wsp>
                            <wps:cNvSpPr txBox="1"/>
                            <wps:spPr>
                              <a:xfrm>
                                <a:off x="4180205" y="7400925"/>
                                <a:ext cx="697865" cy="292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413386E">
                                  <w:pPr>
                                    <w:rPr>
                                      <w:rFonts w:hint="default" w:eastAsia="宋体"/>
                                      <w:lang w:val="en-US" w:eastAsia="zh-CN"/>
                                    </w:rPr>
                                  </w:pPr>
                                  <w:r>
                                    <w:rPr>
                                      <w:rFonts w:hint="eastAsia"/>
                                      <w:sz w:val="18"/>
                                      <w:szCs w:val="18"/>
                                      <w:lang w:val="en-US" w:eastAsia="zh-CN"/>
                                    </w:rPr>
                                    <w:t>项目位</w:t>
                                  </w:r>
                                  <w:r>
                                    <w:rPr>
                                      <w:rFonts w:hint="eastAsia" w:ascii="Times New Roman" w:hAnsi="Times New Roman" w:eastAsia="宋体" w:cs="Times New Roman"/>
                                      <w:sz w:val="18"/>
                                      <w:szCs w:val="18"/>
                                      <w:lang w:val="en-US" w:eastAsia="zh-CN"/>
                                    </w:rPr>
                                    <w:t>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9pt;margin-top:146.55pt;height:23pt;width:54.95pt;z-index:251660288;mso-width-relative:page;mso-height-relative:page;" fillcolor="#FFFFFF [3201]" filled="t" stroked="t" coordsize="21600,21600" o:gfxdata="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F0bZ/jYAAAACwEAAA8AAAAAAAAAAQAgAAAAIgAAAGRycy9kb3ducmV2LnhtbFBLAQIU&#10;ABQAAAAIAIdO4kBeHlBvZQIAAMQEAAAOAAAAAAAAAAEAIAAAACcBAABkcnMvZTJvRG9jLnhtbFBL&#10;BQYAAAAABgAGAFkBAAD+BQAAAAA=&#10;">
                      <v:fill on="t" focussize="0,0"/>
                      <v:stroke weight="0.5pt" color="#000000 [3204]" joinstyle="round"/>
                      <v:imagedata o:title=""/>
                      <o:lock v:ext="edit" aspectratio="f"/>
                      <v:textbox>
                        <w:txbxContent>
                          <w:p w14:paraId="2413386E">
                            <w:pPr>
                              <w:rPr>
                                <w:rFonts w:hint="default" w:eastAsia="宋体"/>
                                <w:lang w:val="en-US" w:eastAsia="zh-CN"/>
                              </w:rPr>
                            </w:pPr>
                            <w:r>
                              <w:rPr>
                                <w:rFonts w:hint="eastAsia"/>
                                <w:sz w:val="18"/>
                                <w:szCs w:val="18"/>
                                <w:lang w:val="en-US" w:eastAsia="zh-CN"/>
                              </w:rPr>
                              <w:t>项目位</w:t>
                            </w:r>
                            <w:r>
                              <w:rPr>
                                <w:rFonts w:hint="eastAsia" w:ascii="Times New Roman" w:hAnsi="Times New Roman" w:eastAsia="宋体" w:cs="Times New Roman"/>
                                <w:sz w:val="18"/>
                                <w:szCs w:val="18"/>
                                <w:lang w:val="en-US" w:eastAsia="zh-CN"/>
                              </w:rPr>
                              <w:t>置</w:t>
                            </w:r>
                          </w:p>
                        </w:txbxContent>
                      </v:textbox>
                    </v:shape>
                  </w:pict>
                </mc:Fallback>
              </mc:AlternateContent>
            </w:r>
            <w:r>
              <w:rPr>
                <w:color w:val="auto"/>
                <w:sz w:val="24"/>
              </w:rPr>
              <mc:AlternateContent>
                <mc:Choice Requires="wps">
                  <w:drawing>
                    <wp:anchor distT="0" distB="0" distL="114300" distR="114300" simplePos="0" relativeHeight="251659264" behindDoc="0" locked="0" layoutInCell="1" allowOverlap="1">
                      <wp:simplePos x="0" y="0"/>
                      <wp:positionH relativeFrom="column">
                        <wp:posOffset>1621790</wp:posOffset>
                      </wp:positionH>
                      <wp:positionV relativeFrom="paragraph">
                        <wp:posOffset>1925955</wp:posOffset>
                      </wp:positionV>
                      <wp:extent cx="151765" cy="151765"/>
                      <wp:effectExtent l="12700" t="12700" r="26035" b="26035"/>
                      <wp:wrapNone/>
                      <wp:docPr id="8" name="椭圆 8"/>
                      <wp:cNvGraphicFramePr/>
                      <a:graphic xmlns:a="http://schemas.openxmlformats.org/drawingml/2006/main">
                        <a:graphicData uri="http://schemas.microsoft.com/office/word/2010/wordprocessingShape">
                          <wps:wsp>
                            <wps:cNvSpPr/>
                            <wps:spPr>
                              <a:xfrm>
                                <a:off x="4402455" y="7667625"/>
                                <a:ext cx="151765" cy="1517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7.7pt;margin-top:151.65pt;height:11.95pt;width:11.95pt;z-index:251659264;v-text-anchor:middle;mso-width-relative:page;mso-height-relative:page;" fillcolor="#FF0000" filled="t" stroked="t" coordsize="21600,21600" o:gfxdata="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lsKj9cAAAALAQAADwAAAAAAAAABACAAAAAiAAAAZHJzL2Rvd25yZXYueG1s&#10;UEsBAhQAFAAAAAgAh07iQEiYd9JrAgAA6wQAAA4AAAAAAAAAAQAgAAAAJgEAAGRycy9lMm9Eb2Mu&#10;eG1sUEsFBgAAAAAGAAYAWQEAAAMGAAAAAA==&#10;">
                      <v:fill on="t" focussize="0,0"/>
                      <v:stroke weight="2pt" color="#FF0000 [2404]" joinstyle="round"/>
                      <v:imagedata o:title=""/>
                      <o:lock v:ext="edit" aspectratio="f"/>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12065</wp:posOffset>
                      </wp:positionH>
                      <wp:positionV relativeFrom="paragraph">
                        <wp:posOffset>48260</wp:posOffset>
                      </wp:positionV>
                      <wp:extent cx="640080" cy="729615"/>
                      <wp:effectExtent l="4445" t="4445" r="22225" b="8890"/>
                      <wp:wrapNone/>
                      <wp:docPr id="1" name="文本框 1"/>
                      <wp:cNvGraphicFramePr/>
                      <a:graphic xmlns:a="http://schemas.openxmlformats.org/drawingml/2006/main">
                        <a:graphicData uri="http://schemas.microsoft.com/office/word/2010/wordprocessingShape">
                          <wps:wsp>
                            <wps:cNvSpPr txBox="1"/>
                            <wps:spPr>
                              <a:xfrm>
                                <a:off x="1250950" y="774700"/>
                                <a:ext cx="640080" cy="7296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72D73A">
                                  <w:r>
                                    <w:rPr>
                                      <w:rFonts w:ascii="宋体" w:hAnsi="宋体" w:eastAsia="宋体" w:cs="宋体"/>
                                      <w:sz w:val="24"/>
                                      <w:szCs w:val="24"/>
                                    </w:rPr>
                                    <w:drawing>
                                      <wp:inline distT="0" distB="0" distL="114300" distR="114300">
                                        <wp:extent cx="417830" cy="555625"/>
                                        <wp:effectExtent l="0" t="0" r="1270" b="15875"/>
                                        <wp:docPr id="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IMG_256"/>
                                                <pic:cNvPicPr>
                                                  <a:picLocks noChangeAspect="1"/>
                                                </pic:cNvPicPr>
                                              </pic:nvPicPr>
                                              <pic:blipFill>
                                                <a:blip r:embed="rId10"/>
                                                <a:stretch>
                                                  <a:fillRect/>
                                                </a:stretch>
                                              </pic:blipFill>
                                              <pic:spPr>
                                                <a:xfrm>
                                                  <a:off x="0" y="0"/>
                                                  <a:ext cx="417830" cy="555625"/>
                                                </a:xfrm>
                                                <a:prstGeom prst="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95pt;margin-top:3.8pt;height:57.45pt;width:50.4pt;z-index:251694080;mso-width-relative:page;mso-height-relative:page;" fillcolor="#FFFFFF [3201]" filled="t" stroked="t" coordsize="21600,21600" o:gfxdata="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1B059MA&#10;AAAHAQAADwAAAAAAAAABACAAAAAiAAAAZHJzL2Rvd25yZXYueG1sUEsBAhQAFAAAAAgAh07iQG0J&#10;APtdAgAAwQQAAA4AAAAAAAAAAQAgAAAAIgEAAGRycy9lMm9Eb2MueG1sUEsFBgAAAAAGAAYAWQEA&#10;APEFAAAAAA==&#10;">
                      <v:fill on="t" focussize="0,0"/>
                      <v:stroke weight="0.5pt" color="#000000 [3204]" joinstyle="round"/>
                      <v:imagedata o:title=""/>
                      <o:lock v:ext="edit" aspectratio="f"/>
                      <v:textbox>
                        <w:txbxContent>
                          <w:p w14:paraId="4572D73A">
                            <w:r>
                              <w:rPr>
                                <w:rFonts w:ascii="宋体" w:hAnsi="宋体" w:eastAsia="宋体" w:cs="宋体"/>
                                <w:sz w:val="24"/>
                                <w:szCs w:val="24"/>
                              </w:rPr>
                              <w:drawing>
                                <wp:inline distT="0" distB="0" distL="114300" distR="114300">
                                  <wp:extent cx="417830" cy="555625"/>
                                  <wp:effectExtent l="0" t="0" r="1270" b="15875"/>
                                  <wp:docPr id="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IMG_256"/>
                                          <pic:cNvPicPr>
                                            <a:picLocks noChangeAspect="1"/>
                                          </pic:cNvPicPr>
                                        </pic:nvPicPr>
                                        <pic:blipFill>
                                          <a:blip r:embed="rId10"/>
                                          <a:stretch>
                                            <a:fillRect/>
                                          </a:stretch>
                                        </pic:blipFill>
                                        <pic:spPr>
                                          <a:xfrm>
                                            <a:off x="0" y="0"/>
                                            <a:ext cx="417830" cy="555625"/>
                                          </a:xfrm>
                                          <a:prstGeom prst="rect">
                                            <a:avLst/>
                                          </a:prstGeom>
                                          <a:noFill/>
                                          <a:ln w="9525">
                                            <a:noFill/>
                                          </a:ln>
                                        </pic:spPr>
                                      </pic:pic>
                                    </a:graphicData>
                                  </a:graphic>
                                </wp:inline>
                              </w:drawing>
                            </w:r>
                          </w:p>
                        </w:txbxContent>
                      </v:textbox>
                    </v:shape>
                  </w:pict>
                </mc:Fallback>
              </mc:AlternateContent>
            </w:r>
            <w:r>
              <w:rPr>
                <w:rFonts w:hint="default"/>
                <w:color w:val="auto"/>
                <w:highlight w:val="none"/>
              </w:rPr>
              <w:drawing>
                <wp:inline distT="0" distB="0" distL="114300" distR="114300">
                  <wp:extent cx="4984115" cy="2785110"/>
                  <wp:effectExtent l="0" t="0" r="6985" b="15240"/>
                  <wp:docPr id="1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0"/>
                          <pic:cNvPicPr>
                            <a:picLocks noChangeAspect="1"/>
                          </pic:cNvPicPr>
                        </pic:nvPicPr>
                        <pic:blipFill>
                          <a:blip r:embed="rId11"/>
                          <a:stretch>
                            <a:fillRect/>
                          </a:stretch>
                        </pic:blipFill>
                        <pic:spPr>
                          <a:xfrm>
                            <a:off x="0" y="0"/>
                            <a:ext cx="4984115" cy="2785110"/>
                          </a:xfrm>
                          <a:prstGeom prst="rect">
                            <a:avLst/>
                          </a:prstGeom>
                          <a:noFill/>
                          <a:ln>
                            <a:noFill/>
                          </a:ln>
                        </pic:spPr>
                      </pic:pic>
                    </a:graphicData>
                  </a:graphic>
                </wp:inline>
              </w:drawing>
            </w:r>
          </w:p>
          <w:p w14:paraId="3081BEAA">
            <w:pPr>
              <w:overflowPunct w:val="0"/>
              <w:spacing w:line="360" w:lineRule="auto"/>
              <w:ind w:firstLine="480" w:firstLineChars="200"/>
              <w:jc w:val="center"/>
              <w:rPr>
                <w:color w:val="auto"/>
                <w:kern w:val="0"/>
                <w:sz w:val="24"/>
              </w:rPr>
            </w:pPr>
            <w:r>
              <w:rPr>
                <w:rFonts w:hint="eastAsia" w:eastAsia="黑体"/>
                <w:bCs/>
                <w:snapToGrid w:val="0"/>
                <w:color w:val="auto"/>
                <w:kern w:val="0"/>
                <w:sz w:val="24"/>
                <w:lang w:val="en-US" w:eastAsia="zh-CN"/>
              </w:rPr>
              <w:t>图1-1 本项目生态红线位置关系图</w:t>
            </w:r>
          </w:p>
          <w:p w14:paraId="49EEB9CA">
            <w:pPr>
              <w:numPr>
                <w:ilvl w:val="0"/>
                <w:numId w:val="5"/>
              </w:numPr>
              <w:spacing w:line="360" w:lineRule="auto"/>
              <w:ind w:firstLine="480" w:firstLineChars="200"/>
              <w:rPr>
                <w:color w:val="auto"/>
                <w:kern w:val="0"/>
                <w:sz w:val="24"/>
              </w:rPr>
            </w:pPr>
            <w:r>
              <w:rPr>
                <w:color w:val="auto"/>
                <w:sz w:val="24"/>
              </w:rPr>
              <w:t>环境质量底线符合性分析</w:t>
            </w:r>
          </w:p>
          <w:p w14:paraId="0FC74791">
            <w:pPr>
              <w:spacing w:line="360" w:lineRule="auto"/>
              <w:ind w:firstLine="480" w:firstLineChars="200"/>
              <w:rPr>
                <w:color w:val="auto"/>
                <w:kern w:val="0"/>
                <w:sz w:val="24"/>
              </w:rPr>
            </w:pPr>
            <w:r>
              <w:rPr>
                <w:color w:val="auto"/>
                <w:kern w:val="0"/>
                <w:sz w:val="24"/>
              </w:rPr>
              <w:t>根据《202</w:t>
            </w:r>
            <w:r>
              <w:rPr>
                <w:rFonts w:hint="eastAsia"/>
                <w:color w:val="auto"/>
                <w:kern w:val="0"/>
                <w:sz w:val="24"/>
                <w:lang w:val="en-US" w:eastAsia="zh-CN"/>
              </w:rPr>
              <w:t>3</w:t>
            </w:r>
            <w:r>
              <w:rPr>
                <w:color w:val="auto"/>
                <w:kern w:val="0"/>
                <w:sz w:val="24"/>
              </w:rPr>
              <w:t>年佳木斯市环境质量简报》，202</w:t>
            </w:r>
            <w:r>
              <w:rPr>
                <w:rFonts w:hint="eastAsia"/>
                <w:color w:val="auto"/>
                <w:kern w:val="0"/>
                <w:sz w:val="24"/>
                <w:lang w:val="en-US" w:eastAsia="zh-CN"/>
              </w:rPr>
              <w:t>3</w:t>
            </w:r>
            <w:r>
              <w:rPr>
                <w:color w:val="auto"/>
                <w:kern w:val="0"/>
                <w:sz w:val="24"/>
              </w:rPr>
              <w:t>年，</w:t>
            </w:r>
            <w:r>
              <w:rPr>
                <w:rFonts w:hint="default"/>
                <w:color w:val="auto"/>
                <w:kern w:val="0"/>
                <w:sz w:val="24"/>
                <w:lang w:val="en-US" w:eastAsia="zh-CN"/>
              </w:rPr>
              <w:t>佳木斯市各项污染物平均浓度均达二级标准，PM</w:t>
            </w:r>
            <w:r>
              <w:rPr>
                <w:rFonts w:hint="default"/>
                <w:color w:val="auto"/>
                <w:kern w:val="0"/>
                <w:sz w:val="24"/>
                <w:vertAlign w:val="subscript"/>
                <w:lang w:val="en-US" w:eastAsia="zh-CN"/>
              </w:rPr>
              <w:t>2.5</w:t>
            </w:r>
            <w:r>
              <w:rPr>
                <w:rFonts w:hint="default"/>
                <w:color w:val="auto"/>
                <w:kern w:val="0"/>
                <w:sz w:val="24"/>
                <w:lang w:val="en-US" w:eastAsia="zh-CN"/>
              </w:rPr>
              <w:t>、PM</w:t>
            </w:r>
            <w:r>
              <w:rPr>
                <w:rFonts w:hint="default"/>
                <w:color w:val="auto"/>
                <w:kern w:val="0"/>
                <w:sz w:val="24"/>
                <w:vertAlign w:val="subscript"/>
                <w:lang w:val="en-US" w:eastAsia="zh-CN"/>
              </w:rPr>
              <w:t>10</w:t>
            </w:r>
            <w:r>
              <w:rPr>
                <w:rFonts w:hint="default"/>
                <w:color w:val="auto"/>
                <w:kern w:val="0"/>
                <w:sz w:val="24"/>
                <w:lang w:val="en-US" w:eastAsia="zh-CN"/>
              </w:rPr>
              <w:t>、SO</w:t>
            </w:r>
            <w:r>
              <w:rPr>
                <w:rFonts w:hint="default"/>
                <w:color w:val="auto"/>
                <w:kern w:val="0"/>
                <w:sz w:val="24"/>
                <w:vertAlign w:val="subscript"/>
                <w:lang w:val="en-US" w:eastAsia="zh-CN"/>
              </w:rPr>
              <w:t>2</w:t>
            </w:r>
            <w:r>
              <w:rPr>
                <w:rFonts w:hint="default"/>
                <w:color w:val="auto"/>
                <w:kern w:val="0"/>
                <w:sz w:val="24"/>
                <w:lang w:val="en-US" w:eastAsia="zh-CN"/>
              </w:rPr>
              <w:t>、NO</w:t>
            </w:r>
            <w:r>
              <w:rPr>
                <w:rFonts w:hint="default"/>
                <w:color w:val="auto"/>
                <w:kern w:val="0"/>
                <w:sz w:val="24"/>
                <w:vertAlign w:val="subscript"/>
                <w:lang w:val="en-US" w:eastAsia="zh-CN"/>
              </w:rPr>
              <w:t>2</w:t>
            </w:r>
            <w:r>
              <w:rPr>
                <w:rFonts w:hint="default"/>
                <w:color w:val="auto"/>
                <w:kern w:val="0"/>
                <w:sz w:val="24"/>
                <w:lang w:val="en-US" w:eastAsia="zh-CN"/>
              </w:rPr>
              <w:t>、CO和O</w:t>
            </w:r>
            <w:r>
              <w:rPr>
                <w:rFonts w:hint="default"/>
                <w:color w:val="auto"/>
                <w:kern w:val="0"/>
                <w:sz w:val="24"/>
                <w:vertAlign w:val="subscript"/>
                <w:lang w:val="en-US" w:eastAsia="zh-CN"/>
              </w:rPr>
              <w:t>3</w:t>
            </w:r>
            <w:r>
              <w:rPr>
                <w:rFonts w:hint="default"/>
                <w:color w:val="auto"/>
                <w:kern w:val="0"/>
                <w:sz w:val="24"/>
                <w:lang w:val="en-US" w:eastAsia="zh-CN"/>
              </w:rPr>
              <w:t>-8h 平均浓度分别为27μg/m</w:t>
            </w:r>
            <w:r>
              <w:rPr>
                <w:rFonts w:hint="default"/>
                <w:color w:val="auto"/>
                <w:kern w:val="0"/>
                <w:sz w:val="24"/>
                <w:vertAlign w:val="superscript"/>
                <w:lang w:val="en-US" w:eastAsia="zh-CN"/>
              </w:rPr>
              <w:t>3</w:t>
            </w:r>
            <w:r>
              <w:rPr>
                <w:rFonts w:hint="default"/>
                <w:color w:val="auto"/>
                <w:kern w:val="0"/>
                <w:sz w:val="24"/>
                <w:lang w:val="en-US" w:eastAsia="zh-CN"/>
              </w:rPr>
              <w:t>、40μg/m</w:t>
            </w:r>
            <w:r>
              <w:rPr>
                <w:rFonts w:hint="default"/>
                <w:color w:val="auto"/>
                <w:kern w:val="0"/>
                <w:sz w:val="24"/>
                <w:vertAlign w:val="superscript"/>
                <w:lang w:val="en-US" w:eastAsia="zh-CN"/>
              </w:rPr>
              <w:t>3</w:t>
            </w:r>
            <w:r>
              <w:rPr>
                <w:rFonts w:hint="default"/>
                <w:color w:val="auto"/>
                <w:kern w:val="0"/>
                <w:sz w:val="24"/>
                <w:lang w:val="en-US" w:eastAsia="zh-CN"/>
              </w:rPr>
              <w:t>、6μg/m</w:t>
            </w:r>
            <w:r>
              <w:rPr>
                <w:rFonts w:hint="default"/>
                <w:color w:val="auto"/>
                <w:kern w:val="0"/>
                <w:sz w:val="24"/>
                <w:vertAlign w:val="superscript"/>
                <w:lang w:val="en-US" w:eastAsia="zh-CN"/>
              </w:rPr>
              <w:t>3</w:t>
            </w:r>
            <w:r>
              <w:rPr>
                <w:rFonts w:hint="default"/>
                <w:color w:val="auto"/>
                <w:kern w:val="0"/>
                <w:sz w:val="24"/>
                <w:lang w:val="en-US" w:eastAsia="zh-CN"/>
              </w:rPr>
              <w:t>、20μg/m</w:t>
            </w:r>
            <w:r>
              <w:rPr>
                <w:rFonts w:hint="default"/>
                <w:color w:val="auto"/>
                <w:kern w:val="0"/>
                <w:sz w:val="24"/>
                <w:vertAlign w:val="superscript"/>
                <w:lang w:val="en-US" w:eastAsia="zh-CN"/>
              </w:rPr>
              <w:t>3</w:t>
            </w:r>
            <w:r>
              <w:rPr>
                <w:rFonts w:hint="default"/>
                <w:color w:val="auto"/>
                <w:kern w:val="0"/>
                <w:sz w:val="24"/>
                <w:lang w:val="en-US" w:eastAsia="zh-CN"/>
              </w:rPr>
              <w:t>、0.8mg/m</w:t>
            </w:r>
            <w:r>
              <w:rPr>
                <w:rFonts w:hint="default"/>
                <w:color w:val="auto"/>
                <w:kern w:val="0"/>
                <w:sz w:val="24"/>
                <w:vertAlign w:val="superscript"/>
                <w:lang w:val="en-US" w:eastAsia="zh-CN"/>
              </w:rPr>
              <w:t>3</w:t>
            </w:r>
            <w:r>
              <w:rPr>
                <w:rFonts w:hint="default"/>
                <w:color w:val="auto"/>
                <w:kern w:val="0"/>
                <w:sz w:val="24"/>
                <w:lang w:val="en-US" w:eastAsia="zh-CN"/>
              </w:rPr>
              <w:t>和106μg/m</w:t>
            </w:r>
            <w:r>
              <w:rPr>
                <w:rFonts w:hint="default"/>
                <w:color w:val="auto"/>
                <w:kern w:val="0"/>
                <w:sz w:val="24"/>
                <w:vertAlign w:val="superscript"/>
                <w:lang w:val="en-US" w:eastAsia="zh-CN"/>
              </w:rPr>
              <w:t>3</w:t>
            </w:r>
            <w:r>
              <w:rPr>
                <w:rFonts w:hint="default"/>
                <w:color w:val="auto"/>
                <w:kern w:val="0"/>
                <w:sz w:val="24"/>
                <w:lang w:val="en-US" w:eastAsia="zh-CN"/>
              </w:rPr>
              <w:t>。各污染物平均浓度均优于《环境空气质量标准》（GB3095-2012）（2018年修改）中二级标准限值，属于达标区。</w:t>
            </w:r>
          </w:p>
          <w:p w14:paraId="7CB24277">
            <w:pPr>
              <w:spacing w:line="360" w:lineRule="auto"/>
              <w:ind w:firstLine="480" w:firstLineChars="200"/>
              <w:rPr>
                <w:rFonts w:hint="default"/>
                <w:color w:val="auto"/>
                <w:sz w:val="24"/>
              </w:rPr>
            </w:pPr>
            <w:r>
              <w:rPr>
                <w:rFonts w:hint="eastAsia"/>
                <w:color w:val="auto"/>
                <w:sz w:val="24"/>
                <w:lang w:val="en-US" w:eastAsia="zh-CN"/>
              </w:rPr>
              <w:t>根据《佳木斯市生态环境质量简报（2023年）》</w:t>
            </w:r>
            <w:r>
              <w:rPr>
                <w:rFonts w:hint="default"/>
                <w:color w:val="auto"/>
                <w:sz w:val="24"/>
              </w:rPr>
              <w:t>2023年，佳木斯市国、省控河流断面共12个，Ⅰ-Ⅲ类水质断面8个，比例为66.7%，同比持平，无劣Ⅴ类水质断面，总体水质状况为轻度污染。2023年，佳木斯市10个国家考核断面中，Ⅰ-Ⅲ类水质断面6个，比例为60.0%，同比持平。</w:t>
            </w:r>
          </w:p>
          <w:p w14:paraId="0D103182">
            <w:pPr>
              <w:spacing w:line="360" w:lineRule="auto"/>
              <w:ind w:firstLine="480" w:firstLineChars="200"/>
              <w:rPr>
                <w:rFonts w:hint="eastAsia"/>
                <w:color w:val="auto"/>
                <w:sz w:val="24"/>
                <w:lang w:val="en-US" w:eastAsia="zh-CN"/>
              </w:rPr>
            </w:pPr>
            <w:r>
              <w:rPr>
                <w:rFonts w:hint="default"/>
                <w:color w:val="auto"/>
                <w:sz w:val="24"/>
                <w:lang w:val="en-US" w:eastAsia="zh-CN"/>
              </w:rPr>
              <w:t>根据《建设项目环境影响报告表编制技术指南 （污染影响类）（试行）》中关于区域声环境质量现状中的要求，厂界外周边50米范围内存在声环境保护目标的建设项目，应监测保护目标声环境质量现状并评价达标情况，各点位应监测昼夜间噪声，监测时间不少于1天。本项目厂界外周边50米范围内无声环境保护目标</w:t>
            </w:r>
            <w:r>
              <w:rPr>
                <w:rFonts w:hint="eastAsia"/>
                <w:color w:val="auto"/>
                <w:sz w:val="24"/>
                <w:lang w:val="en-US" w:eastAsia="zh-CN"/>
              </w:rPr>
              <w:t>。</w:t>
            </w:r>
          </w:p>
          <w:p w14:paraId="607806F0">
            <w:pPr>
              <w:spacing w:line="360" w:lineRule="auto"/>
              <w:ind w:firstLine="480" w:firstLineChars="200"/>
              <w:rPr>
                <w:rFonts w:hint="default"/>
                <w:color w:val="auto"/>
                <w:sz w:val="24"/>
                <w:lang w:val="en-US" w:eastAsia="zh-CN"/>
              </w:rPr>
            </w:pPr>
            <w:r>
              <w:rPr>
                <w:rFonts w:hint="eastAsia"/>
                <w:color w:val="auto"/>
                <w:sz w:val="24"/>
                <w:lang w:val="zh-CN"/>
              </w:rPr>
              <w:t>本项目固废均得到</w:t>
            </w:r>
            <w:r>
              <w:rPr>
                <w:rFonts w:hint="eastAsia"/>
                <w:color w:val="auto"/>
                <w:sz w:val="24"/>
                <w:lang w:val="en-US" w:eastAsia="zh-CN"/>
              </w:rPr>
              <w:t>100%处置。</w:t>
            </w:r>
          </w:p>
          <w:p w14:paraId="66E9AF7D">
            <w:pPr>
              <w:spacing w:line="360" w:lineRule="auto"/>
              <w:ind w:firstLine="480" w:firstLineChars="200"/>
              <w:rPr>
                <w:rFonts w:hint="eastAsia"/>
                <w:color w:val="auto"/>
                <w:sz w:val="24"/>
              </w:rPr>
            </w:pPr>
            <w:r>
              <w:rPr>
                <w:rFonts w:hint="eastAsia"/>
                <w:color w:val="auto"/>
                <w:sz w:val="24"/>
              </w:rPr>
              <w:t>本项目锅炉配套</w:t>
            </w:r>
            <w:r>
              <w:rPr>
                <w:rFonts w:hint="eastAsia"/>
                <w:color w:val="auto"/>
                <w:sz w:val="24"/>
                <w:lang w:val="en-US" w:eastAsia="zh-CN"/>
              </w:rPr>
              <w:t>旋风除尘器+布袋除尘器</w:t>
            </w:r>
            <w:r>
              <w:rPr>
                <w:rFonts w:hint="eastAsia"/>
                <w:color w:val="auto"/>
                <w:sz w:val="24"/>
              </w:rPr>
              <w:t>，烘干工段建设集气装置并由布袋除尘器处理，本项目生活污水通过厂区管道排入市政排水管网，然后排入</w:t>
            </w:r>
            <w:r>
              <w:rPr>
                <w:rFonts w:hint="eastAsia"/>
                <w:color w:val="auto"/>
                <w:sz w:val="24"/>
                <w:lang w:eastAsia="zh-CN"/>
              </w:rPr>
              <w:t>桦南浦华净源水务有限公司（桦南县污水处理厂）；生产废水</w:t>
            </w:r>
            <w:r>
              <w:rPr>
                <w:rFonts w:hint="eastAsia"/>
                <w:color w:val="auto"/>
                <w:sz w:val="24"/>
                <w:lang w:val="en-US" w:eastAsia="zh-CN"/>
              </w:rPr>
              <w:t>经厂区内污水处理厂处理后排入</w:t>
            </w:r>
            <w:r>
              <w:rPr>
                <w:rFonts w:hint="eastAsia"/>
                <w:color w:val="auto"/>
                <w:sz w:val="24"/>
                <w:lang w:eastAsia="zh-CN"/>
              </w:rPr>
              <w:t>桦南浦华净源水务有限公司（桦南县污水处理厂）。</w:t>
            </w:r>
            <w:r>
              <w:rPr>
                <w:rFonts w:hint="eastAsia"/>
                <w:color w:val="auto"/>
                <w:sz w:val="24"/>
              </w:rPr>
              <w:t>本项目各类污染物的排放对周边的环境影响较小，不会改变项目所在区域的环境功能，本项目的建设不会突破周边环境质量底线。</w:t>
            </w:r>
          </w:p>
          <w:p w14:paraId="7794CC20">
            <w:pPr>
              <w:spacing w:line="360" w:lineRule="auto"/>
              <w:ind w:firstLine="480" w:firstLineChars="200"/>
              <w:rPr>
                <w:color w:val="auto"/>
                <w:sz w:val="24"/>
              </w:rPr>
            </w:pPr>
            <w:r>
              <w:rPr>
                <w:color w:val="auto"/>
                <w:sz w:val="24"/>
              </w:rPr>
              <w:t>3、资源利用上线符合性分析</w:t>
            </w:r>
          </w:p>
          <w:p w14:paraId="6B5A09A4">
            <w:pPr>
              <w:spacing w:line="360" w:lineRule="auto"/>
              <w:ind w:firstLine="480" w:firstLineChars="200"/>
              <w:rPr>
                <w:color w:val="auto"/>
                <w:sz w:val="24"/>
              </w:rPr>
            </w:pPr>
            <w:r>
              <w:rPr>
                <w:color w:val="auto"/>
                <w:sz w:val="24"/>
              </w:rPr>
              <w:t>本项目</w:t>
            </w:r>
            <w:r>
              <w:rPr>
                <w:rFonts w:hint="eastAsia"/>
                <w:color w:val="auto"/>
                <w:sz w:val="24"/>
              </w:rPr>
              <w:t>为食品加工类项目</w:t>
            </w:r>
            <w:r>
              <w:rPr>
                <w:color w:val="auto"/>
                <w:sz w:val="24"/>
              </w:rPr>
              <w:t>，</w:t>
            </w:r>
            <w:r>
              <w:rPr>
                <w:rFonts w:hint="eastAsia"/>
                <w:color w:val="auto"/>
                <w:sz w:val="24"/>
              </w:rPr>
              <w:t>供水采用市政供水，废水进入市政排水管网。本项目不属于高污染、高能耗、高水耗的建设项目，符合资源利用上线的要求。</w:t>
            </w:r>
          </w:p>
          <w:p w14:paraId="0544CD56">
            <w:pPr>
              <w:spacing w:line="360" w:lineRule="auto"/>
              <w:ind w:firstLine="480" w:firstLineChars="200"/>
              <w:rPr>
                <w:color w:val="auto"/>
                <w:sz w:val="24"/>
              </w:rPr>
            </w:pPr>
            <w:r>
              <w:rPr>
                <w:color w:val="auto"/>
                <w:sz w:val="24"/>
              </w:rPr>
              <w:t>4、生态环境准入清单符合性分析</w:t>
            </w:r>
          </w:p>
          <w:p w14:paraId="02C8023D">
            <w:pPr>
              <w:spacing w:line="360" w:lineRule="auto"/>
              <w:ind w:firstLine="480" w:firstLineChars="200"/>
              <w:rPr>
                <w:color w:val="auto"/>
                <w:sz w:val="24"/>
              </w:rPr>
            </w:pPr>
            <w:r>
              <w:rPr>
                <w:rFonts w:ascii="Times New Roman" w:hAnsi="Times New Roman" w:eastAsia="宋体" w:cs="Times New Roman"/>
                <w:color w:val="auto"/>
                <w:kern w:val="0"/>
                <w:sz w:val="24"/>
                <w:highlight w:val="none"/>
              </w:rPr>
              <w:t>根据</w:t>
            </w:r>
            <w:r>
              <w:rPr>
                <w:rFonts w:hint="eastAsia" w:ascii="Times New Roman" w:hAnsi="Times New Roman" w:eastAsia="宋体" w:cs="Times New Roman"/>
                <w:color w:val="auto"/>
                <w:kern w:val="0"/>
                <w:sz w:val="24"/>
                <w:highlight w:val="none"/>
                <w:lang w:eastAsia="zh-CN"/>
              </w:rPr>
              <w:t>佳木斯</w:t>
            </w:r>
            <w:r>
              <w:rPr>
                <w:rFonts w:hint="eastAsia" w:ascii="Times New Roman" w:hAnsi="Times New Roman" w:eastAsia="宋体" w:cs="Times New Roman"/>
                <w:color w:val="auto"/>
                <w:kern w:val="0"/>
                <w:sz w:val="24"/>
                <w:highlight w:val="none"/>
              </w:rPr>
              <w:t>市</w:t>
            </w:r>
            <w:r>
              <w:rPr>
                <w:rFonts w:ascii="Times New Roman" w:hAnsi="Times New Roman" w:eastAsia="宋体" w:cs="Times New Roman"/>
                <w:color w:val="auto"/>
                <w:kern w:val="0"/>
                <w:sz w:val="24"/>
                <w:highlight w:val="none"/>
              </w:rPr>
              <w:t>生态环境准入清单，本项目位于本项目</w:t>
            </w:r>
            <w:r>
              <w:rPr>
                <w:rFonts w:hint="eastAsia" w:ascii="Times New Roman" w:hAnsi="Times New Roman" w:eastAsia="宋体" w:cs="Times New Roman"/>
                <w:color w:val="auto"/>
                <w:kern w:val="0"/>
                <w:sz w:val="24"/>
                <w:highlight w:val="none"/>
              </w:rPr>
              <w:t>位于</w:t>
            </w:r>
            <w:r>
              <w:rPr>
                <w:rFonts w:ascii="Times New Roman" w:hAnsi="Times New Roman" w:eastAsia="宋体" w:cs="Times New Roman"/>
                <w:color w:val="auto"/>
                <w:kern w:val="0"/>
                <w:sz w:val="24"/>
                <w:highlight w:val="none"/>
              </w:rPr>
              <w:t>黑龙江省佳木斯市桦南县双果路与龙兴街交叉口西南侧，</w:t>
            </w:r>
            <w:r>
              <w:rPr>
                <w:rFonts w:hint="eastAsia"/>
                <w:color w:val="auto"/>
                <w:sz w:val="24"/>
              </w:rPr>
              <w:t>本项目所在地位重点管控单元，管控单元编码为ZH23082220001。</w:t>
            </w:r>
          </w:p>
          <w:p w14:paraId="500344B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right="0"/>
              <w:jc w:val="center"/>
              <w:textAlignment w:val="auto"/>
              <w:rPr>
                <w:rFonts w:hint="default" w:ascii="Times New Roman" w:hAnsi="Times New Roman" w:eastAsia="宋体" w:cs="Times New Roman"/>
                <w:color w:val="auto"/>
                <w:sz w:val="24"/>
                <w:szCs w:val="24"/>
                <w:highlight w:val="none"/>
                <w:lang w:val="en-US" w:eastAsia="zh-CN"/>
              </w:rPr>
            </w:pPr>
            <w:r>
              <w:rPr>
                <w:color w:val="auto"/>
              </w:rPr>
              <w:drawing>
                <wp:inline distT="0" distB="0" distL="114300" distR="114300">
                  <wp:extent cx="5521960" cy="3774440"/>
                  <wp:effectExtent l="0" t="0" r="2540" b="1651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12"/>
                          <a:stretch>
                            <a:fillRect/>
                          </a:stretch>
                        </pic:blipFill>
                        <pic:spPr>
                          <a:xfrm>
                            <a:off x="0" y="0"/>
                            <a:ext cx="5521960" cy="3774440"/>
                          </a:xfrm>
                          <a:prstGeom prst="rect">
                            <a:avLst/>
                          </a:prstGeom>
                          <a:noFill/>
                          <a:ln>
                            <a:noFill/>
                          </a:ln>
                        </pic:spPr>
                      </pic:pic>
                    </a:graphicData>
                  </a:graphic>
                </wp:inline>
              </w:drawing>
            </w:r>
          </w:p>
          <w:p w14:paraId="519A7528">
            <w:pPr>
              <w:keepNext w:val="0"/>
              <w:keepLines w:val="0"/>
              <w:widowControl w:val="0"/>
              <w:suppressLineNumbers w:val="0"/>
              <w:spacing w:before="0" w:beforeAutospacing="0" w:after="0" w:afterAutospacing="0" w:line="500" w:lineRule="exact"/>
              <w:ind w:left="0" w:right="0" w:firstLine="0" w:firstLineChars="0"/>
              <w:jc w:val="center"/>
              <w:rPr>
                <w:color w:val="auto"/>
                <w:sz w:val="24"/>
              </w:rPr>
            </w:pPr>
            <w:r>
              <w:rPr>
                <w:rFonts w:hint="eastAsia" w:ascii="Times New Roman" w:hAnsi="Times New Roman" w:eastAsia="宋体" w:cs="Times New Roman"/>
                <w:b/>
                <w:bCs/>
                <w:color w:val="auto"/>
                <w:kern w:val="0"/>
                <w:sz w:val="24"/>
                <w:szCs w:val="28"/>
                <w:highlight w:val="none"/>
                <w:lang w:val="en-US" w:eastAsia="zh-CN"/>
              </w:rPr>
              <w:t>图1-2</w:t>
            </w:r>
            <w:r>
              <w:rPr>
                <w:rFonts w:hint="default" w:ascii="Times New Roman" w:hAnsi="Times New Roman" w:eastAsia="宋体" w:cs="Times New Roman"/>
                <w:b/>
                <w:bCs/>
                <w:color w:val="auto"/>
                <w:kern w:val="0"/>
                <w:sz w:val="24"/>
                <w:szCs w:val="28"/>
                <w:highlight w:val="none"/>
                <w:lang w:val="en-US" w:eastAsia="zh-CN"/>
              </w:rPr>
              <w:t xml:space="preserve">  </w:t>
            </w:r>
            <w:r>
              <w:rPr>
                <w:rFonts w:hint="eastAsia" w:ascii="Times New Roman" w:hAnsi="Times New Roman" w:eastAsia="宋体" w:cs="Times New Roman"/>
                <w:b/>
                <w:bCs/>
                <w:color w:val="auto"/>
                <w:kern w:val="0"/>
                <w:sz w:val="24"/>
                <w:szCs w:val="28"/>
                <w:highlight w:val="none"/>
                <w:lang w:val="en-US" w:eastAsia="zh-CN"/>
              </w:rPr>
              <w:t>本项目与环境管控单元位置关系图</w:t>
            </w:r>
          </w:p>
          <w:p w14:paraId="0BE84A66">
            <w:pPr>
              <w:spacing w:line="360" w:lineRule="auto"/>
              <w:ind w:firstLine="480" w:firstLineChars="200"/>
              <w:rPr>
                <w:color w:val="auto"/>
                <w:sz w:val="24"/>
              </w:rPr>
            </w:pPr>
            <w:r>
              <w:rPr>
                <w:color w:val="auto"/>
                <w:sz w:val="24"/>
              </w:rPr>
              <w:t>管控要求如下：</w:t>
            </w:r>
          </w:p>
          <w:p w14:paraId="53547DB8">
            <w:pPr>
              <w:overflowPunct w:val="0"/>
              <w:spacing w:line="360" w:lineRule="auto"/>
              <w:ind w:firstLine="480" w:firstLineChars="200"/>
              <w:jc w:val="center"/>
              <w:rPr>
                <w:rFonts w:eastAsia="黑体"/>
                <w:bCs/>
                <w:snapToGrid w:val="0"/>
                <w:color w:val="auto"/>
                <w:kern w:val="0"/>
                <w:sz w:val="24"/>
              </w:rPr>
            </w:pPr>
            <w:r>
              <w:rPr>
                <w:rFonts w:eastAsia="黑体"/>
                <w:bCs/>
                <w:snapToGrid w:val="0"/>
                <w:color w:val="auto"/>
                <w:kern w:val="0"/>
                <w:sz w:val="24"/>
              </w:rPr>
              <w:t>表1-</w:t>
            </w:r>
            <w:r>
              <w:rPr>
                <w:rFonts w:hint="eastAsia" w:eastAsia="黑体"/>
                <w:bCs/>
                <w:snapToGrid w:val="0"/>
                <w:color w:val="auto"/>
                <w:kern w:val="0"/>
                <w:sz w:val="24"/>
              </w:rPr>
              <w:t>1</w:t>
            </w:r>
            <w:r>
              <w:rPr>
                <w:rFonts w:eastAsia="黑体"/>
                <w:bCs/>
                <w:snapToGrid w:val="0"/>
                <w:color w:val="auto"/>
                <w:kern w:val="0"/>
                <w:sz w:val="24"/>
              </w:rPr>
              <w:t xml:space="preserve">  生态环境准入清单管控要求表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5"/>
              <w:gridCol w:w="575"/>
              <w:gridCol w:w="5046"/>
              <w:gridCol w:w="1665"/>
              <w:gridCol w:w="838"/>
            </w:tblGrid>
            <w:tr w14:paraId="57806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330" w:type="pct"/>
                  <w:vAlign w:val="center"/>
                </w:tcPr>
                <w:p w14:paraId="53B4006E">
                  <w:pPr>
                    <w:widowControl/>
                    <w:spacing w:line="240" w:lineRule="exact"/>
                    <w:jc w:val="center"/>
                    <w:rPr>
                      <w:color w:val="auto"/>
                      <w:szCs w:val="21"/>
                    </w:rPr>
                  </w:pPr>
                  <w:r>
                    <w:rPr>
                      <w:b/>
                      <w:color w:val="auto"/>
                      <w:kern w:val="0"/>
                      <w:szCs w:val="21"/>
                    </w:rPr>
                    <w:t>管控单元</w:t>
                  </w:r>
                  <w:r>
                    <w:rPr>
                      <w:rFonts w:hint="eastAsia"/>
                      <w:b/>
                      <w:color w:val="auto"/>
                      <w:kern w:val="0"/>
                      <w:szCs w:val="21"/>
                    </w:rPr>
                    <w:t>名称</w:t>
                  </w:r>
                </w:p>
              </w:tc>
              <w:tc>
                <w:tcPr>
                  <w:tcW w:w="330" w:type="pct"/>
                  <w:vAlign w:val="center"/>
                </w:tcPr>
                <w:p w14:paraId="3C575653">
                  <w:pPr>
                    <w:spacing w:line="240" w:lineRule="exact"/>
                    <w:jc w:val="center"/>
                    <w:rPr>
                      <w:color w:val="auto"/>
                      <w:szCs w:val="21"/>
                    </w:rPr>
                  </w:pPr>
                  <w:r>
                    <w:rPr>
                      <w:b/>
                      <w:color w:val="auto"/>
                      <w:kern w:val="0"/>
                      <w:szCs w:val="21"/>
                    </w:rPr>
                    <w:t>管控要求</w:t>
                  </w:r>
                </w:p>
              </w:tc>
              <w:tc>
                <w:tcPr>
                  <w:tcW w:w="2899" w:type="pct"/>
                  <w:vAlign w:val="center"/>
                </w:tcPr>
                <w:p w14:paraId="77CA43B6">
                  <w:pPr>
                    <w:widowControl/>
                    <w:spacing w:line="240" w:lineRule="exact"/>
                    <w:jc w:val="center"/>
                    <w:rPr>
                      <w:color w:val="auto"/>
                      <w:szCs w:val="21"/>
                    </w:rPr>
                  </w:pPr>
                  <w:r>
                    <w:rPr>
                      <w:b/>
                      <w:color w:val="auto"/>
                      <w:kern w:val="0"/>
                      <w:szCs w:val="21"/>
                    </w:rPr>
                    <w:t>环境管控单元编码</w:t>
                  </w:r>
                </w:p>
              </w:tc>
              <w:tc>
                <w:tcPr>
                  <w:tcW w:w="957" w:type="pct"/>
                  <w:vAlign w:val="center"/>
                </w:tcPr>
                <w:p w14:paraId="7264AFF6">
                  <w:pPr>
                    <w:widowControl/>
                    <w:spacing w:line="240" w:lineRule="exact"/>
                    <w:jc w:val="center"/>
                    <w:rPr>
                      <w:b/>
                      <w:color w:val="auto"/>
                      <w:kern w:val="0"/>
                      <w:szCs w:val="21"/>
                    </w:rPr>
                  </w:pPr>
                  <w:r>
                    <w:rPr>
                      <w:b/>
                      <w:color w:val="auto"/>
                      <w:kern w:val="0"/>
                      <w:szCs w:val="21"/>
                    </w:rPr>
                    <w:t>本项目</w:t>
                  </w:r>
                </w:p>
              </w:tc>
              <w:tc>
                <w:tcPr>
                  <w:tcW w:w="482" w:type="pct"/>
                  <w:vAlign w:val="center"/>
                </w:tcPr>
                <w:p w14:paraId="5AEDE461">
                  <w:pPr>
                    <w:widowControl/>
                    <w:spacing w:line="240" w:lineRule="exact"/>
                    <w:jc w:val="center"/>
                    <w:rPr>
                      <w:b/>
                      <w:color w:val="auto"/>
                      <w:kern w:val="0"/>
                      <w:szCs w:val="21"/>
                    </w:rPr>
                  </w:pPr>
                  <w:r>
                    <w:rPr>
                      <w:b/>
                      <w:color w:val="auto"/>
                      <w:kern w:val="0"/>
                      <w:szCs w:val="21"/>
                    </w:rPr>
                    <w:t>符合性</w:t>
                  </w:r>
                </w:p>
              </w:tc>
            </w:tr>
            <w:tr w14:paraId="0E783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0" w:type="pct"/>
                  <w:vMerge w:val="restart"/>
                  <w:vAlign w:val="center"/>
                </w:tcPr>
                <w:p w14:paraId="02D3DC28">
                  <w:pPr>
                    <w:widowControl/>
                    <w:spacing w:line="240" w:lineRule="exact"/>
                    <w:jc w:val="center"/>
                    <w:rPr>
                      <w:color w:val="auto"/>
                      <w:kern w:val="0"/>
                      <w:szCs w:val="21"/>
                    </w:rPr>
                  </w:pPr>
                  <w:r>
                    <w:rPr>
                      <w:rFonts w:hint="eastAsia"/>
                      <w:color w:val="auto"/>
                      <w:szCs w:val="21"/>
                    </w:rPr>
                    <w:t>黑龙江桦南经济开发区</w:t>
                  </w:r>
                </w:p>
              </w:tc>
              <w:tc>
                <w:tcPr>
                  <w:tcW w:w="330" w:type="pct"/>
                  <w:vAlign w:val="center"/>
                </w:tcPr>
                <w:p w14:paraId="6CD5241C">
                  <w:pPr>
                    <w:widowControl/>
                    <w:spacing w:line="240" w:lineRule="exact"/>
                    <w:jc w:val="center"/>
                    <w:rPr>
                      <w:color w:val="auto"/>
                      <w:kern w:val="0"/>
                      <w:szCs w:val="21"/>
                    </w:rPr>
                  </w:pPr>
                  <w:r>
                    <w:rPr>
                      <w:color w:val="auto"/>
                      <w:szCs w:val="21"/>
                    </w:rPr>
                    <w:t>空间布局约束</w:t>
                  </w:r>
                </w:p>
              </w:tc>
              <w:tc>
                <w:tcPr>
                  <w:tcW w:w="2899" w:type="pct"/>
                  <w:vAlign w:val="center"/>
                </w:tcPr>
                <w:p w14:paraId="3D35DCFA">
                  <w:pPr>
                    <w:spacing w:line="240" w:lineRule="exact"/>
                    <w:ind w:firstLine="420" w:firstLineChars="200"/>
                    <w:rPr>
                      <w:color w:val="auto"/>
                    </w:rPr>
                  </w:pPr>
                  <w:r>
                    <w:rPr>
                      <w:rFonts w:ascii="Times New Roman" w:hAnsi="Times New Roman" w:eastAsia="宋体" w:cs="Times New Roman"/>
                      <w:color w:val="auto"/>
                      <w:lang w:val="zh-CN"/>
                    </w:rPr>
                    <w:t>1.严禁高能耗、低产出、高污染、土地集约利用程度低的企业进入。 2.禁止工艺落后、设备陈旧、污染严重的项目入区。 3.禁止不符合对桦南经济开</w:t>
                  </w:r>
                  <w:r>
                    <w:rPr>
                      <w:rFonts w:hint="eastAsia" w:cs="Times New Roman"/>
                      <w:color w:val="auto"/>
                      <w:lang w:val="en-US" w:eastAsia="zh-CN"/>
                    </w:rPr>
                    <w:t>发</w:t>
                  </w:r>
                  <w:r>
                    <w:rPr>
                      <w:rFonts w:ascii="Times New Roman" w:hAnsi="Times New Roman" w:eastAsia="宋体" w:cs="Times New Roman"/>
                      <w:color w:val="auto"/>
                      <w:lang w:val="zh-CN"/>
                    </w:rPr>
                    <w:t>区产业定位的项目、不符合国家、省、市相关行业、不符合产业政策的项目、行业清洁生产标准中二级标准要求的项目、不满足开发区排污总量管理要求的项目、能源装备机械制造产业园区涉及重金属排放和电镀的项目、被发改委《产业结构调整指导目录》列入淘汰类和限制类的项目入区。 4.对于存在未依法开展规划环境影响评价，或环境风险隐患突出且未完成限期整改，或未按期完成污染物排放总量控制计划的工业园区，暂停受理除污染治理、生态恢复建设和循环经济类以外的入园建设项目环境影响评价文件。 5.新、改、扩建钢铁、石化、化工、焦化、建材、有色等项目的环境影响评价，应满足区域、规划环评要求。 6.禁止引进国家现行产业政策明令禁止或淘汰的产业及工艺。 7.重大项目原则上布局在重点开发区，并符合国土空间规划。 8.新建化工项目须进入合规设立的化工园区。 9.园区规划及规划环评变更后执行新的园区规划和规划环评管控要求。 10.同时执行：①入园建设项目开展环评工作时，应以产业园区规划环评为依据，重点分析项目环评与规划环评结论及审查意见的符合性；产业园区招商引资、入园建设项目环评审批等应将规划环评结论及审查意见作为重要依据。②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③重大制造业项目、依托能源和矿产资源的资源加工业项目原则上布局在重点开发区。④未纳入国家有关领域产业规划的，一律不得新建改扩建炼油和新建乙烯、对二甲苯、煤制烯烃项目。⑤禁止引进国家产业政策明令淘汰和限制的产品、技术、工艺、设备及行为。⑥编制产业园区开发建设规划时应依法开展规划环评。⑦规划审批机关在审批规划时，应将规划环评结论及审查意见作为决策的重要依据，在审批中未采纳环境影响报告书结论及审查意见的，应当作出说明并存档备查。⑧产业园区招商引资、入园建设项目环评审批等应将规划环评结论及审查意见作为重要依据。⑨产业园区开发建设规划应符合国家政策和相关法律法规要求，规划发生重大调整或修订的，应当依法重新或补充开展规划环评工作。 11.水环境农业污染重点管控区同时执行：①科学划定畜禽养殖禁养区。②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12.水环境工业污染重点管控区同时执行：①区域内严格控制高耗水、高污染行业发展。②加快淘汰落后产能，大力推进产业结构调整和优化升级。③根据水资源和水环境承载能力，以水定城、以水定地、以水定人、以水定产。</w:t>
                  </w:r>
                </w:p>
              </w:tc>
              <w:tc>
                <w:tcPr>
                  <w:tcW w:w="957" w:type="pct"/>
                  <w:vAlign w:val="center"/>
                </w:tcPr>
                <w:p w14:paraId="180B6D50">
                  <w:pPr>
                    <w:spacing w:line="240" w:lineRule="exact"/>
                    <w:ind w:firstLine="420" w:firstLineChars="200"/>
                    <w:rPr>
                      <w:color w:val="auto"/>
                      <w:kern w:val="0"/>
                      <w:szCs w:val="21"/>
                      <w:lang w:bidi="zh-CN"/>
                    </w:rPr>
                  </w:pPr>
                  <w:r>
                    <w:rPr>
                      <w:rFonts w:hint="eastAsia"/>
                      <w:color w:val="auto"/>
                    </w:rPr>
                    <w:t xml:space="preserve">本项目为 </w:t>
                  </w:r>
                  <w:r>
                    <w:rPr>
                      <w:rFonts w:hint="eastAsia"/>
                      <w:color w:val="auto"/>
                      <w:lang w:eastAsia="zh-CN"/>
                    </w:rPr>
                    <w:t>黑龙江宏昌生物科技有限公司日加工500吨大豆（米糠）双生产线建设项目（重新报批）</w:t>
                  </w:r>
                  <w:r>
                    <w:rPr>
                      <w:rFonts w:hint="eastAsia"/>
                      <w:color w:val="auto"/>
                    </w:rPr>
                    <w:t>，位于佳木斯市桦南县双果路与龙兴街交叉口西南侧，不属于被发改委《产业结构调整指导目录》列入淘汰类和限制类的项目，</w:t>
                  </w:r>
                  <w:r>
                    <w:rPr>
                      <w:rFonts w:hint="eastAsia"/>
                      <w:color w:val="auto"/>
                      <w:lang w:val="en-US" w:eastAsia="zh-CN"/>
                    </w:rPr>
                    <w:t>本项目符合《黑龙江桦南经济开发区总体规划（2021-2035年）》要求，</w:t>
                  </w:r>
                  <w:r>
                    <w:rPr>
                      <w:rFonts w:hint="eastAsia"/>
                      <w:color w:val="auto"/>
                    </w:rPr>
                    <w:t>项目施工期时间短，项目结束对环境产生影响消失。</w:t>
                  </w:r>
                </w:p>
              </w:tc>
              <w:tc>
                <w:tcPr>
                  <w:tcW w:w="482" w:type="pct"/>
                  <w:vAlign w:val="center"/>
                </w:tcPr>
                <w:p w14:paraId="047D9690">
                  <w:pPr>
                    <w:spacing w:line="240" w:lineRule="exact"/>
                    <w:jc w:val="center"/>
                    <w:rPr>
                      <w:bCs/>
                      <w:color w:val="auto"/>
                      <w:kern w:val="0"/>
                      <w:szCs w:val="21"/>
                      <w:lang w:bidi="zh-CN"/>
                    </w:rPr>
                  </w:pPr>
                  <w:r>
                    <w:rPr>
                      <w:bCs/>
                      <w:color w:val="auto"/>
                      <w:kern w:val="0"/>
                      <w:szCs w:val="21"/>
                      <w:lang w:bidi="zh-CN"/>
                    </w:rPr>
                    <w:t>符合</w:t>
                  </w:r>
                </w:p>
              </w:tc>
            </w:tr>
            <w:tr w14:paraId="5019D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0" w:type="pct"/>
                  <w:vMerge w:val="continue"/>
                  <w:vAlign w:val="center"/>
                </w:tcPr>
                <w:p w14:paraId="722D8461">
                  <w:pPr>
                    <w:widowControl/>
                    <w:spacing w:line="240" w:lineRule="exact"/>
                    <w:jc w:val="center"/>
                    <w:rPr>
                      <w:color w:val="auto"/>
                      <w:szCs w:val="21"/>
                    </w:rPr>
                  </w:pPr>
                </w:p>
              </w:tc>
              <w:tc>
                <w:tcPr>
                  <w:tcW w:w="330" w:type="pct"/>
                  <w:vAlign w:val="center"/>
                </w:tcPr>
                <w:p w14:paraId="3C13FF87">
                  <w:pPr>
                    <w:jc w:val="center"/>
                    <w:rPr>
                      <w:smallCaps/>
                      <w:color w:val="auto"/>
                      <w:szCs w:val="21"/>
                      <w:lang w:val="zh-CN"/>
                    </w:rPr>
                  </w:pPr>
                  <w:r>
                    <w:rPr>
                      <w:smallCaps/>
                      <w:color w:val="auto"/>
                      <w:szCs w:val="21"/>
                      <w:lang w:val="zh-CN"/>
                    </w:rPr>
                    <w:t>污染物排放管控</w:t>
                  </w:r>
                </w:p>
              </w:tc>
              <w:tc>
                <w:tcPr>
                  <w:tcW w:w="2899" w:type="pct"/>
                  <w:vAlign w:val="center"/>
                </w:tcPr>
                <w:p w14:paraId="19487E43">
                  <w:pPr>
                    <w:spacing w:line="240" w:lineRule="exact"/>
                    <w:ind w:firstLine="420" w:firstLineChars="200"/>
                    <w:rPr>
                      <w:color w:val="auto"/>
                      <w:lang w:val="zh-CN"/>
                    </w:rPr>
                  </w:pPr>
                  <w:r>
                    <w:rPr>
                      <w:color w:val="auto"/>
                      <w:lang w:val="zh-CN"/>
                    </w:rPr>
                    <w:t>1.加工粉尘采取除尘器进行处理后，排气筒高空排放。 2.加大涉水企业治污设施升级改造力度，提高污染治理水平。 3.应按规定建设污水集中处理设施，并安装自动在线监控装置。 4.严格控制新增燃煤项目建设（涉及民生保障的项目除外）。 5.水环境农业污染重点管控区同时执行：①支持规模化畜禽养殖场（小区）开展标准化改造和建设，提高畜禽粪污收集和处理机械化水平，实施雨污分流、粪污资源化利用，控制畜禽养殖污染排放。②畜禽养殖户应当及时对畜禽粪便、污水进行收集、贮存、清运，或者进行无害化处理。县级人民政府应当组织对本行政区域的畜禽散养密集区畜禽粪便、污水进行集中处理利用，督促乡镇人民政府建设或者配备污染防治配套设施。③全面加强农业面源污染防控，科学合理使用农业投入品，提高使用效率，减少农业内源性污染。 6.同时执行：①应按规定建设污水集中处理设施，并安装自动在线监控装置。③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⑤新、改、扩建涉重金属重点行业建设项目必须遵循重点重金属污染物排放“减量置换”或“等量替换”原则。⑥对于含有毒有害水污染物的工业废水和生活污水混合处理的污水处理厂产生的污泥，不能采用土地利用方式。⑦加强消耗臭氧层物质和氢氟碳化物环境管理，加强泡沫、制冷、氟化工等行业治理，逐步淘汰氢氯氟烃使用。⑧新建煤制烯烃、新建煤制对二甲苯 (PX) 项目纳入《现代煤化工产业创新发展布局方案》后，由省级政府核准。新建年产超过100万吨的煤制甲醇项目，由省级政府核准。⑨各地不得新建、扩建二氟甲烷、1,1,1,2-四氟乙烷、五氟乙烷、1,1,1-三氟乙烷、1.1.1.3.3-五氟丙烷用作制冷剂、发泡剂等受控用途的 HFCs 化工生产设施 （不含副立设施），环境影响报告书 （表） 已通过审批的除外。 7.水环境工业污染重点管控区同时执行：（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w:t>
                  </w:r>
                </w:p>
              </w:tc>
              <w:tc>
                <w:tcPr>
                  <w:tcW w:w="957" w:type="pct"/>
                  <w:vAlign w:val="center"/>
                </w:tcPr>
                <w:p w14:paraId="0AC3E03B">
                  <w:pPr>
                    <w:spacing w:line="240" w:lineRule="exact"/>
                    <w:jc w:val="center"/>
                    <w:rPr>
                      <w:color w:val="auto"/>
                      <w:kern w:val="0"/>
                      <w:szCs w:val="21"/>
                      <w:lang w:bidi="zh-CN"/>
                    </w:rPr>
                  </w:pPr>
                  <w:r>
                    <w:rPr>
                      <w:rFonts w:hint="eastAsia"/>
                      <w:color w:val="auto"/>
                      <w:kern w:val="0"/>
                      <w:szCs w:val="21"/>
                      <w:lang w:bidi="zh-CN"/>
                    </w:rPr>
                    <w:t>本项目生产过程中产生的粉尘经布袋除尘器处理后经排气筒排放；生活废水经隔油处理后经市政管网排入污水处理厂；生产废水</w:t>
                  </w:r>
                  <w:r>
                    <w:rPr>
                      <w:rFonts w:hint="eastAsia"/>
                      <w:color w:val="auto"/>
                      <w:kern w:val="0"/>
                      <w:szCs w:val="21"/>
                      <w:lang w:val="en-US" w:eastAsia="zh-CN" w:bidi="zh-CN"/>
                    </w:rPr>
                    <w:t>经厂区内污水处理站处理后排入市政管网</w:t>
                  </w:r>
                  <w:r>
                    <w:rPr>
                      <w:rFonts w:hint="eastAsia"/>
                      <w:color w:val="auto"/>
                      <w:kern w:val="0"/>
                      <w:szCs w:val="21"/>
                      <w:lang w:eastAsia="zh-CN" w:bidi="zh-CN"/>
                    </w:rPr>
                    <w:t>，</w:t>
                  </w:r>
                  <w:r>
                    <w:rPr>
                      <w:rFonts w:hint="eastAsia"/>
                      <w:color w:val="auto"/>
                      <w:kern w:val="0"/>
                      <w:szCs w:val="21"/>
                      <w:lang w:bidi="zh-CN"/>
                    </w:rPr>
                    <w:t>生产供热和生活供热由1</w:t>
                  </w:r>
                  <w:r>
                    <w:rPr>
                      <w:rFonts w:hint="eastAsia"/>
                      <w:color w:val="auto"/>
                      <w:kern w:val="0"/>
                      <w:szCs w:val="21"/>
                      <w:lang w:val="en-US" w:bidi="zh-CN"/>
                    </w:rPr>
                    <w:t>8</w:t>
                  </w:r>
                  <w:r>
                    <w:rPr>
                      <w:rFonts w:hint="eastAsia"/>
                      <w:color w:val="auto"/>
                      <w:kern w:val="0"/>
                      <w:szCs w:val="21"/>
                      <w:lang w:bidi="zh-CN"/>
                    </w:rPr>
                    <w:t>t生物质锅炉提供。</w:t>
                  </w:r>
                </w:p>
              </w:tc>
              <w:tc>
                <w:tcPr>
                  <w:tcW w:w="482" w:type="pct"/>
                  <w:vAlign w:val="center"/>
                </w:tcPr>
                <w:p w14:paraId="3A7FCE5A">
                  <w:pPr>
                    <w:spacing w:line="240" w:lineRule="exact"/>
                    <w:jc w:val="center"/>
                    <w:rPr>
                      <w:bCs/>
                      <w:color w:val="auto"/>
                      <w:kern w:val="0"/>
                      <w:szCs w:val="21"/>
                      <w:lang w:bidi="zh-CN"/>
                    </w:rPr>
                  </w:pPr>
                  <w:r>
                    <w:rPr>
                      <w:rFonts w:hint="eastAsia"/>
                      <w:bCs/>
                      <w:color w:val="auto"/>
                      <w:kern w:val="0"/>
                      <w:szCs w:val="21"/>
                      <w:lang w:bidi="zh-CN"/>
                    </w:rPr>
                    <w:t>符合</w:t>
                  </w:r>
                </w:p>
              </w:tc>
            </w:tr>
            <w:tr w14:paraId="6FBA32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0" w:type="pct"/>
                  <w:vMerge w:val="continue"/>
                  <w:vAlign w:val="center"/>
                </w:tcPr>
                <w:p w14:paraId="23B73204">
                  <w:pPr>
                    <w:widowControl/>
                    <w:spacing w:line="240" w:lineRule="exact"/>
                    <w:jc w:val="center"/>
                    <w:rPr>
                      <w:color w:val="auto"/>
                      <w:szCs w:val="21"/>
                    </w:rPr>
                  </w:pPr>
                </w:p>
              </w:tc>
              <w:tc>
                <w:tcPr>
                  <w:tcW w:w="330" w:type="pct"/>
                  <w:vAlign w:val="center"/>
                </w:tcPr>
                <w:p w14:paraId="558F34EA">
                  <w:pPr>
                    <w:jc w:val="center"/>
                    <w:rPr>
                      <w:smallCaps/>
                      <w:color w:val="auto"/>
                      <w:szCs w:val="21"/>
                      <w:lang w:val="zh-CN"/>
                    </w:rPr>
                  </w:pPr>
                  <w:r>
                    <w:rPr>
                      <w:smallCaps/>
                      <w:color w:val="auto"/>
                      <w:szCs w:val="21"/>
                      <w:lang w:val="zh-CN"/>
                    </w:rPr>
                    <w:t>环境风险防控</w:t>
                  </w:r>
                </w:p>
              </w:tc>
              <w:tc>
                <w:tcPr>
                  <w:tcW w:w="2899" w:type="pct"/>
                  <w:vAlign w:val="center"/>
                </w:tcPr>
                <w:p w14:paraId="7B23DCEA">
                  <w:pPr>
                    <w:spacing w:line="240" w:lineRule="exact"/>
                    <w:ind w:firstLine="420" w:firstLineChars="200"/>
                    <w:rPr>
                      <w:color w:val="auto"/>
                      <w:lang w:val="zh-CN"/>
                    </w:rPr>
                  </w:pPr>
                  <w:r>
                    <w:rPr>
                      <w:color w:val="auto"/>
                      <w:lang w:val="zh-CN"/>
                    </w:rPr>
                    <w:t>1.逐步取缔燃煤锅炉，持续加强燃气、生物质和油、电锅炉的废气治理监管，推广清洁能源替代。调整燃料结构，积极利用风能、太阳能等清洁能源。 2.高污染燃料禁燃区同时执行：①在禁燃区内，禁止销售、燃用高污染燃料；禁止新建、扩建燃用高污染燃料的设施，已建成的，应当在城市人民政府规定的期限内改用天然气、页岩气、液化石油气、电或者其他清洁能源。②城市建设应当统筹规划，在燃煤供热地区，推进热电联产和集中供热。在集中供热管网覆盖地区，禁止新建、扩建分散燃煤供热锅炉；已建成的不能达标排放的燃煤供热锅炉，应当在城市人民政府规定的期限内拆除。 3.同时执行：①落实最严格的水资源管理制度，实行水资源消耗总量和强度双控。②全面推行清洁生产，依法在“双超双有高耗能”行业实施强制性清洁生产审核。</w:t>
                  </w:r>
                </w:p>
              </w:tc>
              <w:tc>
                <w:tcPr>
                  <w:tcW w:w="957" w:type="pct"/>
                  <w:vAlign w:val="center"/>
                </w:tcPr>
                <w:p w14:paraId="3F7507DF">
                  <w:pPr>
                    <w:spacing w:line="240" w:lineRule="exact"/>
                    <w:jc w:val="center"/>
                    <w:rPr>
                      <w:color w:val="auto"/>
                      <w:kern w:val="0"/>
                      <w:szCs w:val="21"/>
                      <w:lang w:bidi="zh-CN"/>
                    </w:rPr>
                  </w:pPr>
                  <w:r>
                    <w:rPr>
                      <w:rFonts w:hint="eastAsia"/>
                      <w:color w:val="auto"/>
                      <w:kern w:val="0"/>
                      <w:szCs w:val="21"/>
                      <w:lang w:bidi="zh-CN"/>
                    </w:rPr>
                    <w:t>本项目生产用热和生活供热由自建锅炉房内的1台1</w:t>
                  </w:r>
                  <w:r>
                    <w:rPr>
                      <w:rFonts w:hint="eastAsia"/>
                      <w:color w:val="auto"/>
                      <w:kern w:val="0"/>
                      <w:szCs w:val="21"/>
                      <w:lang w:val="en-US" w:bidi="zh-CN"/>
                    </w:rPr>
                    <w:t>8</w:t>
                  </w:r>
                  <w:r>
                    <w:rPr>
                      <w:rFonts w:hint="eastAsia"/>
                      <w:color w:val="auto"/>
                      <w:kern w:val="0"/>
                      <w:szCs w:val="21"/>
                      <w:lang w:bidi="zh-CN"/>
                    </w:rPr>
                    <w:t>t/h的生物质蒸汽锅炉供给，1台1</w:t>
                  </w:r>
                  <w:r>
                    <w:rPr>
                      <w:rFonts w:hint="eastAsia"/>
                      <w:color w:val="auto"/>
                      <w:kern w:val="0"/>
                      <w:szCs w:val="21"/>
                      <w:lang w:val="en-US" w:bidi="zh-CN"/>
                    </w:rPr>
                    <w:t>5</w:t>
                  </w:r>
                  <w:r>
                    <w:rPr>
                      <w:rFonts w:hint="eastAsia"/>
                      <w:color w:val="auto"/>
                      <w:kern w:val="0"/>
                      <w:szCs w:val="21"/>
                      <w:lang w:bidi="zh-CN"/>
                    </w:rPr>
                    <w:t>t/h的生物质蒸汽锅炉作为备用锅炉，冬季采暖采用换热器蒸汽余热供暖。</w:t>
                  </w:r>
                </w:p>
              </w:tc>
              <w:tc>
                <w:tcPr>
                  <w:tcW w:w="482" w:type="pct"/>
                  <w:vAlign w:val="center"/>
                </w:tcPr>
                <w:p w14:paraId="644F84C2">
                  <w:pPr>
                    <w:spacing w:line="240" w:lineRule="exact"/>
                    <w:jc w:val="center"/>
                    <w:rPr>
                      <w:bCs/>
                      <w:color w:val="auto"/>
                      <w:kern w:val="0"/>
                      <w:szCs w:val="21"/>
                      <w:lang w:bidi="zh-CN"/>
                    </w:rPr>
                  </w:pPr>
                  <w:r>
                    <w:rPr>
                      <w:rFonts w:hint="eastAsia"/>
                      <w:bCs/>
                      <w:color w:val="auto"/>
                      <w:kern w:val="0"/>
                      <w:szCs w:val="21"/>
                      <w:lang w:bidi="zh-CN"/>
                    </w:rPr>
                    <w:t>符合</w:t>
                  </w:r>
                </w:p>
              </w:tc>
            </w:tr>
            <w:tr w14:paraId="6CF83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0" w:type="pct"/>
                  <w:vMerge w:val="continue"/>
                  <w:vAlign w:val="center"/>
                </w:tcPr>
                <w:p w14:paraId="7A0BFC73">
                  <w:pPr>
                    <w:widowControl/>
                    <w:spacing w:line="240" w:lineRule="exact"/>
                    <w:jc w:val="center"/>
                    <w:rPr>
                      <w:color w:val="auto"/>
                      <w:szCs w:val="21"/>
                    </w:rPr>
                  </w:pPr>
                </w:p>
              </w:tc>
              <w:tc>
                <w:tcPr>
                  <w:tcW w:w="330" w:type="pct"/>
                  <w:vAlign w:val="center"/>
                </w:tcPr>
                <w:p w14:paraId="1200E63F">
                  <w:pPr>
                    <w:jc w:val="center"/>
                    <w:rPr>
                      <w:smallCaps/>
                      <w:color w:val="auto"/>
                      <w:szCs w:val="21"/>
                      <w:lang w:val="zh-CN"/>
                    </w:rPr>
                  </w:pPr>
                  <w:r>
                    <w:rPr>
                      <w:smallCaps/>
                      <w:color w:val="auto"/>
                      <w:szCs w:val="21"/>
                      <w:lang w:val="zh-CN"/>
                    </w:rPr>
                    <w:t>资源利用效率要求</w:t>
                  </w:r>
                </w:p>
              </w:tc>
              <w:tc>
                <w:tcPr>
                  <w:tcW w:w="2899" w:type="pct"/>
                  <w:vAlign w:val="center"/>
                </w:tcPr>
                <w:p w14:paraId="15835E63">
                  <w:pPr>
                    <w:spacing w:line="240" w:lineRule="exact"/>
                    <w:ind w:firstLine="420" w:firstLineChars="200"/>
                    <w:rPr>
                      <w:color w:val="auto"/>
                      <w:lang w:val="zh-CN"/>
                    </w:rPr>
                  </w:pPr>
                  <w:r>
                    <w:rPr>
                      <w:color w:val="auto"/>
                      <w:lang w:val="zh-CN"/>
                    </w:rPr>
                    <w:t>1.同时执行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 2.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957" w:type="pct"/>
                  <w:vAlign w:val="center"/>
                </w:tcPr>
                <w:p w14:paraId="75B6F4BB">
                  <w:pPr>
                    <w:spacing w:line="240" w:lineRule="exact"/>
                    <w:jc w:val="center"/>
                    <w:rPr>
                      <w:rFonts w:hint="default"/>
                      <w:color w:val="auto"/>
                      <w:kern w:val="0"/>
                      <w:szCs w:val="21"/>
                      <w:lang w:val="en-US" w:bidi="zh-CN"/>
                    </w:rPr>
                  </w:pPr>
                  <w:r>
                    <w:rPr>
                      <w:rFonts w:hint="eastAsia"/>
                      <w:color w:val="auto"/>
                      <w:kern w:val="0"/>
                      <w:szCs w:val="21"/>
                      <w:lang w:bidi="zh-CN"/>
                    </w:rPr>
                    <w:t>本项目生产用热和生活供热由自建锅炉房内的1台1</w:t>
                  </w:r>
                  <w:r>
                    <w:rPr>
                      <w:rFonts w:hint="eastAsia"/>
                      <w:color w:val="auto"/>
                      <w:kern w:val="0"/>
                      <w:szCs w:val="21"/>
                      <w:lang w:val="en-US" w:bidi="zh-CN"/>
                    </w:rPr>
                    <w:t>8</w:t>
                  </w:r>
                  <w:r>
                    <w:rPr>
                      <w:rFonts w:hint="eastAsia"/>
                      <w:color w:val="auto"/>
                      <w:kern w:val="0"/>
                      <w:szCs w:val="21"/>
                      <w:lang w:bidi="zh-CN"/>
                    </w:rPr>
                    <w:t>t/h的生物质蒸汽锅炉供给，1台1</w:t>
                  </w:r>
                  <w:r>
                    <w:rPr>
                      <w:rFonts w:hint="eastAsia"/>
                      <w:color w:val="auto"/>
                      <w:kern w:val="0"/>
                      <w:szCs w:val="21"/>
                      <w:lang w:val="en-US" w:bidi="zh-CN"/>
                    </w:rPr>
                    <w:t>5</w:t>
                  </w:r>
                  <w:r>
                    <w:rPr>
                      <w:rFonts w:hint="eastAsia"/>
                      <w:color w:val="auto"/>
                      <w:kern w:val="0"/>
                      <w:szCs w:val="21"/>
                      <w:lang w:bidi="zh-CN"/>
                    </w:rPr>
                    <w:t>t/h的生物质蒸汽锅炉作为备用锅炉，冬季采暖采用换热器蒸汽余热供暖。</w:t>
                  </w:r>
                  <w:r>
                    <w:rPr>
                      <w:rFonts w:hint="eastAsia"/>
                      <w:color w:val="auto"/>
                      <w:kern w:val="0"/>
                      <w:szCs w:val="21"/>
                      <w:lang w:val="en-US" w:bidi="zh-CN"/>
                    </w:rPr>
                    <w:t>本项目排放废水主要为生产废水和生活废水，</w:t>
                  </w:r>
                  <w:r>
                    <w:rPr>
                      <w:rFonts w:hint="eastAsia"/>
                      <w:color w:val="auto"/>
                      <w:kern w:val="0"/>
                      <w:szCs w:val="21"/>
                      <w:lang w:bidi="zh-CN"/>
                    </w:rPr>
                    <w:t>生活废水经隔油处理后经市政管网排入污水处理厂；生产废水</w:t>
                  </w:r>
                  <w:r>
                    <w:rPr>
                      <w:rFonts w:hint="eastAsia"/>
                      <w:color w:val="auto"/>
                      <w:kern w:val="0"/>
                      <w:szCs w:val="21"/>
                      <w:lang w:val="en-US" w:eastAsia="zh-CN" w:bidi="zh-CN"/>
                    </w:rPr>
                    <w:t>经厂区内污水处理站处理后排入市政管网</w:t>
                  </w:r>
                </w:p>
              </w:tc>
              <w:tc>
                <w:tcPr>
                  <w:tcW w:w="482" w:type="pct"/>
                  <w:vAlign w:val="center"/>
                </w:tcPr>
                <w:p w14:paraId="30466E0F">
                  <w:pPr>
                    <w:spacing w:line="240" w:lineRule="exact"/>
                    <w:jc w:val="center"/>
                    <w:rPr>
                      <w:bCs/>
                      <w:color w:val="auto"/>
                      <w:kern w:val="0"/>
                      <w:szCs w:val="21"/>
                      <w:lang w:bidi="zh-CN"/>
                    </w:rPr>
                  </w:pPr>
                  <w:r>
                    <w:rPr>
                      <w:rFonts w:hint="eastAsia"/>
                      <w:bCs/>
                      <w:color w:val="auto"/>
                      <w:kern w:val="0"/>
                      <w:szCs w:val="21"/>
                      <w:lang w:bidi="zh-CN"/>
                    </w:rPr>
                    <w:t>符合</w:t>
                  </w:r>
                </w:p>
              </w:tc>
            </w:tr>
          </w:tbl>
          <w:p w14:paraId="360887FA">
            <w:pPr>
              <w:autoSpaceDE w:val="0"/>
              <w:autoSpaceDN w:val="0"/>
              <w:spacing w:line="360" w:lineRule="auto"/>
              <w:ind w:firstLine="480" w:firstLineChars="200"/>
              <w:rPr>
                <w:color w:val="auto"/>
                <w:sz w:val="24"/>
              </w:rPr>
            </w:pPr>
            <w:r>
              <w:rPr>
                <w:rFonts w:hint="default" w:ascii="Times New Roman" w:hAnsi="Times New Roman" w:eastAsia="宋体" w:cs="Times New Roman"/>
                <w:color w:val="auto"/>
                <w:sz w:val="24"/>
                <w:szCs w:val="24"/>
                <w:highlight w:val="none"/>
              </w:rPr>
              <w:t>综上所述，</w:t>
            </w:r>
            <w:r>
              <w:rPr>
                <w:rFonts w:hint="eastAsia" w:cs="Times New Roman"/>
                <w:color w:val="auto"/>
                <w:sz w:val="24"/>
                <w:szCs w:val="24"/>
                <w:highlight w:val="none"/>
                <w:lang w:val="en-US" w:eastAsia="zh-CN"/>
              </w:rPr>
              <w:t>本项目依托生态环境分区管控信息平台，生态环境分区管控分析报告见附件8，符合《生态环境分区管控管理暂行规定》的通知（环环评〔2024〕41号），</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选址位于佳木斯市桦南县双果路与龙兴街交叉口西南侧，</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选址占地性质为</w:t>
            </w:r>
            <w:r>
              <w:rPr>
                <w:rFonts w:hint="eastAsia" w:ascii="Times New Roman" w:hAnsi="Times New Roman" w:eastAsia="宋体" w:cs="Times New Roman"/>
                <w:color w:val="auto"/>
                <w:sz w:val="24"/>
                <w:szCs w:val="24"/>
                <w:highlight w:val="none"/>
                <w:lang w:val="en-US" w:eastAsia="zh-CN"/>
              </w:rPr>
              <w:t>工业用地</w:t>
            </w:r>
            <w:r>
              <w:rPr>
                <w:rFonts w:hint="default" w:ascii="Times New Roman" w:hAnsi="Times New Roman" w:eastAsia="宋体" w:cs="Times New Roman"/>
                <w:color w:val="auto"/>
                <w:sz w:val="24"/>
                <w:szCs w:val="24"/>
                <w:highlight w:val="none"/>
                <w:lang w:val="en-US" w:eastAsia="zh-CN"/>
              </w:rPr>
              <w:t>，并采取了有效、可行的污染治理措施，各项污染物均可达标排放，</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建设对周围环境影响较小，因此</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符合</w:t>
            </w:r>
            <w:r>
              <w:rPr>
                <w:rFonts w:hint="default" w:ascii="Times New Roman" w:hAnsi="Times New Roman" w:eastAsia="宋体" w:cs="Times New Roman"/>
                <w:color w:val="auto"/>
                <w:sz w:val="24"/>
                <w:szCs w:val="24"/>
                <w:highlight w:val="none"/>
                <w:vertAlign w:val="baseline"/>
                <w:lang w:val="en-US" w:eastAsia="zh-CN"/>
              </w:rPr>
              <w:t>《佳木斯市生态环境准入清单（2023年版）》</w:t>
            </w:r>
            <w:r>
              <w:rPr>
                <w:rFonts w:hint="default" w:ascii="Times New Roman" w:hAnsi="Times New Roman" w:eastAsia="宋体" w:cs="Times New Roman"/>
                <w:color w:val="auto"/>
                <w:sz w:val="24"/>
                <w:szCs w:val="24"/>
                <w:highlight w:val="none"/>
                <w:lang w:val="en-US" w:eastAsia="zh-CN"/>
              </w:rPr>
              <w:t>中</w:t>
            </w:r>
            <w:r>
              <w:rPr>
                <w:rFonts w:hint="eastAsia" w:ascii="Times New Roman" w:hAnsi="Times New Roman" w:eastAsia="宋体" w:cs="Times New Roman"/>
                <w:color w:val="auto"/>
                <w:sz w:val="24"/>
                <w:szCs w:val="24"/>
                <w:highlight w:val="none"/>
                <w:lang w:val="en-US" w:eastAsia="zh-CN"/>
              </w:rPr>
              <w:t>相关</w:t>
            </w:r>
            <w:r>
              <w:rPr>
                <w:rFonts w:hint="default" w:ascii="Times New Roman" w:hAnsi="Times New Roman" w:eastAsia="宋体" w:cs="Times New Roman"/>
                <w:color w:val="auto"/>
                <w:sz w:val="24"/>
                <w:szCs w:val="24"/>
                <w:highlight w:val="none"/>
                <w:lang w:val="en-US" w:eastAsia="zh-CN"/>
              </w:rPr>
              <w:t>要求。</w:t>
            </w:r>
          </w:p>
          <w:p w14:paraId="415B2C35">
            <w:pPr>
              <w:autoSpaceDE w:val="0"/>
              <w:autoSpaceDN w:val="0"/>
              <w:adjustRightInd w:val="0"/>
              <w:spacing w:line="360" w:lineRule="auto"/>
              <w:rPr>
                <w:rFonts w:eastAsia="黑体"/>
                <w:color w:val="auto"/>
                <w:sz w:val="28"/>
                <w:szCs w:val="28"/>
              </w:rPr>
            </w:pPr>
            <w:r>
              <w:rPr>
                <w:rFonts w:hint="eastAsia" w:eastAsia="黑体"/>
                <w:color w:val="auto"/>
                <w:sz w:val="28"/>
                <w:szCs w:val="28"/>
                <w:lang w:val="en-US" w:eastAsia="zh-CN"/>
              </w:rPr>
              <w:t>五</w:t>
            </w:r>
            <w:r>
              <w:rPr>
                <w:rFonts w:eastAsia="黑体"/>
                <w:color w:val="auto"/>
                <w:sz w:val="28"/>
                <w:szCs w:val="28"/>
              </w:rPr>
              <w:t>、排污许可证制度衔接</w:t>
            </w:r>
          </w:p>
          <w:p w14:paraId="617B092E">
            <w:pPr>
              <w:autoSpaceDE w:val="0"/>
              <w:autoSpaceDN w:val="0"/>
              <w:adjustRightInd w:val="0"/>
              <w:snapToGrid w:val="0"/>
              <w:spacing w:line="500" w:lineRule="exact"/>
              <w:ind w:firstLine="480" w:firstLineChars="200"/>
              <w:rPr>
                <w:color w:val="auto"/>
                <w:kern w:val="0"/>
                <w:sz w:val="24"/>
              </w:rPr>
            </w:pPr>
            <w:r>
              <w:rPr>
                <w:color w:val="auto"/>
                <w:kern w:val="0"/>
                <w:sz w:val="24"/>
              </w:rPr>
              <w:t>本项目应严格按照国家排污许可证改革的要求，推进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对违法排污行为实施严厉打击。</w:t>
            </w:r>
          </w:p>
          <w:p w14:paraId="6646965C">
            <w:pPr>
              <w:autoSpaceDE w:val="0"/>
              <w:autoSpaceDN w:val="0"/>
              <w:adjustRightInd w:val="0"/>
              <w:snapToGrid w:val="0"/>
              <w:spacing w:line="500" w:lineRule="exact"/>
              <w:ind w:firstLine="480" w:firstLineChars="200"/>
              <w:rPr>
                <w:color w:val="auto"/>
              </w:rPr>
            </w:pPr>
            <w:r>
              <w:rPr>
                <w:color w:val="auto"/>
                <w:kern w:val="0"/>
                <w:sz w:val="24"/>
              </w:rPr>
              <w:t>根据《关于做好环境影响评价制度与排污许可制衔接相关工作的通知》(环办环评[2017]84 号)，建设项目发生实际排污行为之前，排污单位应当按照国家环境保护相关法律法规以及排污许可证申请与核发技术规范要求申请排污许可证，不得无证排污或不按证排污。</w:t>
            </w:r>
            <w:r>
              <w:rPr>
                <w:rFonts w:hint="eastAsia"/>
                <w:color w:val="auto"/>
                <w:kern w:val="0"/>
                <w:sz w:val="24"/>
              </w:rPr>
              <w:t>根据《固定污染源排污许可分类管理名录（2019年版）》，本项目属于登记管理，建设单位应按要求进行登记申报。</w:t>
            </w:r>
          </w:p>
        </w:tc>
      </w:tr>
    </w:tbl>
    <w:p w14:paraId="09247C09">
      <w:pPr>
        <w:spacing w:line="360" w:lineRule="auto"/>
        <w:outlineLvl w:val="0"/>
        <w:rPr>
          <w:rFonts w:eastAsia="黑体"/>
          <w:color w:val="auto"/>
          <w:sz w:val="30"/>
        </w:rPr>
        <w:sectPr>
          <w:footerReference r:id="rId5" w:type="default"/>
          <w:pgSz w:w="11905" w:h="16838"/>
          <w:pgMar w:top="1134" w:right="1134" w:bottom="1134" w:left="1134" w:header="851" w:footer="1077" w:gutter="0"/>
          <w:pgBorders>
            <w:top w:val="none" w:sz="0" w:space="0"/>
            <w:left w:val="none" w:sz="0" w:space="0"/>
            <w:bottom w:val="none" w:sz="0" w:space="0"/>
            <w:right w:val="none" w:sz="0" w:space="0"/>
          </w:pgBorders>
          <w:pgNumType w:start="1"/>
          <w:cols w:space="720" w:num="1"/>
          <w:docGrid w:type="linesAndChars" w:linePitch="323" w:charSpace="0"/>
        </w:sectPr>
      </w:pPr>
    </w:p>
    <w:p w14:paraId="68A58965">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bookmarkStart w:id="28" w:name="_Toc15710"/>
      <w:bookmarkStart w:id="29" w:name="_Toc26115"/>
      <w:r>
        <w:rPr>
          <w:rFonts w:ascii="Times New Roman" w:hAnsi="Times New Roman" w:eastAsia="黑体"/>
          <w:snapToGrid w:val="0"/>
          <w:color w:val="auto"/>
          <w:sz w:val="30"/>
          <w:szCs w:val="30"/>
        </w:rPr>
        <w:t>二、建设项目工程分析</w:t>
      </w:r>
      <w:bookmarkEnd w:id="28"/>
      <w:bookmarkEnd w:id="29"/>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4"/>
        <w:gridCol w:w="9079"/>
      </w:tblGrid>
      <w:tr w14:paraId="230B9D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8" w:hRule="atLeast"/>
          <w:jc w:val="center"/>
        </w:trPr>
        <w:tc>
          <w:tcPr>
            <w:tcW w:w="393" w:type="pct"/>
            <w:tcBorders>
              <w:right w:val="nil"/>
            </w:tcBorders>
            <w:vAlign w:val="center"/>
          </w:tcPr>
          <w:p w14:paraId="0826F4B8">
            <w:pPr>
              <w:pStyle w:val="33"/>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color w:val="auto"/>
                <w:szCs w:val="21"/>
                <w:highlight w:val="none"/>
              </w:rPr>
              <w:t>建设内容</w:t>
            </w:r>
          </w:p>
        </w:tc>
        <w:tc>
          <w:tcPr>
            <w:tcW w:w="4606" w:type="pct"/>
            <w:tcBorders>
              <w:top w:val="nil"/>
              <w:left w:val="nil"/>
              <w:bottom w:val="nil"/>
              <w:right w:val="nil"/>
            </w:tcBorders>
          </w:tcPr>
          <w:p w14:paraId="4C991F42">
            <w:pPr>
              <w:spacing w:line="360" w:lineRule="auto"/>
              <w:rPr>
                <w:rFonts w:eastAsia="黑体"/>
                <w:bCs/>
                <w:color w:val="auto"/>
                <w:sz w:val="28"/>
                <w:szCs w:val="28"/>
                <w:highlight w:val="none"/>
              </w:rPr>
            </w:pPr>
            <w:r>
              <w:rPr>
                <w:rFonts w:eastAsia="黑体"/>
                <w:bCs/>
                <w:color w:val="auto"/>
                <w:sz w:val="28"/>
                <w:szCs w:val="28"/>
                <w:highlight w:val="none"/>
              </w:rPr>
              <w:t>一、项目概况</w:t>
            </w:r>
          </w:p>
          <w:p w14:paraId="0F30565E">
            <w:pPr>
              <w:pStyle w:val="72"/>
              <w:spacing w:line="480" w:lineRule="exact"/>
              <w:rPr>
                <w:color w:val="auto"/>
                <w:highlight w:val="none"/>
              </w:rPr>
            </w:pPr>
            <w:r>
              <w:rPr>
                <w:rFonts w:hint="eastAsia"/>
                <w:color w:val="auto"/>
                <w:highlight w:val="none"/>
              </w:rPr>
              <w:t>本项目为</w:t>
            </w:r>
            <w:r>
              <w:rPr>
                <w:rFonts w:hint="eastAsia"/>
                <w:color w:val="auto"/>
                <w:highlight w:val="none"/>
                <w:lang w:eastAsia="zh-CN"/>
              </w:rPr>
              <w:t>黑龙江宏昌生物科技有限公司日加工500吨大豆（米糠）双生产线建设项目（重新报批）</w:t>
            </w:r>
            <w:r>
              <w:rPr>
                <w:rFonts w:hint="eastAsia"/>
                <w:color w:val="auto"/>
                <w:highlight w:val="none"/>
              </w:rPr>
              <w:t>，主要通过6万吨大豆和9万吨米糠生产制油。</w:t>
            </w:r>
          </w:p>
          <w:p w14:paraId="33647FA4">
            <w:pPr>
              <w:pStyle w:val="72"/>
              <w:spacing w:line="480" w:lineRule="exact"/>
              <w:rPr>
                <w:color w:val="auto"/>
                <w:szCs w:val="22"/>
                <w:highlight w:val="none"/>
              </w:rPr>
            </w:pPr>
            <w:r>
              <w:rPr>
                <w:color w:val="auto"/>
                <w:highlight w:val="none"/>
              </w:rPr>
              <w:t>（1）项目名称：</w:t>
            </w:r>
            <w:r>
              <w:rPr>
                <w:rFonts w:hint="eastAsia" w:cs="宋体"/>
                <w:color w:val="auto"/>
                <w:szCs w:val="21"/>
                <w:highlight w:val="none"/>
                <w:lang w:eastAsia="zh-CN"/>
              </w:rPr>
              <w:t>黑龙江宏昌生物科技有限公司日加工500吨大豆（米糠）双生产线建设项目（重新报批）</w:t>
            </w:r>
            <w:r>
              <w:rPr>
                <w:color w:val="auto"/>
                <w:szCs w:val="22"/>
                <w:highlight w:val="none"/>
              </w:rPr>
              <w:t>；</w:t>
            </w:r>
          </w:p>
          <w:p w14:paraId="42EBFD83">
            <w:pPr>
              <w:pStyle w:val="72"/>
              <w:spacing w:line="480" w:lineRule="exact"/>
              <w:rPr>
                <w:color w:val="auto"/>
                <w:highlight w:val="none"/>
              </w:rPr>
            </w:pPr>
            <w:r>
              <w:rPr>
                <w:color w:val="auto"/>
                <w:highlight w:val="none"/>
              </w:rPr>
              <w:t>（2）建设单位：</w:t>
            </w:r>
            <w:r>
              <w:rPr>
                <w:rFonts w:hint="eastAsia"/>
                <w:color w:val="auto"/>
                <w:highlight w:val="none"/>
              </w:rPr>
              <w:t>黑龙江宏昌生物科技有限公司</w:t>
            </w:r>
            <w:r>
              <w:rPr>
                <w:color w:val="auto"/>
                <w:highlight w:val="none"/>
              </w:rPr>
              <w:t>；</w:t>
            </w:r>
          </w:p>
          <w:p w14:paraId="1BDD9CDF">
            <w:pPr>
              <w:pStyle w:val="72"/>
              <w:spacing w:line="480" w:lineRule="exact"/>
              <w:rPr>
                <w:color w:val="auto"/>
                <w:highlight w:val="none"/>
              </w:rPr>
            </w:pPr>
            <w:r>
              <w:rPr>
                <w:color w:val="auto"/>
                <w:highlight w:val="none"/>
              </w:rPr>
              <w:t>（3）建设地点</w:t>
            </w:r>
            <w:r>
              <w:rPr>
                <w:color w:val="auto"/>
                <w:szCs w:val="22"/>
                <w:highlight w:val="none"/>
              </w:rPr>
              <w:t>：</w:t>
            </w:r>
            <w:r>
              <w:rPr>
                <w:color w:val="auto"/>
                <w:kern w:val="0"/>
                <w:szCs w:val="21"/>
                <w:highlight w:val="none"/>
              </w:rPr>
              <w:t>本项目</w:t>
            </w:r>
            <w:r>
              <w:rPr>
                <w:rFonts w:hint="eastAsia"/>
                <w:color w:val="auto"/>
                <w:kern w:val="0"/>
                <w:szCs w:val="21"/>
                <w:highlight w:val="none"/>
              </w:rPr>
              <w:t>位于</w:t>
            </w:r>
            <w:r>
              <w:rPr>
                <w:color w:val="auto"/>
                <w:highlight w:val="none"/>
              </w:rPr>
              <w:t>黑龙江省佳木斯市桦南县双果路与龙兴街交叉口西南侧</w:t>
            </w:r>
            <w:r>
              <w:rPr>
                <w:rFonts w:hint="eastAsia"/>
                <w:bCs/>
                <w:color w:val="auto"/>
                <w:kern w:val="0"/>
                <w:szCs w:val="21"/>
                <w:highlight w:val="none"/>
              </w:rPr>
              <w:t>，</w:t>
            </w:r>
            <w:r>
              <w:rPr>
                <w:rFonts w:hint="eastAsia"/>
                <w:color w:val="auto"/>
                <w:highlight w:val="none"/>
              </w:rPr>
              <w:t>项目东侧和北侧是道路，南侧是佳木斯六月土健康食品有限公司和西侧是先锋种业。</w:t>
            </w:r>
          </w:p>
          <w:p w14:paraId="4EE60E62">
            <w:pPr>
              <w:pStyle w:val="72"/>
              <w:spacing w:line="480" w:lineRule="exact"/>
              <w:rPr>
                <w:color w:val="auto"/>
                <w:highlight w:val="none"/>
              </w:rPr>
            </w:pPr>
            <w:r>
              <w:rPr>
                <w:color w:val="auto"/>
                <w:highlight w:val="none"/>
              </w:rPr>
              <w:t>（4）建设性质：</w:t>
            </w:r>
            <w:r>
              <w:rPr>
                <w:rFonts w:hint="eastAsia"/>
                <w:color w:val="auto"/>
                <w:highlight w:val="none"/>
                <w:lang w:eastAsia="zh-CN"/>
              </w:rPr>
              <w:t>新建</w:t>
            </w:r>
            <w:r>
              <w:rPr>
                <w:color w:val="auto"/>
                <w:highlight w:val="none"/>
              </w:rPr>
              <w:t>；</w:t>
            </w:r>
          </w:p>
          <w:p w14:paraId="0FA6E6D2">
            <w:pPr>
              <w:pStyle w:val="72"/>
              <w:spacing w:line="480" w:lineRule="exact"/>
              <w:rPr>
                <w:color w:val="auto"/>
                <w:highlight w:val="none"/>
              </w:rPr>
            </w:pPr>
            <w:r>
              <w:rPr>
                <w:color w:val="auto"/>
                <w:highlight w:val="none"/>
              </w:rPr>
              <w:t>（5）占地面积：项目占地面积</w:t>
            </w:r>
            <w:r>
              <w:rPr>
                <w:rFonts w:hint="eastAsia"/>
                <w:color w:val="auto"/>
                <w:highlight w:val="none"/>
              </w:rPr>
              <w:t>34965</w:t>
            </w:r>
            <w:r>
              <w:rPr>
                <w:color w:val="auto"/>
                <w:highlight w:val="none"/>
              </w:rPr>
              <w:t>m</w:t>
            </w:r>
            <w:r>
              <w:rPr>
                <w:color w:val="auto"/>
                <w:highlight w:val="none"/>
                <w:vertAlign w:val="superscript"/>
              </w:rPr>
              <w:t>2</w:t>
            </w:r>
            <w:r>
              <w:rPr>
                <w:color w:val="auto"/>
                <w:highlight w:val="none"/>
              </w:rPr>
              <w:t>；</w:t>
            </w:r>
          </w:p>
          <w:p w14:paraId="3F1D3A15">
            <w:pPr>
              <w:pStyle w:val="72"/>
              <w:spacing w:line="480" w:lineRule="exact"/>
              <w:rPr>
                <w:color w:val="auto"/>
                <w:highlight w:val="none"/>
              </w:rPr>
            </w:pPr>
            <w:r>
              <w:rPr>
                <w:color w:val="auto"/>
                <w:highlight w:val="none"/>
              </w:rPr>
              <w:t>（6）工程投资：项目总投资</w:t>
            </w:r>
            <w:r>
              <w:rPr>
                <w:rFonts w:hint="eastAsia"/>
                <w:color w:val="auto"/>
                <w:highlight w:val="none"/>
              </w:rPr>
              <w:t>18000.00</w:t>
            </w:r>
            <w:r>
              <w:rPr>
                <w:color w:val="auto"/>
                <w:highlight w:val="none"/>
              </w:rPr>
              <w:t>万元；</w:t>
            </w:r>
          </w:p>
          <w:p w14:paraId="38809788">
            <w:pPr>
              <w:pStyle w:val="72"/>
              <w:spacing w:line="480" w:lineRule="exact"/>
              <w:rPr>
                <w:color w:val="auto"/>
                <w:highlight w:val="none"/>
              </w:rPr>
            </w:pPr>
            <w:r>
              <w:rPr>
                <w:color w:val="auto"/>
                <w:highlight w:val="none"/>
              </w:rPr>
              <w:t>（7）工作制度与职工人数：</w:t>
            </w:r>
            <w:r>
              <w:rPr>
                <w:rFonts w:hint="eastAsia"/>
                <w:color w:val="auto"/>
                <w:highlight w:val="none"/>
              </w:rPr>
              <w:t>本项目年生产300天</w:t>
            </w:r>
            <w:r>
              <w:rPr>
                <w:rFonts w:hint="eastAsia"/>
                <w:color w:val="auto"/>
                <w:highlight w:val="none"/>
                <w:lang w:eastAsia="zh-CN"/>
              </w:rPr>
              <w:t>（</w:t>
            </w:r>
            <w:r>
              <w:rPr>
                <w:rFonts w:hint="eastAsia"/>
                <w:color w:val="auto"/>
                <w:highlight w:val="none"/>
                <w:lang w:val="en-US" w:eastAsia="zh-CN"/>
              </w:rPr>
              <w:t>大豆生产120天，米糠生产180天）</w:t>
            </w:r>
            <w:r>
              <w:rPr>
                <w:rFonts w:hint="eastAsia"/>
                <w:color w:val="auto"/>
                <w:highlight w:val="none"/>
              </w:rPr>
              <w:t>，3班制，每班8h，劳动定员为102人。</w:t>
            </w:r>
          </w:p>
          <w:p w14:paraId="7446F1FD">
            <w:pPr>
              <w:pStyle w:val="72"/>
              <w:spacing w:line="480" w:lineRule="exact"/>
              <w:rPr>
                <w:color w:val="auto"/>
                <w:highlight w:val="none"/>
              </w:rPr>
            </w:pPr>
            <w:r>
              <w:rPr>
                <w:color w:val="auto"/>
                <w:highlight w:val="none"/>
              </w:rPr>
              <w:t>（8）建设</w:t>
            </w:r>
            <w:r>
              <w:rPr>
                <w:rFonts w:hint="eastAsia"/>
                <w:color w:val="auto"/>
                <w:highlight w:val="none"/>
              </w:rPr>
              <w:t>内容</w:t>
            </w:r>
            <w:r>
              <w:rPr>
                <w:color w:val="auto"/>
                <w:highlight w:val="none"/>
              </w:rPr>
              <w:t>：预处理车间942m</w:t>
            </w:r>
            <w:r>
              <w:rPr>
                <w:color w:val="auto"/>
                <w:highlight w:val="none"/>
                <w:vertAlign w:val="superscript"/>
              </w:rPr>
              <w:t>2</w:t>
            </w:r>
            <w:r>
              <w:rPr>
                <w:rFonts w:hint="eastAsia"/>
                <w:color w:val="auto"/>
                <w:highlight w:val="none"/>
              </w:rPr>
              <w:t>、浸出车间771m</w:t>
            </w:r>
            <w:r>
              <w:rPr>
                <w:rFonts w:hint="eastAsia"/>
                <w:color w:val="auto"/>
                <w:highlight w:val="none"/>
                <w:vertAlign w:val="superscript"/>
              </w:rPr>
              <w:t>2</w:t>
            </w:r>
            <w:r>
              <w:rPr>
                <w:rFonts w:hint="eastAsia"/>
                <w:color w:val="auto"/>
                <w:highlight w:val="none"/>
              </w:rPr>
              <w:t>、糠粕加工车间5400m</w:t>
            </w:r>
            <w:r>
              <w:rPr>
                <w:rFonts w:hint="eastAsia"/>
                <w:color w:val="auto"/>
                <w:highlight w:val="none"/>
                <w:vertAlign w:val="superscript"/>
              </w:rPr>
              <w:t>2</w:t>
            </w:r>
            <w:r>
              <w:rPr>
                <w:rFonts w:hint="eastAsia"/>
                <w:color w:val="auto"/>
                <w:highlight w:val="none"/>
              </w:rPr>
              <w:t>、</w:t>
            </w:r>
            <w:r>
              <w:rPr>
                <w:rFonts w:hint="eastAsia"/>
                <w:color w:val="auto"/>
                <w:highlight w:val="none"/>
                <w:lang w:val="en-US" w:eastAsia="zh-CN"/>
              </w:rPr>
              <w:t>燃料库</w:t>
            </w:r>
            <w:r>
              <w:rPr>
                <w:rFonts w:hint="eastAsia"/>
                <w:color w:val="auto"/>
                <w:highlight w:val="none"/>
              </w:rPr>
              <w:t>3200m</w:t>
            </w:r>
            <w:r>
              <w:rPr>
                <w:rFonts w:hint="eastAsia"/>
                <w:color w:val="auto"/>
                <w:highlight w:val="none"/>
                <w:vertAlign w:val="superscript"/>
              </w:rPr>
              <w:t>2</w:t>
            </w:r>
            <w:r>
              <w:rPr>
                <w:rFonts w:hint="eastAsia"/>
                <w:color w:val="auto"/>
                <w:highlight w:val="none"/>
              </w:rPr>
              <w:t>、热动力车间1218m</w:t>
            </w:r>
            <w:r>
              <w:rPr>
                <w:rFonts w:hint="eastAsia"/>
                <w:color w:val="auto"/>
                <w:highlight w:val="none"/>
                <w:vertAlign w:val="superscript"/>
              </w:rPr>
              <w:t>2</w:t>
            </w:r>
            <w:r>
              <w:rPr>
                <w:rFonts w:hint="eastAsia"/>
                <w:color w:val="auto"/>
                <w:highlight w:val="none"/>
              </w:rPr>
              <w:t>、门卫24m</w:t>
            </w:r>
            <w:r>
              <w:rPr>
                <w:rFonts w:hint="eastAsia"/>
                <w:color w:val="auto"/>
                <w:highlight w:val="none"/>
                <w:vertAlign w:val="superscript"/>
              </w:rPr>
              <w:t>2</w:t>
            </w:r>
            <w:r>
              <w:rPr>
                <w:rFonts w:hint="eastAsia"/>
                <w:color w:val="auto"/>
                <w:highlight w:val="none"/>
              </w:rPr>
              <w:t>、办公楼1129m</w:t>
            </w:r>
            <w:r>
              <w:rPr>
                <w:rFonts w:hint="eastAsia"/>
                <w:color w:val="auto"/>
                <w:highlight w:val="none"/>
                <w:vertAlign w:val="superscript"/>
              </w:rPr>
              <w:t>2</w:t>
            </w:r>
            <w:r>
              <w:rPr>
                <w:rFonts w:hint="eastAsia"/>
                <w:color w:val="auto"/>
                <w:highlight w:val="none"/>
              </w:rPr>
              <w:t>、原料车间2160m</w:t>
            </w:r>
            <w:r>
              <w:rPr>
                <w:rFonts w:hint="eastAsia"/>
                <w:color w:val="auto"/>
                <w:highlight w:val="none"/>
                <w:vertAlign w:val="superscript"/>
              </w:rPr>
              <w:t>2</w:t>
            </w:r>
            <w:r>
              <w:rPr>
                <w:rFonts w:hint="eastAsia"/>
                <w:color w:val="auto"/>
                <w:highlight w:val="none"/>
              </w:rPr>
              <w:t>、地下溶剂库43m</w:t>
            </w:r>
            <w:r>
              <w:rPr>
                <w:rFonts w:hint="eastAsia"/>
                <w:color w:val="auto"/>
                <w:highlight w:val="none"/>
                <w:vertAlign w:val="superscript"/>
              </w:rPr>
              <w:t>2</w:t>
            </w:r>
            <w:r>
              <w:rPr>
                <w:rFonts w:hint="eastAsia"/>
                <w:color w:val="auto"/>
                <w:highlight w:val="none"/>
              </w:rPr>
              <w:t>、固废暂存间10m</w:t>
            </w:r>
            <w:r>
              <w:rPr>
                <w:rFonts w:hint="eastAsia"/>
                <w:color w:val="auto"/>
                <w:highlight w:val="none"/>
                <w:vertAlign w:val="superscript"/>
              </w:rPr>
              <w:t>2</w:t>
            </w:r>
            <w:r>
              <w:rPr>
                <w:rFonts w:hint="eastAsia"/>
                <w:color w:val="auto"/>
                <w:highlight w:val="none"/>
              </w:rPr>
              <w:t>、500m</w:t>
            </w:r>
            <w:r>
              <w:rPr>
                <w:rFonts w:hint="eastAsia"/>
                <w:color w:val="auto"/>
                <w:highlight w:val="none"/>
                <w:vertAlign w:val="superscript"/>
              </w:rPr>
              <w:t>3</w:t>
            </w:r>
            <w:r>
              <w:rPr>
                <w:rFonts w:hint="eastAsia"/>
                <w:color w:val="auto"/>
                <w:highlight w:val="none"/>
              </w:rPr>
              <w:t>液体油罐4座。并建设地中衡、消防泵房、消防水池、化粪池及场区硬化、给排水、电气、弱电、供热、消防等配套基础设施。</w:t>
            </w:r>
          </w:p>
          <w:p w14:paraId="5F7247BA">
            <w:pPr>
              <w:pStyle w:val="72"/>
              <w:spacing w:line="480" w:lineRule="exact"/>
              <w:rPr>
                <w:rFonts w:hint="eastAsia" w:eastAsia="宋体" w:cs="宋体"/>
                <w:color w:val="auto"/>
                <w:szCs w:val="21"/>
                <w:highlight w:val="none"/>
                <w:lang w:val="en-US" w:eastAsia="zh-CN"/>
              </w:rPr>
            </w:pPr>
            <w:r>
              <w:rPr>
                <w:rFonts w:hint="eastAsia"/>
                <w:color w:val="auto"/>
                <w:highlight w:val="none"/>
              </w:rPr>
              <w:t>（9）建设规模：项目建设日加工500吨大豆（米糠）双生产线，</w:t>
            </w:r>
            <w:r>
              <w:rPr>
                <w:rFonts w:hint="eastAsia"/>
                <w:color w:val="auto"/>
                <w:highlight w:val="none"/>
                <w:lang w:eastAsia="zh-CN"/>
              </w:rPr>
              <w:t>日加工</w:t>
            </w:r>
            <w:r>
              <w:rPr>
                <w:rFonts w:hint="eastAsia"/>
                <w:color w:val="auto"/>
                <w:highlight w:val="none"/>
                <w:lang w:val="en-US" w:eastAsia="zh-CN"/>
              </w:rPr>
              <w:t>500t大豆，年生产120天；日加工500t米糠，年生产180天。</w:t>
            </w:r>
            <w:r>
              <w:rPr>
                <w:rFonts w:hint="eastAsia"/>
                <w:color w:val="auto"/>
                <w:highlight w:val="none"/>
              </w:rPr>
              <w:t>用地面积34965</w:t>
            </w:r>
            <w:r>
              <w:rPr>
                <w:color w:val="auto"/>
                <w:highlight w:val="none"/>
              </w:rPr>
              <w:t>m</w:t>
            </w:r>
            <w:r>
              <w:rPr>
                <w:color w:val="auto"/>
                <w:highlight w:val="none"/>
                <w:vertAlign w:val="superscript"/>
              </w:rPr>
              <w:t>2</w:t>
            </w:r>
            <w:r>
              <w:rPr>
                <w:rFonts w:hint="eastAsia"/>
                <w:color w:val="auto"/>
                <w:highlight w:val="none"/>
              </w:rPr>
              <w:t>，总建筑面积20475</w:t>
            </w:r>
            <w:r>
              <w:rPr>
                <w:color w:val="auto"/>
                <w:highlight w:val="none"/>
              </w:rPr>
              <w:t>m</w:t>
            </w:r>
            <w:r>
              <w:rPr>
                <w:color w:val="auto"/>
                <w:highlight w:val="none"/>
                <w:vertAlign w:val="superscript"/>
              </w:rPr>
              <w:t>2</w:t>
            </w:r>
            <w:r>
              <w:rPr>
                <w:rFonts w:hint="eastAsia"/>
                <w:color w:val="auto"/>
                <w:highlight w:val="none"/>
              </w:rPr>
              <w:t>，计容面积35571</w:t>
            </w:r>
            <w:r>
              <w:rPr>
                <w:color w:val="auto"/>
                <w:highlight w:val="none"/>
              </w:rPr>
              <w:t>m</w:t>
            </w:r>
            <w:r>
              <w:rPr>
                <w:color w:val="auto"/>
                <w:highlight w:val="none"/>
                <w:vertAlign w:val="superscript"/>
              </w:rPr>
              <w:t>2</w:t>
            </w:r>
            <w:r>
              <w:rPr>
                <w:rFonts w:hint="eastAsia"/>
                <w:color w:val="auto"/>
                <w:highlight w:val="none"/>
              </w:rPr>
              <w:t>。</w:t>
            </w:r>
          </w:p>
          <w:p w14:paraId="7CBFA2E6">
            <w:pPr>
              <w:pStyle w:val="72"/>
              <w:spacing w:line="480" w:lineRule="exact"/>
              <w:rPr>
                <w:color w:val="auto"/>
                <w:highlight w:val="none"/>
              </w:rPr>
            </w:pPr>
            <w:r>
              <w:rPr>
                <w:color w:val="auto"/>
                <w:highlight w:val="none"/>
              </w:rPr>
              <w:t>本工程建设的主要内容为主体工程、辅助工程、公用工程和环保工程等，工程基本构成见表2-1。</w:t>
            </w:r>
          </w:p>
          <w:p w14:paraId="670F3B6E">
            <w:pPr>
              <w:pStyle w:val="95"/>
              <w:ind w:firstLine="0"/>
              <w:rPr>
                <w:color w:val="auto"/>
                <w:highlight w:val="none"/>
              </w:rPr>
            </w:pPr>
            <w:r>
              <w:rPr>
                <w:color w:val="auto"/>
                <w:highlight w:val="none"/>
              </w:rPr>
              <w:t>表2-1    建设项目组成一览表</w:t>
            </w:r>
          </w:p>
          <w:tbl>
            <w:tblPr>
              <w:tblStyle w:val="3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1"/>
              <w:gridCol w:w="1410"/>
              <w:gridCol w:w="6073"/>
              <w:gridCol w:w="822"/>
            </w:tblGrid>
            <w:tr w14:paraId="57BB6B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l2br w:val="nil"/>
                    <w:tr2bl w:val="nil"/>
                  </w:tcBorders>
                  <w:vAlign w:val="center"/>
                </w:tcPr>
                <w:p w14:paraId="672AA021">
                  <w:pPr>
                    <w:jc w:val="center"/>
                    <w:rPr>
                      <w:color w:val="auto"/>
                      <w:szCs w:val="21"/>
                      <w:highlight w:val="none"/>
                    </w:rPr>
                  </w:pPr>
                  <w:r>
                    <w:rPr>
                      <w:color w:val="auto"/>
                      <w:szCs w:val="21"/>
                      <w:highlight w:val="none"/>
                    </w:rPr>
                    <w:t>类别</w:t>
                  </w:r>
                </w:p>
              </w:tc>
              <w:tc>
                <w:tcPr>
                  <w:tcW w:w="796" w:type="pct"/>
                  <w:tcBorders>
                    <w:tl2br w:val="nil"/>
                    <w:tr2bl w:val="nil"/>
                  </w:tcBorders>
                  <w:vAlign w:val="center"/>
                </w:tcPr>
                <w:p w14:paraId="0621B848">
                  <w:pPr>
                    <w:jc w:val="center"/>
                    <w:rPr>
                      <w:color w:val="auto"/>
                      <w:szCs w:val="21"/>
                      <w:highlight w:val="none"/>
                    </w:rPr>
                  </w:pPr>
                  <w:r>
                    <w:rPr>
                      <w:color w:val="auto"/>
                      <w:szCs w:val="21"/>
                      <w:highlight w:val="none"/>
                    </w:rPr>
                    <w:t>项目</w:t>
                  </w:r>
                </w:p>
              </w:tc>
              <w:tc>
                <w:tcPr>
                  <w:tcW w:w="3428" w:type="pct"/>
                  <w:tcBorders>
                    <w:tl2br w:val="nil"/>
                    <w:tr2bl w:val="nil"/>
                  </w:tcBorders>
                  <w:vAlign w:val="center"/>
                </w:tcPr>
                <w:p w14:paraId="19C363AC">
                  <w:pPr>
                    <w:jc w:val="center"/>
                    <w:rPr>
                      <w:color w:val="auto"/>
                      <w:szCs w:val="21"/>
                      <w:highlight w:val="none"/>
                    </w:rPr>
                  </w:pPr>
                  <w:r>
                    <w:rPr>
                      <w:color w:val="auto"/>
                      <w:szCs w:val="21"/>
                      <w:highlight w:val="none"/>
                    </w:rPr>
                    <w:t>建设规模及内容</w:t>
                  </w:r>
                </w:p>
              </w:tc>
              <w:tc>
                <w:tcPr>
                  <w:tcW w:w="464" w:type="pct"/>
                  <w:tcBorders>
                    <w:tl2br w:val="nil"/>
                    <w:tr2bl w:val="nil"/>
                  </w:tcBorders>
                  <w:vAlign w:val="center"/>
                </w:tcPr>
                <w:p w14:paraId="56D1A998">
                  <w:pPr>
                    <w:jc w:val="center"/>
                    <w:rPr>
                      <w:color w:val="auto"/>
                      <w:szCs w:val="21"/>
                      <w:highlight w:val="none"/>
                    </w:rPr>
                  </w:pPr>
                  <w:r>
                    <w:rPr>
                      <w:rFonts w:hint="eastAsia"/>
                      <w:color w:val="auto"/>
                      <w:szCs w:val="21"/>
                      <w:highlight w:val="none"/>
                    </w:rPr>
                    <w:t>备注</w:t>
                  </w:r>
                </w:p>
              </w:tc>
            </w:tr>
            <w:tr w14:paraId="0C4F5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restart"/>
                  <w:tcBorders>
                    <w:tl2br w:val="nil"/>
                    <w:tr2bl w:val="nil"/>
                  </w:tcBorders>
                  <w:vAlign w:val="center"/>
                </w:tcPr>
                <w:p w14:paraId="65236265">
                  <w:pPr>
                    <w:jc w:val="center"/>
                    <w:rPr>
                      <w:color w:val="auto"/>
                      <w:szCs w:val="21"/>
                      <w:highlight w:val="none"/>
                    </w:rPr>
                  </w:pPr>
                  <w:r>
                    <w:rPr>
                      <w:color w:val="auto"/>
                      <w:szCs w:val="21"/>
                      <w:highlight w:val="none"/>
                    </w:rPr>
                    <w:t>主体工程</w:t>
                  </w:r>
                </w:p>
              </w:tc>
              <w:tc>
                <w:tcPr>
                  <w:tcW w:w="796" w:type="pct"/>
                  <w:tcBorders>
                    <w:tl2br w:val="nil"/>
                    <w:tr2bl w:val="nil"/>
                  </w:tcBorders>
                  <w:vAlign w:val="center"/>
                </w:tcPr>
                <w:p w14:paraId="6CFB0D05">
                  <w:pPr>
                    <w:jc w:val="center"/>
                    <w:rPr>
                      <w:color w:val="auto"/>
                      <w:szCs w:val="21"/>
                      <w:highlight w:val="none"/>
                    </w:rPr>
                  </w:pPr>
                  <w:r>
                    <w:rPr>
                      <w:rFonts w:hint="eastAsia"/>
                      <w:color w:val="auto"/>
                      <w:szCs w:val="21"/>
                      <w:highlight w:val="none"/>
                    </w:rPr>
                    <w:t>预处理车间</w:t>
                  </w:r>
                </w:p>
              </w:tc>
              <w:tc>
                <w:tcPr>
                  <w:tcW w:w="3428" w:type="pct"/>
                  <w:tcBorders>
                    <w:tl2br w:val="nil"/>
                    <w:tr2bl w:val="nil"/>
                  </w:tcBorders>
                  <w:vAlign w:val="center"/>
                </w:tcPr>
                <w:p w14:paraId="12B143B3">
                  <w:pPr>
                    <w:rPr>
                      <w:color w:val="auto"/>
                      <w:szCs w:val="21"/>
                      <w:highlight w:val="none"/>
                    </w:rPr>
                  </w:pPr>
                  <w:r>
                    <w:rPr>
                      <w:rFonts w:hint="eastAsia"/>
                      <w:color w:val="auto"/>
                      <w:szCs w:val="21"/>
                      <w:highlight w:val="none"/>
                    </w:rPr>
                    <w:t>建筑面积942</w:t>
                  </w:r>
                  <w:r>
                    <w:rPr>
                      <w:color w:val="auto"/>
                      <w:szCs w:val="21"/>
                      <w:highlight w:val="none"/>
                    </w:rPr>
                    <w:t>m</w:t>
                  </w:r>
                  <w:r>
                    <w:rPr>
                      <w:color w:val="auto"/>
                      <w:szCs w:val="21"/>
                      <w:highlight w:val="none"/>
                      <w:vertAlign w:val="superscript"/>
                    </w:rPr>
                    <w:t>2</w:t>
                  </w:r>
                  <w:r>
                    <w:rPr>
                      <w:rFonts w:hint="eastAsia"/>
                      <w:color w:val="auto"/>
                      <w:szCs w:val="21"/>
                      <w:highlight w:val="none"/>
                    </w:rPr>
                    <w:t>，建筑高度9-18m，钢结构，独立基础；车间内包括预处理车间和配电室，预处理车间配备1套大豆预处理设备和1套米糠预处理设备，对大豆和米糠进行预处理。大豆预处理工艺为大豆→筛选→软化→轧扎胚→烘干；米糠预处理工艺为米糠→筛分→造粒→烘干。</w:t>
                  </w:r>
                </w:p>
              </w:tc>
              <w:tc>
                <w:tcPr>
                  <w:tcW w:w="464" w:type="pct"/>
                  <w:tcBorders>
                    <w:tl2br w:val="nil"/>
                    <w:tr2bl w:val="nil"/>
                  </w:tcBorders>
                  <w:vAlign w:val="center"/>
                </w:tcPr>
                <w:p w14:paraId="3519FC2F">
                  <w:pPr>
                    <w:rPr>
                      <w:rFonts w:hint="eastAsia" w:eastAsia="宋体"/>
                      <w:color w:val="auto"/>
                      <w:szCs w:val="21"/>
                      <w:highlight w:val="none"/>
                      <w:lang w:eastAsia="zh-CN"/>
                    </w:rPr>
                  </w:pPr>
                  <w:r>
                    <w:rPr>
                      <w:rFonts w:hint="eastAsia"/>
                      <w:color w:val="auto"/>
                      <w:szCs w:val="21"/>
                      <w:highlight w:val="none"/>
                      <w:lang w:val="en-US" w:eastAsia="zh-CN"/>
                    </w:rPr>
                    <w:t>已建</w:t>
                  </w:r>
                </w:p>
              </w:tc>
            </w:tr>
            <w:tr w14:paraId="2A3273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311" w:type="pct"/>
                  <w:vMerge w:val="continue"/>
                  <w:tcBorders>
                    <w:tl2br w:val="nil"/>
                    <w:tr2bl w:val="nil"/>
                  </w:tcBorders>
                  <w:vAlign w:val="center"/>
                </w:tcPr>
                <w:p w14:paraId="1D048482">
                  <w:pPr>
                    <w:jc w:val="center"/>
                    <w:rPr>
                      <w:color w:val="auto"/>
                      <w:szCs w:val="21"/>
                      <w:highlight w:val="none"/>
                    </w:rPr>
                  </w:pPr>
                </w:p>
              </w:tc>
              <w:tc>
                <w:tcPr>
                  <w:tcW w:w="796" w:type="pct"/>
                  <w:tcBorders>
                    <w:tl2br w:val="nil"/>
                    <w:tr2bl w:val="nil"/>
                  </w:tcBorders>
                  <w:vAlign w:val="center"/>
                </w:tcPr>
                <w:p w14:paraId="67412F18">
                  <w:pPr>
                    <w:jc w:val="center"/>
                    <w:rPr>
                      <w:color w:val="auto"/>
                      <w:szCs w:val="21"/>
                      <w:highlight w:val="none"/>
                    </w:rPr>
                  </w:pPr>
                  <w:r>
                    <w:rPr>
                      <w:color w:val="auto"/>
                      <w:szCs w:val="21"/>
                      <w:highlight w:val="none"/>
                    </w:rPr>
                    <w:t>浸出车间</w:t>
                  </w:r>
                </w:p>
              </w:tc>
              <w:tc>
                <w:tcPr>
                  <w:tcW w:w="3428" w:type="pct"/>
                  <w:tcBorders>
                    <w:tl2br w:val="nil"/>
                    <w:tr2bl w:val="nil"/>
                  </w:tcBorders>
                  <w:vAlign w:val="center"/>
                </w:tcPr>
                <w:p w14:paraId="39A78A14">
                  <w:pPr>
                    <w:rPr>
                      <w:rFonts w:hint="eastAsia" w:eastAsia="宋体"/>
                      <w:color w:val="auto"/>
                      <w:szCs w:val="21"/>
                      <w:highlight w:val="none"/>
                      <w:lang w:eastAsia="zh-CN"/>
                    </w:rPr>
                  </w:pPr>
                  <w:r>
                    <w:rPr>
                      <w:rFonts w:hint="eastAsia"/>
                      <w:color w:val="auto"/>
                      <w:szCs w:val="21"/>
                      <w:highlight w:val="none"/>
                    </w:rPr>
                    <w:t>建筑面积771</w:t>
                  </w:r>
                  <w:r>
                    <w:rPr>
                      <w:color w:val="auto"/>
                      <w:szCs w:val="21"/>
                      <w:highlight w:val="none"/>
                    </w:rPr>
                    <w:t>m</w:t>
                  </w:r>
                  <w:r>
                    <w:rPr>
                      <w:color w:val="auto"/>
                      <w:szCs w:val="21"/>
                      <w:highlight w:val="none"/>
                      <w:vertAlign w:val="superscript"/>
                    </w:rPr>
                    <w:t>2</w:t>
                  </w:r>
                  <w:r>
                    <w:rPr>
                      <w:rFonts w:hint="eastAsia"/>
                      <w:color w:val="auto"/>
                      <w:szCs w:val="21"/>
                      <w:highlight w:val="none"/>
                    </w:rPr>
                    <w:t>，建筑高度16-18m，</w:t>
                  </w:r>
                  <w:r>
                    <w:rPr>
                      <w:rFonts w:hint="eastAsia"/>
                      <w:color w:val="auto"/>
                      <w:szCs w:val="21"/>
                      <w:highlight w:val="none"/>
                      <w:lang w:eastAsia="zh-CN"/>
                    </w:rPr>
                    <w:t>砖混</w:t>
                  </w:r>
                  <w:r>
                    <w:rPr>
                      <w:rFonts w:hint="eastAsia"/>
                      <w:color w:val="auto"/>
                      <w:szCs w:val="21"/>
                      <w:highlight w:val="none"/>
                    </w:rPr>
                    <w:t>结构，独立基础；车间内配备一套浸出设备，对大豆和米糠进行浸出。主要设备有汽提塔、吸收塔、解析塔、冷凝器、蒸发器等。烘干后的大豆颗粒和米糠进入浸出容器，利用溶剂</w:t>
                  </w:r>
                  <w:r>
                    <w:rPr>
                      <w:rFonts w:hint="eastAsia"/>
                      <w:bCs/>
                      <w:color w:val="auto"/>
                      <w:kern w:val="0"/>
                      <w:szCs w:val="21"/>
                      <w:highlight w:val="none"/>
                      <w:lang w:bidi="ar"/>
                    </w:rPr>
                    <w:t>（正己烷）</w:t>
                  </w:r>
                  <w:r>
                    <w:rPr>
                      <w:rFonts w:hint="eastAsia"/>
                      <w:color w:val="auto"/>
                      <w:szCs w:val="21"/>
                      <w:highlight w:val="none"/>
                    </w:rPr>
                    <w:t>浸出后，</w:t>
                  </w:r>
                  <w:r>
                    <w:rPr>
                      <w:rFonts w:hint="eastAsia"/>
                      <w:color w:val="auto"/>
                      <w:szCs w:val="21"/>
                      <w:highlight w:val="none"/>
                      <w:lang w:eastAsia="zh-CN"/>
                    </w:rPr>
                    <w:t>装入储罐</w:t>
                  </w:r>
                  <w:r>
                    <w:rPr>
                      <w:rFonts w:hint="eastAsia"/>
                      <w:color w:val="auto"/>
                      <w:szCs w:val="21"/>
                      <w:highlight w:val="none"/>
                    </w:rPr>
                    <w:t>。</w:t>
                  </w:r>
                  <w:r>
                    <w:rPr>
                      <w:rFonts w:hint="eastAsia"/>
                      <w:color w:val="auto"/>
                      <w:szCs w:val="21"/>
                      <w:highlight w:val="none"/>
                      <w:lang w:eastAsia="zh-CN"/>
                    </w:rPr>
                    <w:t>湿粕在浸出车间进行溶剂蒸脱和烘干，烘干后的豆粕和糠粕送入糠粕加工车间。</w:t>
                  </w:r>
                </w:p>
              </w:tc>
              <w:tc>
                <w:tcPr>
                  <w:tcW w:w="464" w:type="pct"/>
                  <w:tcBorders>
                    <w:tl2br w:val="nil"/>
                    <w:tr2bl w:val="nil"/>
                  </w:tcBorders>
                  <w:vAlign w:val="center"/>
                </w:tcPr>
                <w:p w14:paraId="1E634C56">
                  <w:pPr>
                    <w:rPr>
                      <w:color w:val="auto"/>
                      <w:szCs w:val="21"/>
                      <w:highlight w:val="none"/>
                    </w:rPr>
                  </w:pPr>
                  <w:r>
                    <w:rPr>
                      <w:rFonts w:hint="eastAsia"/>
                      <w:color w:val="auto"/>
                      <w:szCs w:val="21"/>
                      <w:highlight w:val="none"/>
                      <w:lang w:val="en-US" w:eastAsia="zh-CN"/>
                    </w:rPr>
                    <w:t>已建</w:t>
                  </w:r>
                </w:p>
              </w:tc>
            </w:tr>
            <w:tr w14:paraId="40CA8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0AADD368">
                  <w:pPr>
                    <w:jc w:val="center"/>
                    <w:rPr>
                      <w:color w:val="auto"/>
                      <w:szCs w:val="21"/>
                      <w:highlight w:val="none"/>
                    </w:rPr>
                  </w:pPr>
                </w:p>
              </w:tc>
              <w:tc>
                <w:tcPr>
                  <w:tcW w:w="796" w:type="pct"/>
                  <w:tcBorders>
                    <w:tl2br w:val="nil"/>
                    <w:tr2bl w:val="nil"/>
                  </w:tcBorders>
                  <w:vAlign w:val="center"/>
                </w:tcPr>
                <w:p w14:paraId="05C81513">
                  <w:pPr>
                    <w:jc w:val="center"/>
                    <w:rPr>
                      <w:color w:val="auto"/>
                      <w:szCs w:val="21"/>
                      <w:highlight w:val="none"/>
                    </w:rPr>
                  </w:pPr>
                  <w:r>
                    <w:rPr>
                      <w:rFonts w:hint="eastAsia"/>
                      <w:color w:val="auto"/>
                      <w:szCs w:val="21"/>
                      <w:highlight w:val="none"/>
                    </w:rPr>
                    <w:t>糠粕加工车间</w:t>
                  </w:r>
                </w:p>
              </w:tc>
              <w:tc>
                <w:tcPr>
                  <w:tcW w:w="3428" w:type="pct"/>
                  <w:tcBorders>
                    <w:tl2br w:val="nil"/>
                    <w:tr2bl w:val="nil"/>
                  </w:tcBorders>
                  <w:vAlign w:val="center"/>
                </w:tcPr>
                <w:p w14:paraId="4B0BF396">
                  <w:pPr>
                    <w:rPr>
                      <w:color w:val="auto"/>
                      <w:szCs w:val="21"/>
                      <w:highlight w:val="none"/>
                    </w:rPr>
                  </w:pPr>
                  <w:r>
                    <w:rPr>
                      <w:rFonts w:hint="eastAsia"/>
                      <w:color w:val="auto"/>
                      <w:szCs w:val="21"/>
                      <w:highlight w:val="none"/>
                    </w:rPr>
                    <w:t>建筑面积5400</w:t>
                  </w:r>
                  <w:r>
                    <w:rPr>
                      <w:color w:val="auto"/>
                      <w:szCs w:val="21"/>
                      <w:highlight w:val="none"/>
                    </w:rPr>
                    <w:t>m</w:t>
                  </w:r>
                  <w:r>
                    <w:rPr>
                      <w:color w:val="auto"/>
                      <w:szCs w:val="21"/>
                      <w:highlight w:val="none"/>
                      <w:vertAlign w:val="superscript"/>
                    </w:rPr>
                    <w:t>2</w:t>
                  </w:r>
                  <w:r>
                    <w:rPr>
                      <w:rFonts w:hint="eastAsia"/>
                      <w:color w:val="auto"/>
                      <w:szCs w:val="21"/>
                      <w:highlight w:val="none"/>
                    </w:rPr>
                    <w:t>，建筑高度8m，钢结构，独立基础；</w:t>
                  </w:r>
                  <w:r>
                    <w:rPr>
                      <w:rFonts w:hint="eastAsia"/>
                      <w:color w:val="auto"/>
                      <w:szCs w:val="21"/>
                      <w:highlight w:val="none"/>
                      <w:lang w:eastAsia="zh-CN"/>
                    </w:rPr>
                    <w:t>该车间对烘干后的豆粕和米糠粕进行装袋仓储，待售卖。</w:t>
                  </w:r>
                </w:p>
              </w:tc>
              <w:tc>
                <w:tcPr>
                  <w:tcW w:w="464" w:type="pct"/>
                  <w:tcBorders>
                    <w:tl2br w:val="nil"/>
                    <w:tr2bl w:val="nil"/>
                  </w:tcBorders>
                  <w:vAlign w:val="center"/>
                </w:tcPr>
                <w:p w14:paraId="0B05F7A6">
                  <w:pPr>
                    <w:rPr>
                      <w:color w:val="auto"/>
                      <w:szCs w:val="21"/>
                      <w:highlight w:val="none"/>
                    </w:rPr>
                  </w:pPr>
                  <w:r>
                    <w:rPr>
                      <w:rFonts w:hint="eastAsia"/>
                      <w:color w:val="auto"/>
                      <w:szCs w:val="21"/>
                      <w:highlight w:val="none"/>
                      <w:lang w:val="en-US" w:eastAsia="zh-CN"/>
                    </w:rPr>
                    <w:t>已建</w:t>
                  </w:r>
                </w:p>
              </w:tc>
            </w:tr>
            <w:tr w14:paraId="529219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restart"/>
                  <w:tcBorders>
                    <w:tl2br w:val="nil"/>
                    <w:tr2bl w:val="nil"/>
                  </w:tcBorders>
                  <w:vAlign w:val="center"/>
                </w:tcPr>
                <w:p w14:paraId="4B582FFD">
                  <w:pPr>
                    <w:jc w:val="center"/>
                    <w:rPr>
                      <w:color w:val="auto"/>
                      <w:szCs w:val="21"/>
                      <w:highlight w:val="none"/>
                    </w:rPr>
                  </w:pPr>
                  <w:r>
                    <w:rPr>
                      <w:rFonts w:hint="eastAsia"/>
                      <w:color w:val="auto"/>
                      <w:szCs w:val="21"/>
                      <w:highlight w:val="none"/>
                    </w:rPr>
                    <w:t>辅助工程</w:t>
                  </w:r>
                </w:p>
              </w:tc>
              <w:tc>
                <w:tcPr>
                  <w:tcW w:w="796" w:type="pct"/>
                  <w:tcBorders>
                    <w:tl2br w:val="nil"/>
                    <w:tr2bl w:val="nil"/>
                  </w:tcBorders>
                  <w:vAlign w:val="center"/>
                </w:tcPr>
                <w:p w14:paraId="27E86C2E">
                  <w:pPr>
                    <w:jc w:val="center"/>
                    <w:rPr>
                      <w:color w:val="auto"/>
                      <w:szCs w:val="21"/>
                      <w:highlight w:val="none"/>
                    </w:rPr>
                  </w:pPr>
                  <w:r>
                    <w:rPr>
                      <w:rFonts w:hint="eastAsia"/>
                      <w:color w:val="auto"/>
                      <w:szCs w:val="21"/>
                      <w:highlight w:val="none"/>
                    </w:rPr>
                    <w:t>热动力车间</w:t>
                  </w:r>
                </w:p>
              </w:tc>
              <w:tc>
                <w:tcPr>
                  <w:tcW w:w="3428" w:type="pct"/>
                  <w:tcBorders>
                    <w:tl2br w:val="nil"/>
                    <w:tr2bl w:val="nil"/>
                  </w:tcBorders>
                  <w:vAlign w:val="center"/>
                </w:tcPr>
                <w:p w14:paraId="46A96BB6">
                  <w:pPr>
                    <w:rPr>
                      <w:color w:val="auto"/>
                      <w:szCs w:val="21"/>
                      <w:highlight w:val="none"/>
                    </w:rPr>
                  </w:pPr>
                  <w:r>
                    <w:rPr>
                      <w:rFonts w:hint="eastAsia"/>
                      <w:color w:val="auto"/>
                      <w:szCs w:val="21"/>
                      <w:highlight w:val="none"/>
                    </w:rPr>
                    <w:t>建筑面积1218</w:t>
                  </w:r>
                  <w:r>
                    <w:rPr>
                      <w:color w:val="auto"/>
                      <w:szCs w:val="21"/>
                      <w:highlight w:val="none"/>
                    </w:rPr>
                    <w:t>m</w:t>
                  </w:r>
                  <w:r>
                    <w:rPr>
                      <w:color w:val="auto"/>
                      <w:szCs w:val="21"/>
                      <w:highlight w:val="none"/>
                      <w:vertAlign w:val="superscript"/>
                    </w:rPr>
                    <w:t>2</w:t>
                  </w:r>
                  <w:r>
                    <w:rPr>
                      <w:rFonts w:hint="eastAsia"/>
                      <w:color w:val="auto"/>
                      <w:szCs w:val="21"/>
                      <w:highlight w:val="none"/>
                    </w:rPr>
                    <w:t>，，建筑高度13m，钢结构，独立基础；车间内建设一台1台1</w:t>
                  </w:r>
                  <w:r>
                    <w:rPr>
                      <w:rFonts w:hint="eastAsia"/>
                      <w:color w:val="auto"/>
                      <w:szCs w:val="21"/>
                      <w:highlight w:val="none"/>
                      <w:lang w:val="en-US" w:eastAsia="zh-CN"/>
                    </w:rPr>
                    <w:t>8</w:t>
                  </w:r>
                  <w:r>
                    <w:rPr>
                      <w:rFonts w:hint="eastAsia"/>
                      <w:color w:val="auto"/>
                      <w:szCs w:val="21"/>
                      <w:highlight w:val="none"/>
                    </w:rPr>
                    <w:t>t/h的生物质蒸汽锅炉供给，1台1</w:t>
                  </w:r>
                  <w:r>
                    <w:rPr>
                      <w:rFonts w:hint="eastAsia"/>
                      <w:color w:val="auto"/>
                      <w:szCs w:val="21"/>
                      <w:highlight w:val="none"/>
                      <w:lang w:val="en-US" w:eastAsia="zh-CN"/>
                    </w:rPr>
                    <w:t>5</w:t>
                  </w:r>
                  <w:r>
                    <w:rPr>
                      <w:rFonts w:hint="eastAsia"/>
                      <w:color w:val="auto"/>
                      <w:szCs w:val="21"/>
                      <w:highlight w:val="none"/>
                    </w:rPr>
                    <w:t>t/h的生物质蒸汽锅炉作为备用锅炉</w:t>
                  </w:r>
                  <w:r>
                    <w:rPr>
                      <w:rFonts w:hint="eastAsia"/>
                      <w:color w:val="auto"/>
                      <w:lang w:eastAsia="zh-CN"/>
                    </w:rPr>
                    <w:t>，</w:t>
                  </w:r>
                  <w:r>
                    <w:rPr>
                      <w:rFonts w:hint="eastAsia"/>
                      <w:color w:val="auto"/>
                      <w:lang w:val="en-US" w:eastAsia="zh-CN"/>
                    </w:rPr>
                    <w:t>当</w:t>
                  </w:r>
                  <w:r>
                    <w:rPr>
                      <w:rFonts w:hint="eastAsia"/>
                      <w:color w:val="auto"/>
                      <w:szCs w:val="21"/>
                      <w:highlight w:val="none"/>
                    </w:rPr>
                    <w:t>1</w:t>
                  </w:r>
                  <w:r>
                    <w:rPr>
                      <w:rFonts w:hint="eastAsia"/>
                      <w:color w:val="auto"/>
                      <w:szCs w:val="21"/>
                      <w:highlight w:val="none"/>
                      <w:lang w:val="en-US" w:eastAsia="zh-CN"/>
                    </w:rPr>
                    <w:t>8</w:t>
                  </w:r>
                  <w:r>
                    <w:rPr>
                      <w:rFonts w:hint="eastAsia"/>
                      <w:color w:val="auto"/>
                      <w:szCs w:val="21"/>
                      <w:highlight w:val="none"/>
                    </w:rPr>
                    <w:t>t/h的生物质蒸汽锅炉</w:t>
                  </w:r>
                  <w:r>
                    <w:rPr>
                      <w:rFonts w:hint="eastAsia"/>
                      <w:color w:val="auto"/>
                      <w:szCs w:val="21"/>
                      <w:highlight w:val="none"/>
                      <w:lang w:val="en-US" w:eastAsia="zh-CN"/>
                    </w:rPr>
                    <w:t>故障时启用备用锅炉</w:t>
                  </w:r>
                  <w:r>
                    <w:rPr>
                      <w:rFonts w:hint="eastAsia"/>
                      <w:color w:val="auto"/>
                      <w:szCs w:val="21"/>
                      <w:highlight w:val="none"/>
                    </w:rPr>
                    <w:t>，并配套除尘设施</w:t>
                  </w:r>
                  <w:r>
                    <w:rPr>
                      <w:rFonts w:hint="eastAsia"/>
                      <w:color w:val="auto"/>
                      <w:szCs w:val="21"/>
                      <w:highlight w:val="none"/>
                      <w:lang w:eastAsia="zh-CN"/>
                    </w:rPr>
                    <w:t>，配套软化设施</w:t>
                  </w:r>
                  <w:r>
                    <w:rPr>
                      <w:rFonts w:hint="eastAsia"/>
                      <w:color w:val="auto"/>
                      <w:szCs w:val="21"/>
                      <w:highlight w:val="none"/>
                    </w:rPr>
                    <w:t>。</w:t>
                  </w:r>
                </w:p>
              </w:tc>
              <w:tc>
                <w:tcPr>
                  <w:tcW w:w="464" w:type="pct"/>
                  <w:tcBorders>
                    <w:tl2br w:val="nil"/>
                    <w:tr2bl w:val="nil"/>
                  </w:tcBorders>
                  <w:vAlign w:val="center"/>
                </w:tcPr>
                <w:p w14:paraId="78177BE7">
                  <w:pPr>
                    <w:rPr>
                      <w:color w:val="auto"/>
                      <w:szCs w:val="21"/>
                      <w:highlight w:val="none"/>
                    </w:rPr>
                  </w:pPr>
                  <w:r>
                    <w:rPr>
                      <w:rFonts w:hint="eastAsia"/>
                      <w:color w:val="auto"/>
                      <w:szCs w:val="21"/>
                      <w:highlight w:val="none"/>
                      <w:lang w:val="en-US" w:eastAsia="zh-CN"/>
                    </w:rPr>
                    <w:t>已建</w:t>
                  </w:r>
                </w:p>
              </w:tc>
            </w:tr>
            <w:tr w14:paraId="45F21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2CAF473C">
                  <w:pPr>
                    <w:jc w:val="center"/>
                    <w:rPr>
                      <w:color w:val="auto"/>
                      <w:szCs w:val="21"/>
                      <w:highlight w:val="none"/>
                    </w:rPr>
                  </w:pPr>
                </w:p>
              </w:tc>
              <w:tc>
                <w:tcPr>
                  <w:tcW w:w="796" w:type="pct"/>
                  <w:tcBorders>
                    <w:tl2br w:val="nil"/>
                    <w:tr2bl w:val="nil"/>
                  </w:tcBorders>
                  <w:vAlign w:val="center"/>
                </w:tcPr>
                <w:p w14:paraId="5A0AED7C">
                  <w:pPr>
                    <w:jc w:val="center"/>
                    <w:rPr>
                      <w:color w:val="auto"/>
                      <w:szCs w:val="21"/>
                      <w:highlight w:val="none"/>
                    </w:rPr>
                  </w:pPr>
                  <w:r>
                    <w:rPr>
                      <w:rFonts w:hint="eastAsia"/>
                      <w:color w:val="auto"/>
                      <w:szCs w:val="21"/>
                      <w:highlight w:val="none"/>
                    </w:rPr>
                    <w:t>门卫</w:t>
                  </w:r>
                </w:p>
              </w:tc>
              <w:tc>
                <w:tcPr>
                  <w:tcW w:w="3428" w:type="pct"/>
                  <w:tcBorders>
                    <w:tl2br w:val="nil"/>
                    <w:tr2bl w:val="nil"/>
                  </w:tcBorders>
                  <w:vAlign w:val="center"/>
                </w:tcPr>
                <w:p w14:paraId="79122EE0">
                  <w:pPr>
                    <w:rPr>
                      <w:color w:val="auto"/>
                      <w:szCs w:val="21"/>
                      <w:highlight w:val="none"/>
                    </w:rPr>
                  </w:pPr>
                  <w:r>
                    <w:rPr>
                      <w:color w:val="auto"/>
                      <w:szCs w:val="21"/>
                      <w:highlight w:val="none"/>
                    </w:rPr>
                    <w:t>建筑面积24m</w:t>
                  </w:r>
                  <w:r>
                    <w:rPr>
                      <w:color w:val="auto"/>
                      <w:szCs w:val="21"/>
                      <w:highlight w:val="none"/>
                      <w:vertAlign w:val="superscript"/>
                    </w:rPr>
                    <w:t>2</w:t>
                  </w:r>
                  <w:r>
                    <w:rPr>
                      <w:color w:val="auto"/>
                      <w:szCs w:val="21"/>
                      <w:highlight w:val="none"/>
                    </w:rPr>
                    <w:t>，砖混结构，建筑高度4.0m；</w:t>
                  </w:r>
                </w:p>
              </w:tc>
              <w:tc>
                <w:tcPr>
                  <w:tcW w:w="464" w:type="pct"/>
                  <w:tcBorders>
                    <w:tl2br w:val="nil"/>
                    <w:tr2bl w:val="nil"/>
                  </w:tcBorders>
                  <w:vAlign w:val="center"/>
                </w:tcPr>
                <w:p w14:paraId="5D252372">
                  <w:pPr>
                    <w:rPr>
                      <w:color w:val="auto"/>
                      <w:szCs w:val="21"/>
                      <w:highlight w:val="none"/>
                    </w:rPr>
                  </w:pPr>
                  <w:r>
                    <w:rPr>
                      <w:rFonts w:hint="eastAsia"/>
                      <w:color w:val="auto"/>
                      <w:szCs w:val="21"/>
                      <w:highlight w:val="none"/>
                      <w:lang w:val="en-US" w:eastAsia="zh-CN"/>
                    </w:rPr>
                    <w:t>已建</w:t>
                  </w:r>
                </w:p>
              </w:tc>
            </w:tr>
            <w:tr w14:paraId="04F60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2DEB3C97">
                  <w:pPr>
                    <w:jc w:val="center"/>
                    <w:rPr>
                      <w:color w:val="auto"/>
                      <w:szCs w:val="21"/>
                      <w:highlight w:val="none"/>
                    </w:rPr>
                  </w:pPr>
                </w:p>
              </w:tc>
              <w:tc>
                <w:tcPr>
                  <w:tcW w:w="796" w:type="pct"/>
                  <w:tcBorders>
                    <w:tl2br w:val="nil"/>
                    <w:tr2bl w:val="nil"/>
                  </w:tcBorders>
                  <w:vAlign w:val="center"/>
                </w:tcPr>
                <w:p w14:paraId="0034D11D">
                  <w:pPr>
                    <w:jc w:val="center"/>
                    <w:rPr>
                      <w:color w:val="auto"/>
                      <w:szCs w:val="21"/>
                      <w:highlight w:val="none"/>
                    </w:rPr>
                  </w:pPr>
                  <w:r>
                    <w:rPr>
                      <w:rFonts w:hint="eastAsia"/>
                      <w:color w:val="auto"/>
                      <w:szCs w:val="21"/>
                      <w:highlight w:val="none"/>
                    </w:rPr>
                    <w:t>办公楼</w:t>
                  </w:r>
                </w:p>
              </w:tc>
              <w:tc>
                <w:tcPr>
                  <w:tcW w:w="3428" w:type="pct"/>
                  <w:tcBorders>
                    <w:tl2br w:val="nil"/>
                    <w:tr2bl w:val="nil"/>
                  </w:tcBorders>
                  <w:vAlign w:val="center"/>
                </w:tcPr>
                <w:p w14:paraId="410ABD9E">
                  <w:pPr>
                    <w:rPr>
                      <w:color w:val="auto"/>
                      <w:szCs w:val="21"/>
                      <w:highlight w:val="none"/>
                    </w:rPr>
                  </w:pPr>
                  <w:r>
                    <w:rPr>
                      <w:color w:val="auto"/>
                      <w:szCs w:val="21"/>
                      <w:highlight w:val="none"/>
                    </w:rPr>
                    <w:t>建筑面积1129m</w:t>
                  </w:r>
                  <w:r>
                    <w:rPr>
                      <w:color w:val="auto"/>
                      <w:szCs w:val="21"/>
                      <w:highlight w:val="none"/>
                      <w:vertAlign w:val="superscript"/>
                    </w:rPr>
                    <w:t>2</w:t>
                  </w:r>
                  <w:r>
                    <w:rPr>
                      <w:color w:val="auto"/>
                      <w:szCs w:val="21"/>
                      <w:highlight w:val="none"/>
                    </w:rPr>
                    <w:t>，两层，建筑高度8m，框架结构，独立基础</w:t>
                  </w:r>
                  <w:r>
                    <w:rPr>
                      <w:rFonts w:hint="eastAsia"/>
                      <w:color w:val="auto"/>
                      <w:szCs w:val="21"/>
                      <w:highlight w:val="none"/>
                      <w:lang w:eastAsia="zh-CN"/>
                    </w:rPr>
                    <w:t>，不设置食堂和宿舍等</w:t>
                  </w:r>
                  <w:r>
                    <w:rPr>
                      <w:color w:val="auto"/>
                      <w:szCs w:val="21"/>
                      <w:highlight w:val="none"/>
                    </w:rPr>
                    <w:t>。</w:t>
                  </w:r>
                </w:p>
              </w:tc>
              <w:tc>
                <w:tcPr>
                  <w:tcW w:w="464" w:type="pct"/>
                  <w:tcBorders>
                    <w:tl2br w:val="nil"/>
                    <w:tr2bl w:val="nil"/>
                  </w:tcBorders>
                  <w:vAlign w:val="center"/>
                </w:tcPr>
                <w:p w14:paraId="4C28E28C">
                  <w:pPr>
                    <w:rPr>
                      <w:color w:val="auto"/>
                      <w:szCs w:val="21"/>
                      <w:highlight w:val="none"/>
                    </w:rPr>
                  </w:pPr>
                  <w:r>
                    <w:rPr>
                      <w:rFonts w:hint="eastAsia"/>
                      <w:color w:val="auto"/>
                      <w:szCs w:val="21"/>
                      <w:highlight w:val="none"/>
                      <w:lang w:val="en-US" w:eastAsia="zh-CN"/>
                    </w:rPr>
                    <w:t>已建</w:t>
                  </w:r>
                </w:p>
              </w:tc>
            </w:tr>
            <w:tr w14:paraId="6B30A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74106C9F">
                  <w:pPr>
                    <w:jc w:val="center"/>
                    <w:rPr>
                      <w:color w:val="auto"/>
                      <w:szCs w:val="21"/>
                      <w:highlight w:val="none"/>
                    </w:rPr>
                  </w:pPr>
                </w:p>
              </w:tc>
              <w:tc>
                <w:tcPr>
                  <w:tcW w:w="796" w:type="pct"/>
                  <w:tcBorders>
                    <w:tl2br w:val="nil"/>
                    <w:tr2bl w:val="nil"/>
                  </w:tcBorders>
                  <w:vAlign w:val="center"/>
                </w:tcPr>
                <w:p w14:paraId="6EAF1EA2">
                  <w:pPr>
                    <w:jc w:val="center"/>
                    <w:rPr>
                      <w:color w:val="auto"/>
                      <w:szCs w:val="21"/>
                      <w:highlight w:val="none"/>
                    </w:rPr>
                  </w:pPr>
                  <w:r>
                    <w:rPr>
                      <w:rFonts w:hint="eastAsia"/>
                      <w:color w:val="auto"/>
                      <w:szCs w:val="21"/>
                      <w:highlight w:val="none"/>
                    </w:rPr>
                    <w:t>消防泵房</w:t>
                  </w:r>
                </w:p>
              </w:tc>
              <w:tc>
                <w:tcPr>
                  <w:tcW w:w="3428" w:type="pct"/>
                  <w:tcBorders>
                    <w:tl2br w:val="nil"/>
                    <w:tr2bl w:val="nil"/>
                  </w:tcBorders>
                  <w:vAlign w:val="center"/>
                </w:tcPr>
                <w:p w14:paraId="06BCF519">
                  <w:pPr>
                    <w:rPr>
                      <w:rFonts w:hint="eastAsia" w:eastAsia="宋体"/>
                      <w:color w:val="auto"/>
                      <w:szCs w:val="21"/>
                      <w:highlight w:val="none"/>
                      <w:lang w:eastAsia="zh-CN"/>
                    </w:rPr>
                  </w:pPr>
                  <w:r>
                    <w:rPr>
                      <w:rFonts w:hint="eastAsia"/>
                      <w:color w:val="auto"/>
                      <w:szCs w:val="21"/>
                      <w:highlight w:val="none"/>
                    </w:rPr>
                    <w:t>建筑面积66</w:t>
                  </w:r>
                  <w:r>
                    <w:rPr>
                      <w:color w:val="auto"/>
                      <w:szCs w:val="21"/>
                      <w:highlight w:val="none"/>
                    </w:rPr>
                    <w:t>m</w:t>
                  </w:r>
                  <w:r>
                    <w:rPr>
                      <w:color w:val="auto"/>
                      <w:szCs w:val="21"/>
                      <w:highlight w:val="none"/>
                      <w:vertAlign w:val="superscript"/>
                    </w:rPr>
                    <w:t>2</w:t>
                  </w:r>
                  <w:r>
                    <w:rPr>
                      <w:rFonts w:hint="eastAsia"/>
                      <w:color w:val="auto"/>
                      <w:szCs w:val="21"/>
                      <w:highlight w:val="none"/>
                    </w:rPr>
                    <w:t>，单层，建钢结构，独立基础</w:t>
                  </w:r>
                  <w:r>
                    <w:rPr>
                      <w:rFonts w:hint="eastAsia"/>
                      <w:color w:val="auto"/>
                      <w:szCs w:val="21"/>
                      <w:highlight w:val="none"/>
                      <w:lang w:eastAsia="zh-CN"/>
                    </w:rPr>
                    <w:t>。</w:t>
                  </w:r>
                </w:p>
              </w:tc>
              <w:tc>
                <w:tcPr>
                  <w:tcW w:w="464" w:type="pct"/>
                  <w:tcBorders>
                    <w:tl2br w:val="nil"/>
                    <w:tr2bl w:val="nil"/>
                  </w:tcBorders>
                  <w:vAlign w:val="center"/>
                </w:tcPr>
                <w:p w14:paraId="0F454C4E">
                  <w:pPr>
                    <w:rPr>
                      <w:color w:val="auto"/>
                      <w:szCs w:val="21"/>
                      <w:highlight w:val="none"/>
                    </w:rPr>
                  </w:pPr>
                  <w:r>
                    <w:rPr>
                      <w:rFonts w:hint="eastAsia"/>
                      <w:color w:val="auto"/>
                      <w:szCs w:val="21"/>
                      <w:highlight w:val="none"/>
                      <w:lang w:val="en-US" w:eastAsia="zh-CN"/>
                    </w:rPr>
                    <w:t>已建</w:t>
                  </w:r>
                </w:p>
              </w:tc>
            </w:tr>
            <w:tr w14:paraId="3120B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0D24C17E">
                  <w:pPr>
                    <w:jc w:val="center"/>
                    <w:rPr>
                      <w:color w:val="auto"/>
                      <w:szCs w:val="21"/>
                      <w:highlight w:val="none"/>
                    </w:rPr>
                  </w:pPr>
                </w:p>
              </w:tc>
              <w:tc>
                <w:tcPr>
                  <w:tcW w:w="796" w:type="pct"/>
                  <w:tcBorders>
                    <w:tl2br w:val="nil"/>
                    <w:tr2bl w:val="nil"/>
                  </w:tcBorders>
                  <w:vAlign w:val="center"/>
                </w:tcPr>
                <w:p w14:paraId="0B82306F">
                  <w:pPr>
                    <w:jc w:val="center"/>
                    <w:rPr>
                      <w:color w:val="auto"/>
                      <w:szCs w:val="21"/>
                      <w:highlight w:val="none"/>
                    </w:rPr>
                  </w:pPr>
                  <w:r>
                    <w:rPr>
                      <w:rFonts w:hint="eastAsia"/>
                      <w:color w:val="auto"/>
                      <w:szCs w:val="21"/>
                      <w:highlight w:val="none"/>
                      <w:lang w:val="en-US" w:eastAsia="zh-CN"/>
                    </w:rPr>
                    <w:t>燃料</w:t>
                  </w:r>
                  <w:r>
                    <w:rPr>
                      <w:rFonts w:hint="eastAsia"/>
                      <w:color w:val="auto"/>
                      <w:szCs w:val="21"/>
                      <w:highlight w:val="none"/>
                    </w:rPr>
                    <w:t>库</w:t>
                  </w:r>
                </w:p>
              </w:tc>
              <w:tc>
                <w:tcPr>
                  <w:tcW w:w="3428" w:type="pct"/>
                  <w:tcBorders>
                    <w:tl2br w:val="nil"/>
                    <w:tr2bl w:val="nil"/>
                  </w:tcBorders>
                  <w:vAlign w:val="center"/>
                </w:tcPr>
                <w:p w14:paraId="65CC91E5">
                  <w:pPr>
                    <w:rPr>
                      <w:rFonts w:hint="eastAsia" w:eastAsia="宋体"/>
                      <w:color w:val="auto"/>
                      <w:szCs w:val="21"/>
                      <w:highlight w:val="none"/>
                      <w:lang w:eastAsia="zh-CN"/>
                    </w:rPr>
                  </w:pPr>
                  <w:r>
                    <w:rPr>
                      <w:rFonts w:hint="eastAsia"/>
                      <w:color w:val="auto"/>
                      <w:szCs w:val="21"/>
                      <w:highlight w:val="none"/>
                    </w:rPr>
                    <w:t>建筑面积3200</w:t>
                  </w:r>
                  <w:r>
                    <w:rPr>
                      <w:color w:val="auto"/>
                      <w:szCs w:val="21"/>
                      <w:highlight w:val="none"/>
                    </w:rPr>
                    <w:t>m</w:t>
                  </w:r>
                  <w:r>
                    <w:rPr>
                      <w:color w:val="auto"/>
                      <w:szCs w:val="21"/>
                      <w:highlight w:val="none"/>
                      <w:vertAlign w:val="superscript"/>
                    </w:rPr>
                    <w:t>2</w:t>
                  </w:r>
                  <w:r>
                    <w:rPr>
                      <w:rFonts w:hint="eastAsia"/>
                      <w:color w:val="auto"/>
                      <w:szCs w:val="21"/>
                      <w:highlight w:val="none"/>
                    </w:rPr>
                    <w:t>，单层，建钢结构，独立基础</w:t>
                  </w:r>
                  <w:r>
                    <w:rPr>
                      <w:rFonts w:hint="eastAsia"/>
                      <w:color w:val="auto"/>
                      <w:szCs w:val="21"/>
                      <w:highlight w:val="none"/>
                      <w:lang w:eastAsia="zh-CN"/>
                    </w:rPr>
                    <w:t>，</w:t>
                  </w:r>
                  <w:r>
                    <w:rPr>
                      <w:rFonts w:hint="eastAsia"/>
                      <w:color w:val="auto"/>
                      <w:szCs w:val="21"/>
                      <w:highlight w:val="none"/>
                      <w:lang w:val="en-US" w:eastAsia="zh-CN"/>
                    </w:rPr>
                    <w:t>用于储存生物质燃料和灰渣，最大储存量为5000t</w:t>
                  </w:r>
                  <w:r>
                    <w:rPr>
                      <w:rFonts w:hint="eastAsia"/>
                      <w:color w:val="auto"/>
                      <w:szCs w:val="21"/>
                      <w:highlight w:val="none"/>
                      <w:lang w:eastAsia="zh-CN"/>
                    </w:rPr>
                    <w:t>。</w:t>
                  </w:r>
                </w:p>
              </w:tc>
              <w:tc>
                <w:tcPr>
                  <w:tcW w:w="464" w:type="pct"/>
                  <w:tcBorders>
                    <w:tl2br w:val="nil"/>
                    <w:tr2bl w:val="nil"/>
                  </w:tcBorders>
                  <w:vAlign w:val="center"/>
                </w:tcPr>
                <w:p w14:paraId="6E4B6E8F">
                  <w:pPr>
                    <w:rPr>
                      <w:color w:val="auto"/>
                      <w:szCs w:val="21"/>
                      <w:highlight w:val="none"/>
                    </w:rPr>
                  </w:pPr>
                  <w:r>
                    <w:rPr>
                      <w:rFonts w:hint="eastAsia"/>
                      <w:color w:val="auto"/>
                      <w:szCs w:val="21"/>
                      <w:highlight w:val="none"/>
                      <w:lang w:val="en-US" w:eastAsia="zh-CN"/>
                    </w:rPr>
                    <w:t>已建</w:t>
                  </w:r>
                </w:p>
              </w:tc>
            </w:tr>
            <w:tr w14:paraId="636091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311" w:type="pct"/>
                  <w:vMerge w:val="restart"/>
                  <w:tcBorders>
                    <w:tl2br w:val="nil"/>
                    <w:tr2bl w:val="nil"/>
                  </w:tcBorders>
                  <w:vAlign w:val="center"/>
                </w:tcPr>
                <w:p w14:paraId="60143BDD">
                  <w:pPr>
                    <w:jc w:val="center"/>
                    <w:rPr>
                      <w:color w:val="auto"/>
                      <w:szCs w:val="21"/>
                      <w:highlight w:val="none"/>
                    </w:rPr>
                  </w:pPr>
                  <w:r>
                    <w:rPr>
                      <w:color w:val="auto"/>
                      <w:szCs w:val="21"/>
                      <w:highlight w:val="none"/>
                    </w:rPr>
                    <w:t>储运工程</w:t>
                  </w:r>
                </w:p>
              </w:tc>
              <w:tc>
                <w:tcPr>
                  <w:tcW w:w="796" w:type="pct"/>
                  <w:tcBorders>
                    <w:tl2br w:val="nil"/>
                    <w:tr2bl w:val="nil"/>
                  </w:tcBorders>
                  <w:vAlign w:val="center"/>
                </w:tcPr>
                <w:p w14:paraId="54A0B00F">
                  <w:pPr>
                    <w:jc w:val="center"/>
                    <w:rPr>
                      <w:color w:val="auto"/>
                      <w:szCs w:val="21"/>
                      <w:highlight w:val="none"/>
                    </w:rPr>
                  </w:pPr>
                  <w:r>
                    <w:rPr>
                      <w:rFonts w:hint="eastAsia"/>
                      <w:color w:val="auto"/>
                      <w:szCs w:val="21"/>
                      <w:highlight w:val="none"/>
                    </w:rPr>
                    <w:t>原料车间</w:t>
                  </w:r>
                </w:p>
              </w:tc>
              <w:tc>
                <w:tcPr>
                  <w:tcW w:w="3428" w:type="pct"/>
                  <w:tcBorders>
                    <w:tl2br w:val="nil"/>
                    <w:tr2bl w:val="nil"/>
                  </w:tcBorders>
                  <w:vAlign w:val="center"/>
                </w:tcPr>
                <w:p w14:paraId="5E7E512F">
                  <w:pPr>
                    <w:rPr>
                      <w:color w:val="auto"/>
                      <w:szCs w:val="21"/>
                      <w:highlight w:val="none"/>
                    </w:rPr>
                  </w:pPr>
                  <w:r>
                    <w:rPr>
                      <w:rFonts w:hint="eastAsia"/>
                      <w:color w:val="auto"/>
                      <w:szCs w:val="21"/>
                      <w:highlight w:val="none"/>
                    </w:rPr>
                    <w:t>建筑面积2160</w:t>
                  </w:r>
                  <w:r>
                    <w:rPr>
                      <w:color w:val="auto"/>
                      <w:szCs w:val="21"/>
                      <w:highlight w:val="none"/>
                    </w:rPr>
                    <w:t>m</w:t>
                  </w:r>
                  <w:r>
                    <w:rPr>
                      <w:color w:val="auto"/>
                      <w:szCs w:val="21"/>
                      <w:highlight w:val="none"/>
                      <w:vertAlign w:val="superscript"/>
                    </w:rPr>
                    <w:t>2</w:t>
                  </w:r>
                  <w:r>
                    <w:rPr>
                      <w:rFonts w:hint="eastAsia"/>
                      <w:color w:val="auto"/>
                      <w:szCs w:val="21"/>
                      <w:highlight w:val="none"/>
                    </w:rPr>
                    <w:t>，建筑高度8.0m，钢结构，独立基础，最大存储量为10000t。</w:t>
                  </w:r>
                </w:p>
              </w:tc>
              <w:tc>
                <w:tcPr>
                  <w:tcW w:w="464" w:type="pct"/>
                  <w:tcBorders>
                    <w:tl2br w:val="nil"/>
                    <w:tr2bl w:val="nil"/>
                  </w:tcBorders>
                  <w:vAlign w:val="center"/>
                </w:tcPr>
                <w:p w14:paraId="16BA21CF">
                  <w:pPr>
                    <w:rPr>
                      <w:color w:val="auto"/>
                      <w:szCs w:val="21"/>
                      <w:highlight w:val="none"/>
                    </w:rPr>
                  </w:pPr>
                  <w:r>
                    <w:rPr>
                      <w:rFonts w:hint="eastAsia"/>
                      <w:color w:val="auto"/>
                      <w:szCs w:val="21"/>
                      <w:highlight w:val="none"/>
                      <w:lang w:val="en-US" w:eastAsia="zh-CN"/>
                    </w:rPr>
                    <w:t>已建</w:t>
                  </w:r>
                </w:p>
              </w:tc>
            </w:tr>
            <w:tr w14:paraId="2694E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311" w:type="pct"/>
                  <w:vMerge w:val="continue"/>
                  <w:tcBorders>
                    <w:tl2br w:val="nil"/>
                    <w:tr2bl w:val="nil"/>
                  </w:tcBorders>
                  <w:vAlign w:val="center"/>
                </w:tcPr>
                <w:p w14:paraId="2A623B55">
                  <w:pPr>
                    <w:jc w:val="center"/>
                    <w:rPr>
                      <w:color w:val="auto"/>
                      <w:szCs w:val="21"/>
                      <w:highlight w:val="none"/>
                    </w:rPr>
                  </w:pPr>
                </w:p>
              </w:tc>
              <w:tc>
                <w:tcPr>
                  <w:tcW w:w="796" w:type="pct"/>
                  <w:tcBorders>
                    <w:tl2br w:val="nil"/>
                    <w:tr2bl w:val="nil"/>
                  </w:tcBorders>
                  <w:vAlign w:val="center"/>
                </w:tcPr>
                <w:p w14:paraId="367E9E0D">
                  <w:pPr>
                    <w:jc w:val="center"/>
                    <w:rPr>
                      <w:rFonts w:hint="default" w:eastAsia="宋体"/>
                      <w:color w:val="auto"/>
                      <w:szCs w:val="21"/>
                      <w:highlight w:val="none"/>
                      <w:lang w:val="en-US" w:eastAsia="zh-CN"/>
                    </w:rPr>
                  </w:pPr>
                  <w:r>
                    <w:rPr>
                      <w:rFonts w:hint="eastAsia"/>
                      <w:color w:val="auto"/>
                      <w:szCs w:val="21"/>
                      <w:highlight w:val="none"/>
                      <w:lang w:val="en-US" w:eastAsia="zh-CN"/>
                    </w:rPr>
                    <w:t>原料仓</w:t>
                  </w:r>
                </w:p>
              </w:tc>
              <w:tc>
                <w:tcPr>
                  <w:tcW w:w="3428" w:type="pct"/>
                  <w:tcBorders>
                    <w:tl2br w:val="nil"/>
                    <w:tr2bl w:val="nil"/>
                  </w:tcBorders>
                  <w:vAlign w:val="center"/>
                </w:tcPr>
                <w:p w14:paraId="395C9448">
                  <w:pPr>
                    <w:rPr>
                      <w:rFonts w:hint="default" w:eastAsia="宋体"/>
                      <w:color w:val="auto"/>
                      <w:szCs w:val="21"/>
                      <w:highlight w:val="none"/>
                      <w:lang w:val="en-US" w:eastAsia="zh-CN"/>
                    </w:rPr>
                  </w:pPr>
                  <w:r>
                    <w:rPr>
                      <w:rFonts w:hint="eastAsia"/>
                      <w:color w:val="auto"/>
                      <w:szCs w:val="21"/>
                      <w:highlight w:val="none"/>
                      <w:lang w:val="en-US" w:eastAsia="zh-CN"/>
                    </w:rPr>
                    <w:t>原料车间北侧新增一座直径为12m，高度为32m的密闭原料筒仓，最大存储量为3000t，一座直径为16m，高度为35m的密闭原料筒仓，最大存储量为5000t，用于储存原料。</w:t>
                  </w:r>
                </w:p>
              </w:tc>
              <w:tc>
                <w:tcPr>
                  <w:tcW w:w="464" w:type="pct"/>
                  <w:tcBorders>
                    <w:tl2br w:val="nil"/>
                    <w:tr2bl w:val="nil"/>
                  </w:tcBorders>
                  <w:vAlign w:val="center"/>
                </w:tcPr>
                <w:p w14:paraId="63BB5D76">
                  <w:pPr>
                    <w:rPr>
                      <w:rFonts w:hint="default"/>
                      <w:color w:val="auto"/>
                      <w:szCs w:val="21"/>
                      <w:highlight w:val="none"/>
                      <w:lang w:val="en-US" w:eastAsia="zh-CN"/>
                    </w:rPr>
                  </w:pPr>
                  <w:r>
                    <w:rPr>
                      <w:rFonts w:hint="eastAsia"/>
                      <w:color w:val="auto"/>
                      <w:szCs w:val="21"/>
                      <w:highlight w:val="none"/>
                      <w:lang w:val="en-US" w:eastAsia="zh-CN"/>
                    </w:rPr>
                    <w:t>已建</w:t>
                  </w:r>
                </w:p>
              </w:tc>
            </w:tr>
            <w:tr w14:paraId="6B1F1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311" w:type="pct"/>
                  <w:vMerge w:val="continue"/>
                  <w:tcBorders>
                    <w:tl2br w:val="nil"/>
                    <w:tr2bl w:val="nil"/>
                  </w:tcBorders>
                  <w:vAlign w:val="center"/>
                </w:tcPr>
                <w:p w14:paraId="15AADD72">
                  <w:pPr>
                    <w:jc w:val="center"/>
                    <w:rPr>
                      <w:color w:val="auto"/>
                      <w:szCs w:val="21"/>
                      <w:highlight w:val="none"/>
                    </w:rPr>
                  </w:pPr>
                </w:p>
              </w:tc>
              <w:tc>
                <w:tcPr>
                  <w:tcW w:w="796" w:type="pct"/>
                  <w:tcBorders>
                    <w:tl2br w:val="nil"/>
                    <w:tr2bl w:val="nil"/>
                  </w:tcBorders>
                  <w:vAlign w:val="center"/>
                </w:tcPr>
                <w:p w14:paraId="7B5F4EF1">
                  <w:pPr>
                    <w:jc w:val="center"/>
                    <w:rPr>
                      <w:color w:val="auto"/>
                      <w:szCs w:val="21"/>
                      <w:highlight w:val="none"/>
                    </w:rPr>
                  </w:pPr>
                  <w:r>
                    <w:rPr>
                      <w:rFonts w:hint="eastAsia"/>
                      <w:color w:val="auto"/>
                      <w:szCs w:val="21"/>
                      <w:highlight w:val="none"/>
                    </w:rPr>
                    <w:t>地下溶剂库</w:t>
                  </w:r>
                </w:p>
              </w:tc>
              <w:tc>
                <w:tcPr>
                  <w:tcW w:w="3428" w:type="pct"/>
                  <w:tcBorders>
                    <w:tl2br w:val="nil"/>
                    <w:tr2bl w:val="nil"/>
                  </w:tcBorders>
                  <w:vAlign w:val="center"/>
                </w:tcPr>
                <w:p w14:paraId="40A5A335">
                  <w:pPr>
                    <w:rPr>
                      <w:color w:val="auto"/>
                      <w:szCs w:val="21"/>
                      <w:highlight w:val="none"/>
                    </w:rPr>
                  </w:pPr>
                  <w:r>
                    <w:rPr>
                      <w:rFonts w:hint="eastAsia"/>
                      <w:color w:val="auto"/>
                      <w:szCs w:val="21"/>
                      <w:highlight w:val="none"/>
                    </w:rPr>
                    <w:t>建筑面积为43</w:t>
                  </w:r>
                  <w:r>
                    <w:rPr>
                      <w:color w:val="auto"/>
                      <w:szCs w:val="21"/>
                      <w:highlight w:val="none"/>
                    </w:rPr>
                    <w:t>m</w:t>
                  </w:r>
                  <w:r>
                    <w:rPr>
                      <w:color w:val="auto"/>
                      <w:szCs w:val="21"/>
                      <w:highlight w:val="none"/>
                      <w:vertAlign w:val="superscript"/>
                    </w:rPr>
                    <w:t>2</w:t>
                  </w:r>
                  <w:r>
                    <w:rPr>
                      <w:rFonts w:hint="eastAsia"/>
                      <w:color w:val="auto"/>
                      <w:szCs w:val="21"/>
                      <w:highlight w:val="none"/>
                    </w:rPr>
                    <w:t>的</w:t>
                  </w:r>
                  <w:r>
                    <w:rPr>
                      <w:rFonts w:hint="eastAsia"/>
                      <w:color w:val="auto"/>
                      <w:szCs w:val="21"/>
                      <w:highlight w:val="none"/>
                      <w:lang w:eastAsia="zh-CN"/>
                    </w:rPr>
                    <w:t>地下溶剂库</w:t>
                  </w:r>
                  <w:r>
                    <w:rPr>
                      <w:rFonts w:hint="eastAsia"/>
                      <w:color w:val="auto"/>
                      <w:szCs w:val="21"/>
                      <w:highlight w:val="none"/>
                    </w:rPr>
                    <w:t>；设置2个</w:t>
                  </w:r>
                  <w:r>
                    <w:rPr>
                      <w:rFonts w:hint="eastAsia"/>
                      <w:color w:val="auto"/>
                      <w:szCs w:val="21"/>
                      <w:highlight w:val="none"/>
                      <w:lang w:val="en-US" w:eastAsia="zh-CN"/>
                    </w:rPr>
                    <w:t>50</w:t>
                  </w:r>
                  <w:r>
                    <w:rPr>
                      <w:color w:val="auto"/>
                      <w:szCs w:val="21"/>
                      <w:highlight w:val="none"/>
                    </w:rPr>
                    <w:t>m</w:t>
                  </w:r>
                  <w:r>
                    <w:rPr>
                      <w:rFonts w:hint="eastAsia"/>
                      <w:color w:val="auto"/>
                      <w:szCs w:val="21"/>
                      <w:highlight w:val="none"/>
                      <w:vertAlign w:val="superscript"/>
                      <w:lang w:val="en-US" w:eastAsia="zh-CN"/>
                    </w:rPr>
                    <w:t>3</w:t>
                  </w:r>
                  <w:r>
                    <w:rPr>
                      <w:rFonts w:hint="eastAsia"/>
                      <w:color w:val="auto"/>
                      <w:szCs w:val="21"/>
                      <w:highlight w:val="none"/>
                    </w:rPr>
                    <w:t>溶剂储罐，单个储罐溶剂最大储存能力是36t，溶剂库最大储存能力为72t，</w:t>
                  </w:r>
                  <w:r>
                    <w:rPr>
                      <w:rFonts w:hint="eastAsia"/>
                      <w:color w:val="auto"/>
                      <w:szCs w:val="21"/>
                      <w:highlight w:val="none"/>
                      <w:lang w:eastAsia="zh-CN"/>
                    </w:rPr>
                    <w:t>建设地下储池，按</w:t>
                  </w:r>
                  <w:r>
                    <w:rPr>
                      <w:rFonts w:hint="eastAsia"/>
                      <w:color w:val="auto"/>
                      <w:szCs w:val="21"/>
                      <w:highlight w:val="none"/>
                    </w:rPr>
                    <w:t>重点防渗</w:t>
                  </w:r>
                  <w:r>
                    <w:rPr>
                      <w:rFonts w:hint="eastAsia"/>
                      <w:color w:val="auto"/>
                      <w:szCs w:val="21"/>
                      <w:highlight w:val="none"/>
                      <w:lang w:eastAsia="zh-CN"/>
                    </w:rPr>
                    <w:t>要求进行防渗</w:t>
                  </w:r>
                  <w:r>
                    <w:rPr>
                      <w:rFonts w:hint="eastAsia"/>
                      <w:color w:val="auto"/>
                      <w:lang w:eastAsia="zh-CN"/>
                    </w:rPr>
                    <w:t>，</w:t>
                  </w:r>
                  <w:r>
                    <w:rPr>
                      <w:color w:val="auto"/>
                      <w:szCs w:val="20"/>
                    </w:rPr>
                    <w:t>等效黏土防渗层Mb≥6.0，渗透系数K≤1×10</w:t>
                  </w:r>
                  <w:r>
                    <w:rPr>
                      <w:color w:val="auto"/>
                      <w:szCs w:val="20"/>
                      <w:vertAlign w:val="superscript"/>
                    </w:rPr>
                    <w:t>-</w:t>
                  </w:r>
                  <w:r>
                    <w:rPr>
                      <w:rFonts w:hint="eastAsia"/>
                      <w:color w:val="auto"/>
                      <w:szCs w:val="20"/>
                      <w:vertAlign w:val="superscript"/>
                      <w:lang w:val="en-US" w:eastAsia="zh-CN"/>
                    </w:rPr>
                    <w:t>10</w:t>
                  </w:r>
                  <w:r>
                    <w:rPr>
                      <w:color w:val="auto"/>
                      <w:szCs w:val="20"/>
                    </w:rPr>
                    <w:t>cm/s</w:t>
                  </w:r>
                  <w:r>
                    <w:rPr>
                      <w:rFonts w:hint="eastAsia"/>
                      <w:color w:val="auto"/>
                      <w:szCs w:val="21"/>
                      <w:highlight w:val="none"/>
                    </w:rPr>
                    <w:t>。</w:t>
                  </w:r>
                </w:p>
              </w:tc>
              <w:tc>
                <w:tcPr>
                  <w:tcW w:w="464" w:type="pct"/>
                  <w:tcBorders>
                    <w:tl2br w:val="nil"/>
                    <w:tr2bl w:val="nil"/>
                  </w:tcBorders>
                  <w:vAlign w:val="center"/>
                </w:tcPr>
                <w:p w14:paraId="61F5FCAD">
                  <w:pPr>
                    <w:rPr>
                      <w:color w:val="auto"/>
                      <w:szCs w:val="21"/>
                      <w:highlight w:val="none"/>
                    </w:rPr>
                  </w:pPr>
                  <w:r>
                    <w:rPr>
                      <w:rFonts w:hint="eastAsia"/>
                      <w:color w:val="auto"/>
                      <w:szCs w:val="21"/>
                      <w:highlight w:val="none"/>
                      <w:lang w:val="en-US" w:eastAsia="zh-CN"/>
                    </w:rPr>
                    <w:t>已建</w:t>
                  </w:r>
                </w:p>
              </w:tc>
            </w:tr>
            <w:tr w14:paraId="54EDD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28628866">
                  <w:pPr>
                    <w:jc w:val="center"/>
                    <w:rPr>
                      <w:color w:val="auto"/>
                      <w:szCs w:val="21"/>
                      <w:highlight w:val="none"/>
                    </w:rPr>
                  </w:pPr>
                </w:p>
              </w:tc>
              <w:tc>
                <w:tcPr>
                  <w:tcW w:w="796" w:type="pct"/>
                  <w:tcBorders>
                    <w:tl2br w:val="nil"/>
                    <w:tr2bl w:val="nil"/>
                  </w:tcBorders>
                  <w:vAlign w:val="center"/>
                </w:tcPr>
                <w:p w14:paraId="29547CFA">
                  <w:pPr>
                    <w:jc w:val="center"/>
                    <w:rPr>
                      <w:color w:val="auto"/>
                      <w:szCs w:val="21"/>
                      <w:highlight w:val="none"/>
                    </w:rPr>
                  </w:pPr>
                  <w:r>
                    <w:rPr>
                      <w:rFonts w:hint="eastAsia"/>
                      <w:color w:val="auto"/>
                      <w:szCs w:val="21"/>
                      <w:highlight w:val="none"/>
                    </w:rPr>
                    <w:t>液体油罐</w:t>
                  </w:r>
                </w:p>
              </w:tc>
              <w:tc>
                <w:tcPr>
                  <w:tcW w:w="3428" w:type="pct"/>
                  <w:tcBorders>
                    <w:tl2br w:val="nil"/>
                    <w:tr2bl w:val="nil"/>
                  </w:tcBorders>
                  <w:vAlign w:val="center"/>
                </w:tcPr>
                <w:p w14:paraId="406B26DD">
                  <w:pPr>
                    <w:rPr>
                      <w:rFonts w:hint="eastAsia" w:eastAsia="宋体"/>
                      <w:color w:val="auto"/>
                      <w:szCs w:val="21"/>
                      <w:highlight w:val="none"/>
                      <w:lang w:eastAsia="zh-CN"/>
                    </w:rPr>
                  </w:pPr>
                  <w:r>
                    <w:rPr>
                      <w:rFonts w:hint="eastAsia"/>
                      <w:color w:val="auto"/>
                      <w:szCs w:val="21"/>
                      <w:highlight w:val="none"/>
                      <w:lang w:val="en-US" w:eastAsia="zh-CN"/>
                    </w:rPr>
                    <w:t>500</w:t>
                  </w:r>
                  <w:r>
                    <w:rPr>
                      <w:rFonts w:hint="eastAsia"/>
                      <w:color w:val="auto"/>
                      <w:szCs w:val="21"/>
                      <w:highlight w:val="none"/>
                    </w:rPr>
                    <w:t>m</w:t>
                  </w:r>
                  <w:r>
                    <w:rPr>
                      <w:rFonts w:hint="eastAsia"/>
                      <w:color w:val="auto"/>
                      <w:szCs w:val="21"/>
                      <w:highlight w:val="none"/>
                      <w:vertAlign w:val="superscript"/>
                    </w:rPr>
                    <w:t>3</w:t>
                  </w:r>
                  <w:r>
                    <w:rPr>
                      <w:rFonts w:hint="eastAsia"/>
                      <w:color w:val="auto"/>
                      <w:szCs w:val="21"/>
                      <w:highlight w:val="none"/>
                    </w:rPr>
                    <w:t>液体油罐4座，半径</w:t>
                  </w:r>
                  <w:r>
                    <w:rPr>
                      <w:rFonts w:hint="eastAsia"/>
                      <w:color w:val="auto"/>
                      <w:szCs w:val="21"/>
                      <w:highlight w:val="none"/>
                      <w:lang w:val="en-US" w:eastAsia="zh-CN"/>
                    </w:rPr>
                    <w:t>5</w:t>
                  </w:r>
                  <w:r>
                    <w:rPr>
                      <w:rFonts w:hint="eastAsia"/>
                      <w:color w:val="auto"/>
                      <w:szCs w:val="21"/>
                      <w:highlight w:val="none"/>
                    </w:rPr>
                    <w:t>m，间距</w:t>
                  </w:r>
                  <w:r>
                    <w:rPr>
                      <w:rFonts w:hint="eastAsia"/>
                      <w:color w:val="auto"/>
                      <w:szCs w:val="21"/>
                      <w:highlight w:val="none"/>
                      <w:lang w:val="en-US" w:eastAsia="zh-CN"/>
                    </w:rPr>
                    <w:t>2</w:t>
                  </w:r>
                  <w:r>
                    <w:rPr>
                      <w:rFonts w:hint="eastAsia"/>
                      <w:color w:val="auto"/>
                      <w:szCs w:val="21"/>
                      <w:highlight w:val="none"/>
                    </w:rPr>
                    <w:t>m；</w:t>
                  </w:r>
                  <w:r>
                    <w:rPr>
                      <w:rFonts w:hint="eastAsia"/>
                      <w:color w:val="auto"/>
                      <w:szCs w:val="21"/>
                      <w:highlight w:val="none"/>
                      <w:lang w:eastAsia="zh-CN"/>
                    </w:rPr>
                    <w:t>用于储存成品油，设置</w:t>
                  </w:r>
                  <w:r>
                    <w:rPr>
                      <w:rFonts w:hint="eastAsia"/>
                      <w:color w:val="auto"/>
                      <w:szCs w:val="21"/>
                      <w:highlight w:val="none"/>
                      <w:lang w:val="en-US" w:eastAsia="zh-CN"/>
                    </w:rPr>
                    <w:t>0.2m高</w:t>
                  </w:r>
                  <w:r>
                    <w:rPr>
                      <w:rFonts w:hint="eastAsia"/>
                      <w:color w:val="auto"/>
                      <w:szCs w:val="21"/>
                      <w:highlight w:val="none"/>
                      <w:lang w:eastAsia="zh-CN"/>
                    </w:rPr>
                    <w:t>围堰，地面做一般防渗。</w:t>
                  </w:r>
                </w:p>
              </w:tc>
              <w:tc>
                <w:tcPr>
                  <w:tcW w:w="464" w:type="pct"/>
                  <w:tcBorders>
                    <w:tl2br w:val="nil"/>
                    <w:tr2bl w:val="nil"/>
                  </w:tcBorders>
                  <w:vAlign w:val="center"/>
                </w:tcPr>
                <w:p w14:paraId="1F5D0C28">
                  <w:pPr>
                    <w:rPr>
                      <w:color w:val="auto"/>
                      <w:szCs w:val="21"/>
                      <w:highlight w:val="none"/>
                    </w:rPr>
                  </w:pPr>
                  <w:r>
                    <w:rPr>
                      <w:rFonts w:hint="eastAsia"/>
                      <w:color w:val="auto"/>
                      <w:szCs w:val="21"/>
                      <w:highlight w:val="none"/>
                      <w:lang w:val="en-US" w:eastAsia="zh-CN"/>
                    </w:rPr>
                    <w:t>已建</w:t>
                  </w:r>
                </w:p>
              </w:tc>
            </w:tr>
            <w:tr w14:paraId="6A464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538541AF">
                  <w:pPr>
                    <w:jc w:val="center"/>
                    <w:rPr>
                      <w:color w:val="auto"/>
                      <w:szCs w:val="21"/>
                      <w:highlight w:val="none"/>
                    </w:rPr>
                  </w:pPr>
                </w:p>
              </w:tc>
              <w:tc>
                <w:tcPr>
                  <w:tcW w:w="796" w:type="pct"/>
                  <w:tcBorders>
                    <w:tl2br w:val="nil"/>
                    <w:tr2bl w:val="nil"/>
                  </w:tcBorders>
                  <w:vAlign w:val="center"/>
                </w:tcPr>
                <w:p w14:paraId="4F79E8B3">
                  <w:pPr>
                    <w:spacing w:line="240" w:lineRule="atLeast"/>
                    <w:jc w:val="center"/>
                    <w:rPr>
                      <w:color w:val="auto"/>
                      <w:szCs w:val="21"/>
                      <w:highlight w:val="none"/>
                    </w:rPr>
                  </w:pPr>
                  <w:r>
                    <w:rPr>
                      <w:rFonts w:hint="eastAsia"/>
                      <w:color w:val="auto"/>
                      <w:szCs w:val="21"/>
                      <w:highlight w:val="none"/>
                    </w:rPr>
                    <w:t>固废暂存间</w:t>
                  </w:r>
                </w:p>
              </w:tc>
              <w:tc>
                <w:tcPr>
                  <w:tcW w:w="3428" w:type="pct"/>
                  <w:tcBorders>
                    <w:tl2br w:val="nil"/>
                    <w:tr2bl w:val="nil"/>
                  </w:tcBorders>
                  <w:vAlign w:val="center"/>
                </w:tcPr>
                <w:p w14:paraId="273AF833">
                  <w:pPr>
                    <w:spacing w:line="240" w:lineRule="atLeast"/>
                    <w:jc w:val="left"/>
                    <w:rPr>
                      <w:color w:val="auto"/>
                      <w:szCs w:val="21"/>
                      <w:highlight w:val="none"/>
                    </w:rPr>
                  </w:pPr>
                  <w:r>
                    <w:rPr>
                      <w:rFonts w:hint="eastAsia"/>
                      <w:color w:val="auto"/>
                      <w:szCs w:val="21"/>
                      <w:highlight w:val="none"/>
                    </w:rPr>
                    <w:t>本项目利用现有固废暂存间暂时存放本项目产生的固体废物。位于糠粕车间内部，占地面积10m</w:t>
                  </w:r>
                  <w:r>
                    <w:rPr>
                      <w:rFonts w:hint="eastAsia"/>
                      <w:color w:val="auto"/>
                      <w:szCs w:val="21"/>
                      <w:highlight w:val="none"/>
                      <w:vertAlign w:val="superscript"/>
                    </w:rPr>
                    <w:t>2</w:t>
                  </w:r>
                  <w:r>
                    <w:rPr>
                      <w:rFonts w:hint="eastAsia"/>
                      <w:color w:val="auto"/>
                      <w:szCs w:val="21"/>
                      <w:highlight w:val="none"/>
                    </w:rPr>
                    <w:t>，储存能力20t。</w:t>
                  </w:r>
                </w:p>
              </w:tc>
              <w:tc>
                <w:tcPr>
                  <w:tcW w:w="464" w:type="pct"/>
                  <w:tcBorders>
                    <w:tl2br w:val="nil"/>
                    <w:tr2bl w:val="nil"/>
                  </w:tcBorders>
                  <w:vAlign w:val="center"/>
                </w:tcPr>
                <w:p w14:paraId="7D8D6F2E">
                  <w:pPr>
                    <w:rPr>
                      <w:color w:val="auto"/>
                      <w:szCs w:val="21"/>
                      <w:highlight w:val="none"/>
                    </w:rPr>
                  </w:pPr>
                  <w:r>
                    <w:rPr>
                      <w:rFonts w:hint="eastAsia"/>
                      <w:color w:val="auto"/>
                      <w:szCs w:val="21"/>
                      <w:highlight w:val="none"/>
                      <w:lang w:val="en-US" w:eastAsia="zh-CN"/>
                    </w:rPr>
                    <w:t>已建</w:t>
                  </w:r>
                </w:p>
              </w:tc>
            </w:tr>
            <w:tr w14:paraId="628B4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737E1453">
                  <w:pPr>
                    <w:jc w:val="center"/>
                    <w:rPr>
                      <w:color w:val="auto"/>
                      <w:szCs w:val="21"/>
                      <w:highlight w:val="none"/>
                    </w:rPr>
                  </w:pPr>
                </w:p>
              </w:tc>
              <w:tc>
                <w:tcPr>
                  <w:tcW w:w="796" w:type="pct"/>
                  <w:tcBorders>
                    <w:tl2br w:val="nil"/>
                    <w:tr2bl w:val="nil"/>
                  </w:tcBorders>
                  <w:vAlign w:val="center"/>
                </w:tcPr>
                <w:p w14:paraId="75557E90">
                  <w:pPr>
                    <w:spacing w:line="240" w:lineRule="atLeast"/>
                    <w:jc w:val="center"/>
                    <w:rPr>
                      <w:color w:val="auto"/>
                      <w:szCs w:val="21"/>
                      <w:highlight w:val="none"/>
                    </w:rPr>
                  </w:pPr>
                  <w:r>
                    <w:rPr>
                      <w:rFonts w:hint="eastAsia"/>
                      <w:color w:val="auto"/>
                      <w:szCs w:val="21"/>
                      <w:highlight w:val="none"/>
                    </w:rPr>
                    <w:t>地下消防水池</w:t>
                  </w:r>
                </w:p>
              </w:tc>
              <w:tc>
                <w:tcPr>
                  <w:tcW w:w="3428" w:type="pct"/>
                  <w:tcBorders>
                    <w:tl2br w:val="nil"/>
                    <w:tr2bl w:val="nil"/>
                  </w:tcBorders>
                  <w:vAlign w:val="center"/>
                </w:tcPr>
                <w:p w14:paraId="172E2972">
                  <w:pPr>
                    <w:spacing w:line="240" w:lineRule="atLeast"/>
                    <w:jc w:val="left"/>
                    <w:rPr>
                      <w:rFonts w:hint="eastAsia" w:eastAsia="宋体"/>
                      <w:color w:val="auto"/>
                      <w:szCs w:val="21"/>
                      <w:highlight w:val="none"/>
                      <w:lang w:eastAsia="zh-CN"/>
                    </w:rPr>
                  </w:pPr>
                  <w:r>
                    <w:rPr>
                      <w:rFonts w:hint="eastAsia"/>
                      <w:color w:val="auto"/>
                      <w:szCs w:val="21"/>
                      <w:highlight w:val="none"/>
                    </w:rPr>
                    <w:t>建筑面积241</w:t>
                  </w:r>
                  <w:r>
                    <w:rPr>
                      <w:color w:val="auto"/>
                      <w:szCs w:val="21"/>
                      <w:highlight w:val="none"/>
                    </w:rPr>
                    <w:t>m</w:t>
                  </w:r>
                  <w:r>
                    <w:rPr>
                      <w:color w:val="auto"/>
                      <w:szCs w:val="21"/>
                      <w:highlight w:val="none"/>
                      <w:vertAlign w:val="superscript"/>
                    </w:rPr>
                    <w:t>2</w:t>
                  </w:r>
                  <w:r>
                    <w:rPr>
                      <w:rFonts w:hint="eastAsia"/>
                      <w:color w:val="auto"/>
                      <w:szCs w:val="21"/>
                      <w:highlight w:val="none"/>
                    </w:rPr>
                    <w:t>，建钢结构，独立基础</w:t>
                  </w:r>
                  <w:r>
                    <w:rPr>
                      <w:rFonts w:hint="eastAsia"/>
                      <w:color w:val="auto"/>
                      <w:szCs w:val="21"/>
                      <w:highlight w:val="none"/>
                      <w:lang w:eastAsia="zh-CN"/>
                    </w:rPr>
                    <w:t>。</w:t>
                  </w:r>
                </w:p>
              </w:tc>
              <w:tc>
                <w:tcPr>
                  <w:tcW w:w="464" w:type="pct"/>
                  <w:tcBorders>
                    <w:tl2br w:val="nil"/>
                    <w:tr2bl w:val="nil"/>
                  </w:tcBorders>
                  <w:vAlign w:val="center"/>
                </w:tcPr>
                <w:p w14:paraId="1346789C">
                  <w:pPr>
                    <w:rPr>
                      <w:color w:val="auto"/>
                      <w:szCs w:val="21"/>
                      <w:highlight w:val="none"/>
                    </w:rPr>
                  </w:pPr>
                  <w:r>
                    <w:rPr>
                      <w:rFonts w:hint="eastAsia"/>
                      <w:color w:val="auto"/>
                      <w:szCs w:val="21"/>
                      <w:highlight w:val="none"/>
                      <w:lang w:val="en-US" w:eastAsia="zh-CN"/>
                    </w:rPr>
                    <w:t>已建</w:t>
                  </w:r>
                </w:p>
              </w:tc>
            </w:tr>
            <w:tr w14:paraId="28514F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616FE80E">
                  <w:pPr>
                    <w:jc w:val="center"/>
                    <w:rPr>
                      <w:color w:val="auto"/>
                      <w:szCs w:val="21"/>
                      <w:highlight w:val="none"/>
                    </w:rPr>
                  </w:pPr>
                </w:p>
              </w:tc>
              <w:tc>
                <w:tcPr>
                  <w:tcW w:w="796" w:type="pct"/>
                  <w:tcBorders>
                    <w:tl2br w:val="nil"/>
                    <w:tr2bl w:val="nil"/>
                  </w:tcBorders>
                  <w:vAlign w:val="center"/>
                </w:tcPr>
                <w:p w14:paraId="1F06BD86">
                  <w:pPr>
                    <w:spacing w:line="240" w:lineRule="atLeast"/>
                    <w:jc w:val="center"/>
                    <w:rPr>
                      <w:color w:val="auto"/>
                      <w:szCs w:val="21"/>
                      <w:highlight w:val="none"/>
                    </w:rPr>
                  </w:pPr>
                  <w:r>
                    <w:rPr>
                      <w:rFonts w:hint="eastAsia"/>
                      <w:color w:val="auto"/>
                      <w:szCs w:val="21"/>
                      <w:highlight w:val="none"/>
                    </w:rPr>
                    <w:t>地下水封池</w:t>
                  </w:r>
                </w:p>
              </w:tc>
              <w:tc>
                <w:tcPr>
                  <w:tcW w:w="3428" w:type="pct"/>
                  <w:tcBorders>
                    <w:tl2br w:val="nil"/>
                    <w:tr2bl w:val="nil"/>
                  </w:tcBorders>
                  <w:vAlign w:val="center"/>
                </w:tcPr>
                <w:p w14:paraId="5352137F">
                  <w:pPr>
                    <w:spacing w:line="240" w:lineRule="atLeast"/>
                    <w:jc w:val="left"/>
                    <w:rPr>
                      <w:rFonts w:hint="eastAsia" w:eastAsia="宋体"/>
                      <w:color w:val="auto"/>
                      <w:szCs w:val="21"/>
                      <w:highlight w:val="none"/>
                      <w:lang w:eastAsia="zh-CN"/>
                    </w:rPr>
                  </w:pPr>
                  <w:r>
                    <w:rPr>
                      <w:rFonts w:hint="eastAsia"/>
                      <w:color w:val="auto"/>
                      <w:szCs w:val="21"/>
                      <w:highlight w:val="none"/>
                    </w:rPr>
                    <w:t>建筑面积7</w:t>
                  </w:r>
                  <w:r>
                    <w:rPr>
                      <w:color w:val="auto"/>
                      <w:szCs w:val="21"/>
                      <w:highlight w:val="none"/>
                    </w:rPr>
                    <w:t>m</w:t>
                  </w:r>
                  <w:r>
                    <w:rPr>
                      <w:color w:val="auto"/>
                      <w:szCs w:val="21"/>
                      <w:highlight w:val="none"/>
                      <w:vertAlign w:val="superscript"/>
                    </w:rPr>
                    <w:t>2</w:t>
                  </w:r>
                  <w:r>
                    <w:rPr>
                      <w:rFonts w:hint="eastAsia"/>
                      <w:color w:val="auto"/>
                      <w:szCs w:val="21"/>
                      <w:highlight w:val="none"/>
                    </w:rPr>
                    <w:t>，建钢结构，独立基础</w:t>
                  </w:r>
                  <w:r>
                    <w:rPr>
                      <w:rFonts w:hint="eastAsia"/>
                      <w:color w:val="auto"/>
                      <w:szCs w:val="21"/>
                      <w:highlight w:val="none"/>
                      <w:lang w:eastAsia="zh-CN"/>
                    </w:rPr>
                    <w:t>。</w:t>
                  </w:r>
                </w:p>
              </w:tc>
              <w:tc>
                <w:tcPr>
                  <w:tcW w:w="464" w:type="pct"/>
                  <w:tcBorders>
                    <w:tl2br w:val="nil"/>
                    <w:tr2bl w:val="nil"/>
                  </w:tcBorders>
                  <w:vAlign w:val="center"/>
                </w:tcPr>
                <w:p w14:paraId="04385CB4">
                  <w:pPr>
                    <w:rPr>
                      <w:color w:val="auto"/>
                      <w:szCs w:val="21"/>
                      <w:highlight w:val="none"/>
                    </w:rPr>
                  </w:pPr>
                  <w:r>
                    <w:rPr>
                      <w:rFonts w:hint="eastAsia"/>
                      <w:color w:val="auto"/>
                      <w:szCs w:val="21"/>
                      <w:highlight w:val="none"/>
                      <w:lang w:val="en-US" w:eastAsia="zh-CN"/>
                    </w:rPr>
                    <w:t>已建</w:t>
                  </w:r>
                </w:p>
              </w:tc>
            </w:tr>
            <w:tr w14:paraId="6862F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10ACF114">
                  <w:pPr>
                    <w:jc w:val="center"/>
                    <w:rPr>
                      <w:color w:val="auto"/>
                      <w:szCs w:val="21"/>
                      <w:highlight w:val="none"/>
                    </w:rPr>
                  </w:pPr>
                </w:p>
              </w:tc>
              <w:tc>
                <w:tcPr>
                  <w:tcW w:w="796" w:type="pct"/>
                  <w:tcBorders>
                    <w:tl2br w:val="nil"/>
                    <w:tr2bl w:val="nil"/>
                  </w:tcBorders>
                  <w:vAlign w:val="center"/>
                </w:tcPr>
                <w:p w14:paraId="537C8061">
                  <w:pPr>
                    <w:spacing w:line="240" w:lineRule="atLeast"/>
                    <w:jc w:val="center"/>
                    <w:rPr>
                      <w:color w:val="auto"/>
                      <w:szCs w:val="21"/>
                      <w:highlight w:val="none"/>
                    </w:rPr>
                  </w:pPr>
                  <w:r>
                    <w:rPr>
                      <w:rFonts w:hint="eastAsia"/>
                      <w:color w:val="auto"/>
                      <w:szCs w:val="21"/>
                      <w:highlight w:val="none"/>
                    </w:rPr>
                    <w:t>冷却水回用池</w:t>
                  </w:r>
                </w:p>
              </w:tc>
              <w:tc>
                <w:tcPr>
                  <w:tcW w:w="3428" w:type="pct"/>
                  <w:tcBorders>
                    <w:tl2br w:val="nil"/>
                    <w:tr2bl w:val="nil"/>
                  </w:tcBorders>
                  <w:vAlign w:val="center"/>
                </w:tcPr>
                <w:p w14:paraId="3D67F2CC">
                  <w:pPr>
                    <w:spacing w:line="240" w:lineRule="atLeast"/>
                    <w:jc w:val="left"/>
                    <w:rPr>
                      <w:rFonts w:hint="eastAsia" w:eastAsia="宋体"/>
                      <w:color w:val="auto"/>
                      <w:szCs w:val="21"/>
                      <w:highlight w:val="none"/>
                      <w:lang w:eastAsia="zh-CN"/>
                    </w:rPr>
                  </w:pPr>
                  <w:r>
                    <w:rPr>
                      <w:rFonts w:hint="eastAsia"/>
                      <w:color w:val="auto"/>
                      <w:szCs w:val="21"/>
                      <w:highlight w:val="none"/>
                    </w:rPr>
                    <w:t>建筑面积3</w:t>
                  </w:r>
                  <w:r>
                    <w:rPr>
                      <w:color w:val="auto"/>
                      <w:szCs w:val="21"/>
                      <w:highlight w:val="none"/>
                    </w:rPr>
                    <w:t>m</w:t>
                  </w:r>
                  <w:r>
                    <w:rPr>
                      <w:color w:val="auto"/>
                      <w:szCs w:val="21"/>
                      <w:highlight w:val="none"/>
                      <w:vertAlign w:val="superscript"/>
                    </w:rPr>
                    <w:t>2</w:t>
                  </w:r>
                  <w:r>
                    <w:rPr>
                      <w:rFonts w:hint="eastAsia"/>
                      <w:color w:val="auto"/>
                      <w:szCs w:val="21"/>
                      <w:highlight w:val="none"/>
                    </w:rPr>
                    <w:t>，建钢结构，独立基础</w:t>
                  </w:r>
                  <w:r>
                    <w:rPr>
                      <w:rFonts w:hint="eastAsia"/>
                      <w:color w:val="auto"/>
                      <w:szCs w:val="21"/>
                      <w:highlight w:val="none"/>
                      <w:lang w:eastAsia="zh-CN"/>
                    </w:rPr>
                    <w:t>。</w:t>
                  </w:r>
                </w:p>
              </w:tc>
              <w:tc>
                <w:tcPr>
                  <w:tcW w:w="464" w:type="pct"/>
                  <w:tcBorders>
                    <w:tl2br w:val="nil"/>
                    <w:tr2bl w:val="nil"/>
                  </w:tcBorders>
                  <w:vAlign w:val="center"/>
                </w:tcPr>
                <w:p w14:paraId="5C4D6470">
                  <w:pPr>
                    <w:rPr>
                      <w:color w:val="auto"/>
                      <w:szCs w:val="21"/>
                      <w:highlight w:val="none"/>
                    </w:rPr>
                  </w:pPr>
                  <w:r>
                    <w:rPr>
                      <w:rFonts w:hint="eastAsia"/>
                      <w:color w:val="auto"/>
                      <w:szCs w:val="21"/>
                      <w:highlight w:val="none"/>
                      <w:lang w:val="en-US" w:eastAsia="zh-CN"/>
                    </w:rPr>
                    <w:t>已建</w:t>
                  </w:r>
                </w:p>
              </w:tc>
            </w:tr>
            <w:tr w14:paraId="1F6936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4F0B1E57">
                  <w:pPr>
                    <w:jc w:val="center"/>
                    <w:rPr>
                      <w:color w:val="auto"/>
                      <w:szCs w:val="21"/>
                      <w:highlight w:val="none"/>
                    </w:rPr>
                  </w:pPr>
                </w:p>
              </w:tc>
              <w:tc>
                <w:tcPr>
                  <w:tcW w:w="796" w:type="pct"/>
                  <w:tcBorders>
                    <w:tl2br w:val="nil"/>
                    <w:tr2bl w:val="nil"/>
                  </w:tcBorders>
                  <w:vAlign w:val="center"/>
                </w:tcPr>
                <w:p w14:paraId="0130B95E">
                  <w:pPr>
                    <w:spacing w:line="240" w:lineRule="atLeast"/>
                    <w:jc w:val="center"/>
                    <w:rPr>
                      <w:rFonts w:hint="eastAsia" w:eastAsia="宋体"/>
                      <w:color w:val="auto"/>
                      <w:szCs w:val="21"/>
                      <w:highlight w:val="none"/>
                      <w:lang w:eastAsia="zh-CN"/>
                    </w:rPr>
                  </w:pPr>
                  <w:r>
                    <w:rPr>
                      <w:rFonts w:hint="eastAsia"/>
                      <w:color w:val="auto"/>
                      <w:szCs w:val="21"/>
                      <w:highlight w:val="none"/>
                      <w:lang w:eastAsia="zh-CN"/>
                    </w:rPr>
                    <w:t>地下事故池</w:t>
                  </w:r>
                </w:p>
              </w:tc>
              <w:tc>
                <w:tcPr>
                  <w:tcW w:w="3428" w:type="pct"/>
                  <w:tcBorders>
                    <w:tl2br w:val="nil"/>
                    <w:tr2bl w:val="nil"/>
                  </w:tcBorders>
                  <w:vAlign w:val="center"/>
                </w:tcPr>
                <w:p w14:paraId="62EC110E">
                  <w:pPr>
                    <w:spacing w:line="240" w:lineRule="atLeast"/>
                    <w:jc w:val="left"/>
                    <w:rPr>
                      <w:rFonts w:hint="default" w:eastAsia="宋体"/>
                      <w:color w:val="auto"/>
                      <w:szCs w:val="21"/>
                      <w:highlight w:val="none"/>
                      <w:lang w:val="en-US" w:eastAsia="zh-CN"/>
                    </w:rPr>
                  </w:pPr>
                  <w:r>
                    <w:rPr>
                      <w:rFonts w:hint="eastAsia"/>
                      <w:color w:val="auto"/>
                      <w:szCs w:val="21"/>
                      <w:highlight w:val="none"/>
                      <w:lang w:eastAsia="zh-CN"/>
                    </w:rPr>
                    <w:t>设置一处容积为</w:t>
                  </w:r>
                  <w:r>
                    <w:rPr>
                      <w:rFonts w:hint="eastAsia"/>
                      <w:color w:val="auto"/>
                      <w:szCs w:val="21"/>
                      <w:highlight w:val="none"/>
                      <w:lang w:val="en-US" w:eastAsia="zh-CN"/>
                    </w:rPr>
                    <w:t>675m</w:t>
                  </w:r>
                  <w:r>
                    <w:rPr>
                      <w:rFonts w:hint="eastAsia"/>
                      <w:color w:val="auto"/>
                      <w:szCs w:val="21"/>
                      <w:highlight w:val="none"/>
                      <w:vertAlign w:val="superscript"/>
                      <w:lang w:val="en-US" w:eastAsia="zh-CN"/>
                    </w:rPr>
                    <w:t>3</w:t>
                  </w:r>
                  <w:r>
                    <w:rPr>
                      <w:rFonts w:hint="eastAsia"/>
                      <w:color w:val="auto"/>
                      <w:szCs w:val="21"/>
                      <w:highlight w:val="none"/>
                      <w:lang w:val="en-US" w:eastAsia="zh-CN"/>
                    </w:rPr>
                    <w:t>的地下事故池，四周做重点防渗，发生事故时事故废水、正己烷等汇流至事故池内。</w:t>
                  </w:r>
                </w:p>
              </w:tc>
              <w:tc>
                <w:tcPr>
                  <w:tcW w:w="464" w:type="pct"/>
                  <w:tcBorders>
                    <w:tl2br w:val="nil"/>
                    <w:tr2bl w:val="nil"/>
                  </w:tcBorders>
                  <w:vAlign w:val="center"/>
                </w:tcPr>
                <w:p w14:paraId="3B7D4EF7">
                  <w:pPr>
                    <w:rPr>
                      <w:rFonts w:hint="eastAsia" w:eastAsia="宋体"/>
                      <w:color w:val="auto"/>
                      <w:szCs w:val="21"/>
                      <w:highlight w:val="none"/>
                      <w:lang w:eastAsia="zh-CN"/>
                    </w:rPr>
                  </w:pPr>
                  <w:r>
                    <w:rPr>
                      <w:rFonts w:hint="eastAsia"/>
                      <w:color w:val="auto"/>
                      <w:szCs w:val="21"/>
                      <w:highlight w:val="none"/>
                      <w:lang w:val="en-US" w:eastAsia="zh-CN"/>
                    </w:rPr>
                    <w:t>已建</w:t>
                  </w:r>
                </w:p>
              </w:tc>
            </w:tr>
            <w:tr w14:paraId="6318F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restart"/>
                  <w:tcBorders>
                    <w:tl2br w:val="nil"/>
                    <w:tr2bl w:val="nil"/>
                  </w:tcBorders>
                  <w:vAlign w:val="center"/>
                </w:tcPr>
                <w:p w14:paraId="5D157D80">
                  <w:pPr>
                    <w:jc w:val="center"/>
                    <w:rPr>
                      <w:color w:val="auto"/>
                      <w:szCs w:val="21"/>
                      <w:highlight w:val="none"/>
                    </w:rPr>
                  </w:pPr>
                  <w:r>
                    <w:rPr>
                      <w:color w:val="auto"/>
                      <w:szCs w:val="21"/>
                      <w:highlight w:val="none"/>
                    </w:rPr>
                    <w:t>公用工程</w:t>
                  </w:r>
                </w:p>
              </w:tc>
              <w:tc>
                <w:tcPr>
                  <w:tcW w:w="796" w:type="pct"/>
                  <w:tcBorders>
                    <w:tl2br w:val="nil"/>
                    <w:tr2bl w:val="nil"/>
                  </w:tcBorders>
                  <w:vAlign w:val="center"/>
                </w:tcPr>
                <w:p w14:paraId="5E94A890">
                  <w:pPr>
                    <w:jc w:val="center"/>
                    <w:rPr>
                      <w:color w:val="auto"/>
                      <w:szCs w:val="21"/>
                      <w:highlight w:val="none"/>
                    </w:rPr>
                  </w:pPr>
                  <w:r>
                    <w:rPr>
                      <w:color w:val="auto"/>
                      <w:szCs w:val="21"/>
                      <w:highlight w:val="none"/>
                    </w:rPr>
                    <w:t>供水</w:t>
                  </w:r>
                </w:p>
              </w:tc>
              <w:tc>
                <w:tcPr>
                  <w:tcW w:w="3428" w:type="pct"/>
                  <w:tcBorders>
                    <w:tl2br w:val="nil"/>
                    <w:tr2bl w:val="nil"/>
                  </w:tcBorders>
                  <w:vAlign w:val="center"/>
                </w:tcPr>
                <w:p w14:paraId="2EC2AC01">
                  <w:pPr>
                    <w:rPr>
                      <w:rFonts w:hint="eastAsia" w:eastAsia="宋体"/>
                      <w:color w:val="auto"/>
                      <w:szCs w:val="21"/>
                      <w:highlight w:val="none"/>
                      <w:lang w:eastAsia="zh-CN"/>
                    </w:rPr>
                  </w:pPr>
                  <w:r>
                    <w:rPr>
                      <w:color w:val="auto"/>
                      <w:szCs w:val="21"/>
                      <w:highlight w:val="none"/>
                    </w:rPr>
                    <w:t>项目运营期用水主要为生产用水及生活用水，供水水源为市政管网</w:t>
                  </w:r>
                  <w:r>
                    <w:rPr>
                      <w:rFonts w:hint="eastAsia"/>
                      <w:color w:val="auto"/>
                      <w:szCs w:val="21"/>
                      <w:highlight w:val="none"/>
                      <w:lang w:eastAsia="zh-CN"/>
                    </w:rPr>
                    <w:t>。</w:t>
                  </w:r>
                </w:p>
              </w:tc>
              <w:tc>
                <w:tcPr>
                  <w:tcW w:w="464" w:type="pct"/>
                  <w:tcBorders>
                    <w:tl2br w:val="nil"/>
                    <w:tr2bl w:val="nil"/>
                  </w:tcBorders>
                  <w:vAlign w:val="center"/>
                </w:tcPr>
                <w:p w14:paraId="610CF973">
                  <w:pPr>
                    <w:rPr>
                      <w:color w:val="auto"/>
                      <w:szCs w:val="21"/>
                      <w:highlight w:val="none"/>
                    </w:rPr>
                  </w:pPr>
                  <w:r>
                    <w:rPr>
                      <w:rFonts w:hint="eastAsia"/>
                      <w:color w:val="auto"/>
                      <w:szCs w:val="21"/>
                      <w:highlight w:val="none"/>
                      <w:lang w:val="en-US" w:eastAsia="zh-CN"/>
                    </w:rPr>
                    <w:t>已建</w:t>
                  </w:r>
                </w:p>
              </w:tc>
            </w:tr>
            <w:tr w14:paraId="30920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249A26DB">
                  <w:pPr>
                    <w:widowControl/>
                    <w:jc w:val="left"/>
                    <w:rPr>
                      <w:color w:val="auto"/>
                      <w:szCs w:val="21"/>
                      <w:highlight w:val="none"/>
                    </w:rPr>
                  </w:pPr>
                </w:p>
              </w:tc>
              <w:tc>
                <w:tcPr>
                  <w:tcW w:w="796" w:type="pct"/>
                  <w:tcBorders>
                    <w:tl2br w:val="nil"/>
                    <w:tr2bl w:val="nil"/>
                  </w:tcBorders>
                  <w:vAlign w:val="center"/>
                </w:tcPr>
                <w:p w14:paraId="051E15CC">
                  <w:pPr>
                    <w:jc w:val="center"/>
                    <w:rPr>
                      <w:color w:val="auto"/>
                      <w:szCs w:val="21"/>
                      <w:highlight w:val="none"/>
                    </w:rPr>
                  </w:pPr>
                  <w:r>
                    <w:rPr>
                      <w:color w:val="auto"/>
                      <w:szCs w:val="21"/>
                      <w:highlight w:val="none"/>
                    </w:rPr>
                    <w:t>排水</w:t>
                  </w:r>
                </w:p>
              </w:tc>
              <w:tc>
                <w:tcPr>
                  <w:tcW w:w="3428" w:type="pct"/>
                  <w:tcBorders>
                    <w:tl2br w:val="nil"/>
                    <w:tr2bl w:val="nil"/>
                  </w:tcBorders>
                  <w:vAlign w:val="center"/>
                </w:tcPr>
                <w:p w14:paraId="28085058">
                  <w:pPr>
                    <w:rPr>
                      <w:color w:val="auto"/>
                      <w:highlight w:val="none"/>
                    </w:rPr>
                  </w:pPr>
                  <w:r>
                    <w:rPr>
                      <w:rFonts w:hint="eastAsia"/>
                      <w:color w:val="auto"/>
                      <w:szCs w:val="21"/>
                      <w:highlight w:val="none"/>
                      <w:lang w:eastAsia="zh-CN"/>
                    </w:rPr>
                    <w:t>本项目废水主要为生产废水和生活废水，生活废水通过污水管网排入市政管线。生产废水排入厂内污水处理站，处理达标后排入市政管网，进入桦南浦华净源水务有限公司（桦南县污水处理厂）。</w:t>
                  </w:r>
                </w:p>
              </w:tc>
              <w:tc>
                <w:tcPr>
                  <w:tcW w:w="464" w:type="pct"/>
                  <w:tcBorders>
                    <w:tl2br w:val="nil"/>
                    <w:tr2bl w:val="nil"/>
                  </w:tcBorders>
                  <w:vAlign w:val="center"/>
                </w:tcPr>
                <w:p w14:paraId="0F3AD3D6">
                  <w:pPr>
                    <w:rPr>
                      <w:color w:val="auto"/>
                      <w:szCs w:val="21"/>
                      <w:highlight w:val="none"/>
                    </w:rPr>
                  </w:pPr>
                  <w:r>
                    <w:rPr>
                      <w:rFonts w:hint="eastAsia"/>
                      <w:color w:val="auto"/>
                      <w:szCs w:val="21"/>
                      <w:highlight w:val="none"/>
                    </w:rPr>
                    <w:t>新建</w:t>
                  </w:r>
                </w:p>
              </w:tc>
            </w:tr>
            <w:tr w14:paraId="614A0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4309F651">
                  <w:pPr>
                    <w:widowControl/>
                    <w:jc w:val="left"/>
                    <w:rPr>
                      <w:color w:val="auto"/>
                      <w:szCs w:val="21"/>
                      <w:highlight w:val="none"/>
                    </w:rPr>
                  </w:pPr>
                </w:p>
              </w:tc>
              <w:tc>
                <w:tcPr>
                  <w:tcW w:w="796" w:type="pct"/>
                  <w:tcBorders>
                    <w:tl2br w:val="nil"/>
                    <w:tr2bl w:val="nil"/>
                  </w:tcBorders>
                  <w:vAlign w:val="center"/>
                </w:tcPr>
                <w:p w14:paraId="01A28A5A">
                  <w:pPr>
                    <w:jc w:val="center"/>
                    <w:rPr>
                      <w:color w:val="auto"/>
                      <w:szCs w:val="21"/>
                      <w:highlight w:val="none"/>
                    </w:rPr>
                  </w:pPr>
                  <w:r>
                    <w:rPr>
                      <w:color w:val="auto"/>
                      <w:szCs w:val="21"/>
                      <w:highlight w:val="none"/>
                    </w:rPr>
                    <w:t>供电</w:t>
                  </w:r>
                </w:p>
              </w:tc>
              <w:tc>
                <w:tcPr>
                  <w:tcW w:w="3428" w:type="pct"/>
                  <w:tcBorders>
                    <w:tl2br w:val="nil"/>
                    <w:tr2bl w:val="nil"/>
                  </w:tcBorders>
                  <w:vAlign w:val="center"/>
                </w:tcPr>
                <w:p w14:paraId="3E2386C3">
                  <w:pPr>
                    <w:rPr>
                      <w:color w:val="auto"/>
                      <w:szCs w:val="21"/>
                      <w:highlight w:val="none"/>
                    </w:rPr>
                  </w:pPr>
                  <w:r>
                    <w:rPr>
                      <w:color w:val="auto"/>
                      <w:szCs w:val="21"/>
                      <w:highlight w:val="none"/>
                    </w:rPr>
                    <w:t>由市政电网供电。</w:t>
                  </w:r>
                </w:p>
              </w:tc>
              <w:tc>
                <w:tcPr>
                  <w:tcW w:w="464" w:type="pct"/>
                  <w:tcBorders>
                    <w:tl2br w:val="nil"/>
                    <w:tr2bl w:val="nil"/>
                  </w:tcBorders>
                  <w:vAlign w:val="center"/>
                </w:tcPr>
                <w:p w14:paraId="6760424D">
                  <w:pPr>
                    <w:rPr>
                      <w:color w:val="auto"/>
                      <w:szCs w:val="21"/>
                      <w:highlight w:val="none"/>
                    </w:rPr>
                  </w:pPr>
                  <w:r>
                    <w:rPr>
                      <w:rFonts w:hint="eastAsia"/>
                      <w:color w:val="auto"/>
                      <w:szCs w:val="21"/>
                      <w:highlight w:val="none"/>
                      <w:lang w:val="en-US" w:eastAsia="zh-CN"/>
                    </w:rPr>
                    <w:t>已建</w:t>
                  </w:r>
                </w:p>
              </w:tc>
            </w:tr>
            <w:tr w14:paraId="58AE4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08777E8B">
                  <w:pPr>
                    <w:widowControl/>
                    <w:jc w:val="left"/>
                    <w:rPr>
                      <w:color w:val="auto"/>
                      <w:szCs w:val="21"/>
                      <w:highlight w:val="none"/>
                    </w:rPr>
                  </w:pPr>
                </w:p>
              </w:tc>
              <w:tc>
                <w:tcPr>
                  <w:tcW w:w="796" w:type="pct"/>
                  <w:tcBorders>
                    <w:tl2br w:val="nil"/>
                    <w:tr2bl w:val="nil"/>
                  </w:tcBorders>
                  <w:vAlign w:val="center"/>
                </w:tcPr>
                <w:p w14:paraId="7E9DD2B4">
                  <w:pPr>
                    <w:jc w:val="center"/>
                    <w:rPr>
                      <w:color w:val="auto"/>
                      <w:szCs w:val="21"/>
                      <w:highlight w:val="none"/>
                    </w:rPr>
                  </w:pPr>
                  <w:r>
                    <w:rPr>
                      <w:color w:val="auto"/>
                      <w:szCs w:val="21"/>
                      <w:highlight w:val="none"/>
                    </w:rPr>
                    <w:t>供热</w:t>
                  </w:r>
                </w:p>
              </w:tc>
              <w:tc>
                <w:tcPr>
                  <w:tcW w:w="3428" w:type="pct"/>
                  <w:tcBorders>
                    <w:tl2br w:val="nil"/>
                    <w:tr2bl w:val="nil"/>
                  </w:tcBorders>
                  <w:vAlign w:val="center"/>
                </w:tcPr>
                <w:p w14:paraId="3372C836">
                  <w:pPr>
                    <w:rPr>
                      <w:color w:val="auto"/>
                      <w:szCs w:val="21"/>
                      <w:highlight w:val="none"/>
                    </w:rPr>
                  </w:pPr>
                  <w:r>
                    <w:rPr>
                      <w:rFonts w:hint="eastAsia"/>
                      <w:color w:val="auto"/>
                      <w:szCs w:val="21"/>
                      <w:highlight w:val="none"/>
                    </w:rPr>
                    <w:t>本项目</w:t>
                  </w:r>
                  <w:r>
                    <w:rPr>
                      <w:color w:val="auto"/>
                      <w:szCs w:val="21"/>
                      <w:highlight w:val="none"/>
                    </w:rPr>
                    <w:t>生产用热</w:t>
                  </w:r>
                  <w:r>
                    <w:rPr>
                      <w:rFonts w:hint="eastAsia"/>
                      <w:color w:val="auto"/>
                      <w:szCs w:val="21"/>
                      <w:highlight w:val="none"/>
                    </w:rPr>
                    <w:t>和生活供热</w:t>
                  </w:r>
                  <w:r>
                    <w:rPr>
                      <w:color w:val="auto"/>
                      <w:szCs w:val="21"/>
                      <w:highlight w:val="none"/>
                    </w:rPr>
                    <w:t>由自建锅炉房内的1台</w:t>
                  </w:r>
                  <w:r>
                    <w:rPr>
                      <w:rFonts w:hint="eastAsia"/>
                      <w:color w:val="auto"/>
                      <w:szCs w:val="21"/>
                      <w:highlight w:val="none"/>
                    </w:rPr>
                    <w:t>1</w:t>
                  </w:r>
                  <w:r>
                    <w:rPr>
                      <w:rFonts w:hint="eastAsia"/>
                      <w:color w:val="auto"/>
                      <w:szCs w:val="21"/>
                      <w:highlight w:val="none"/>
                      <w:lang w:val="en-US" w:eastAsia="zh-CN"/>
                    </w:rPr>
                    <w:t>8</w:t>
                  </w:r>
                  <w:r>
                    <w:rPr>
                      <w:color w:val="auto"/>
                      <w:szCs w:val="21"/>
                      <w:highlight w:val="none"/>
                    </w:rPr>
                    <w:t>t/h的生物质蒸汽锅炉供给</w:t>
                  </w:r>
                  <w:r>
                    <w:rPr>
                      <w:rFonts w:hint="eastAsia"/>
                      <w:color w:val="auto"/>
                      <w:szCs w:val="21"/>
                      <w:highlight w:val="none"/>
                    </w:rPr>
                    <w:t>，1台1</w:t>
                  </w:r>
                  <w:r>
                    <w:rPr>
                      <w:rFonts w:hint="eastAsia"/>
                      <w:color w:val="auto"/>
                      <w:szCs w:val="21"/>
                      <w:highlight w:val="none"/>
                      <w:lang w:val="en-US" w:eastAsia="zh-CN"/>
                    </w:rPr>
                    <w:t>5</w:t>
                  </w:r>
                  <w:r>
                    <w:rPr>
                      <w:rFonts w:hint="eastAsia"/>
                      <w:color w:val="auto"/>
                      <w:szCs w:val="21"/>
                      <w:highlight w:val="none"/>
                    </w:rPr>
                    <w:t>t/h的生物质蒸汽锅炉作为备用锅炉，</w:t>
                  </w:r>
                  <w:r>
                    <w:rPr>
                      <w:rFonts w:hint="eastAsia"/>
                      <w:color w:val="auto"/>
                      <w:szCs w:val="21"/>
                      <w:highlight w:val="none"/>
                      <w:lang w:eastAsia="zh-CN"/>
                    </w:rPr>
                    <w:t>分别配套两套除尘器，经</w:t>
                  </w:r>
                  <w:r>
                    <w:rPr>
                      <w:rFonts w:hint="eastAsia"/>
                      <w:color w:val="auto"/>
                      <w:szCs w:val="21"/>
                      <w:highlight w:val="none"/>
                      <w:lang w:val="en-US" w:eastAsia="zh-CN"/>
                    </w:rPr>
                    <w:t>旋风除尘器+布袋除尘器</w:t>
                  </w:r>
                  <w:r>
                    <w:rPr>
                      <w:rFonts w:hint="eastAsia"/>
                      <w:color w:val="auto"/>
                      <w:szCs w:val="21"/>
                      <w:highlight w:val="none"/>
                      <w:lang w:eastAsia="zh-CN"/>
                    </w:rPr>
                    <w:t>处理由后40m高烟囱（</w:t>
                  </w:r>
                  <w:r>
                    <w:rPr>
                      <w:rFonts w:hint="eastAsia"/>
                      <w:color w:val="auto"/>
                      <w:sz w:val="24"/>
                      <w:lang w:val="en-US" w:eastAsia="zh-CN"/>
                    </w:rPr>
                    <w:t>DA00</w:t>
                  </w:r>
                  <w:r>
                    <w:rPr>
                      <w:rFonts w:hint="eastAsia"/>
                      <w:color w:val="auto"/>
                      <w:szCs w:val="21"/>
                      <w:highlight w:val="none"/>
                      <w:lang w:eastAsia="zh-CN"/>
                    </w:rPr>
                    <w:t>1）排放，</w:t>
                  </w:r>
                  <w:r>
                    <w:rPr>
                      <w:rFonts w:hint="eastAsia"/>
                      <w:color w:val="auto"/>
                      <w:szCs w:val="21"/>
                      <w:highlight w:val="none"/>
                    </w:rPr>
                    <w:t>当供热期间生物质锅炉发生故障时可启用备用锅炉</w:t>
                  </w:r>
                  <w:r>
                    <w:rPr>
                      <w:color w:val="auto"/>
                      <w:szCs w:val="21"/>
                      <w:highlight w:val="none"/>
                    </w:rPr>
                    <w:t>，生物质</w:t>
                  </w:r>
                  <w:r>
                    <w:rPr>
                      <w:rFonts w:hint="eastAsia"/>
                      <w:color w:val="auto"/>
                      <w:szCs w:val="21"/>
                      <w:highlight w:val="none"/>
                    </w:rPr>
                    <w:t>成型</w:t>
                  </w:r>
                  <w:r>
                    <w:rPr>
                      <w:color w:val="auto"/>
                      <w:szCs w:val="21"/>
                      <w:highlight w:val="none"/>
                    </w:rPr>
                    <w:t>燃料用量为</w:t>
                  </w:r>
                  <w:r>
                    <w:rPr>
                      <w:rFonts w:hint="eastAsia"/>
                      <w:color w:val="auto"/>
                      <w:szCs w:val="21"/>
                      <w:highlight w:val="none"/>
                      <w:lang w:val="en-US" w:eastAsia="zh-CN"/>
                    </w:rPr>
                    <w:t>33226.68</w:t>
                  </w:r>
                  <w:r>
                    <w:rPr>
                      <w:color w:val="auto"/>
                      <w:szCs w:val="21"/>
                      <w:highlight w:val="none"/>
                    </w:rPr>
                    <w:t>t/a。</w:t>
                  </w:r>
                  <w:r>
                    <w:rPr>
                      <w:rFonts w:hint="eastAsia"/>
                      <w:color w:val="auto"/>
                      <w:szCs w:val="21"/>
                      <w:highlight w:val="none"/>
                    </w:rPr>
                    <w:t>冬季采暖采用换热器蒸汽余热供暖。</w:t>
                  </w:r>
                </w:p>
              </w:tc>
              <w:tc>
                <w:tcPr>
                  <w:tcW w:w="464" w:type="pct"/>
                  <w:tcBorders>
                    <w:tl2br w:val="nil"/>
                    <w:tr2bl w:val="nil"/>
                  </w:tcBorders>
                  <w:vAlign w:val="center"/>
                </w:tcPr>
                <w:p w14:paraId="59EA4FB4">
                  <w:pPr>
                    <w:rPr>
                      <w:color w:val="auto"/>
                      <w:szCs w:val="21"/>
                      <w:highlight w:val="none"/>
                    </w:rPr>
                  </w:pPr>
                  <w:r>
                    <w:rPr>
                      <w:rFonts w:hint="eastAsia"/>
                      <w:color w:val="auto"/>
                      <w:szCs w:val="21"/>
                      <w:highlight w:val="none"/>
                      <w:lang w:val="en-US" w:eastAsia="zh-CN"/>
                    </w:rPr>
                    <w:t>已建</w:t>
                  </w:r>
                </w:p>
              </w:tc>
            </w:tr>
            <w:tr w14:paraId="0A221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restart"/>
                  <w:tcBorders>
                    <w:tl2br w:val="nil"/>
                    <w:tr2bl w:val="nil"/>
                  </w:tcBorders>
                  <w:vAlign w:val="center"/>
                </w:tcPr>
                <w:p w14:paraId="7E078FB8">
                  <w:pPr>
                    <w:jc w:val="center"/>
                    <w:rPr>
                      <w:color w:val="auto"/>
                      <w:szCs w:val="21"/>
                      <w:highlight w:val="none"/>
                    </w:rPr>
                  </w:pPr>
                  <w:r>
                    <w:rPr>
                      <w:color w:val="auto"/>
                      <w:szCs w:val="21"/>
                      <w:highlight w:val="none"/>
                    </w:rPr>
                    <w:t>环保工程</w:t>
                  </w:r>
                </w:p>
              </w:tc>
              <w:tc>
                <w:tcPr>
                  <w:tcW w:w="796" w:type="pct"/>
                  <w:tcBorders>
                    <w:tl2br w:val="nil"/>
                    <w:tr2bl w:val="nil"/>
                  </w:tcBorders>
                  <w:vAlign w:val="center"/>
                </w:tcPr>
                <w:p w14:paraId="3E10EC47">
                  <w:pPr>
                    <w:jc w:val="center"/>
                    <w:rPr>
                      <w:color w:val="auto"/>
                      <w:szCs w:val="21"/>
                      <w:highlight w:val="none"/>
                    </w:rPr>
                  </w:pPr>
                  <w:r>
                    <w:rPr>
                      <w:color w:val="auto"/>
                      <w:szCs w:val="21"/>
                      <w:highlight w:val="none"/>
                    </w:rPr>
                    <w:t>废气</w:t>
                  </w:r>
                </w:p>
              </w:tc>
              <w:tc>
                <w:tcPr>
                  <w:tcW w:w="3428" w:type="pct"/>
                  <w:tcBorders>
                    <w:tl2br w:val="nil"/>
                    <w:tr2bl w:val="nil"/>
                  </w:tcBorders>
                  <w:vAlign w:val="center"/>
                </w:tcPr>
                <w:p w14:paraId="0769FCE0">
                  <w:pPr>
                    <w:rPr>
                      <w:color w:val="auto"/>
                      <w:highlight w:val="none"/>
                    </w:rPr>
                  </w:pPr>
                  <w:r>
                    <w:rPr>
                      <w:rFonts w:hint="eastAsia"/>
                      <w:color w:val="auto"/>
                      <w:highlight w:val="none"/>
                    </w:rPr>
                    <w:t>（1）</w:t>
                  </w:r>
                  <w:r>
                    <w:rPr>
                      <w:color w:val="auto"/>
                      <w:highlight w:val="none"/>
                    </w:rPr>
                    <w:t>生物质锅炉烟气经</w:t>
                  </w:r>
                  <w:r>
                    <w:rPr>
                      <w:rFonts w:hint="eastAsia"/>
                      <w:color w:val="auto"/>
                      <w:highlight w:val="none"/>
                      <w:lang w:val="en-US" w:eastAsia="zh-CN"/>
                    </w:rPr>
                    <w:t>旋风除尘器+布袋除尘器</w:t>
                  </w:r>
                  <w:r>
                    <w:rPr>
                      <w:color w:val="auto"/>
                      <w:highlight w:val="none"/>
                    </w:rPr>
                    <w:t>处理</w:t>
                  </w:r>
                  <w:r>
                    <w:rPr>
                      <w:rFonts w:hint="eastAsia"/>
                      <w:color w:val="auto"/>
                      <w:highlight w:val="none"/>
                      <w:lang w:eastAsia="zh-CN"/>
                    </w:rPr>
                    <w:t>后由</w:t>
                  </w:r>
                  <w:r>
                    <w:rPr>
                      <w:rFonts w:hint="eastAsia"/>
                      <w:color w:val="auto"/>
                      <w:highlight w:val="none"/>
                    </w:rPr>
                    <w:t>40</w:t>
                  </w:r>
                  <w:r>
                    <w:rPr>
                      <w:color w:val="auto"/>
                      <w:highlight w:val="none"/>
                    </w:rPr>
                    <w:t>m高烟囱（</w:t>
                  </w:r>
                  <w:r>
                    <w:rPr>
                      <w:rFonts w:hint="eastAsia"/>
                      <w:color w:val="auto"/>
                      <w:highlight w:val="none"/>
                      <w:lang w:val="en-US" w:eastAsia="zh-CN"/>
                    </w:rPr>
                    <w:t>DA00</w:t>
                  </w:r>
                  <w:r>
                    <w:rPr>
                      <w:color w:val="auto"/>
                      <w:highlight w:val="none"/>
                    </w:rPr>
                    <w:t>1）排放</w:t>
                  </w:r>
                  <w:r>
                    <w:rPr>
                      <w:rFonts w:hint="eastAsia"/>
                      <w:color w:val="auto"/>
                      <w:highlight w:val="none"/>
                    </w:rPr>
                    <w:t>，废气排放满足《锅炉大气污染物排放标准》（GB13271-2014）表2大气污染物排放限值要求</w:t>
                  </w:r>
                  <w:r>
                    <w:rPr>
                      <w:color w:val="auto"/>
                      <w:highlight w:val="none"/>
                    </w:rPr>
                    <w:t>；</w:t>
                  </w:r>
                </w:p>
                <w:p w14:paraId="0EAA7A04">
                  <w:pPr>
                    <w:rPr>
                      <w:rFonts w:hint="eastAsia"/>
                      <w:color w:val="auto"/>
                      <w:highlight w:val="none"/>
                    </w:rPr>
                  </w:pPr>
                  <w:r>
                    <w:rPr>
                      <w:rFonts w:hint="eastAsia"/>
                      <w:color w:val="auto"/>
                      <w:highlight w:val="none"/>
                    </w:rPr>
                    <w:t>（2）筛分过程产生的粉尘分别经集气罩收集由</w:t>
                  </w:r>
                  <w:r>
                    <w:rPr>
                      <w:rFonts w:hint="eastAsia"/>
                      <w:color w:val="auto"/>
                      <w:highlight w:val="none"/>
                      <w:lang w:val="en-US" w:eastAsia="zh-CN"/>
                    </w:rPr>
                    <w:t>布袋除尘器</w:t>
                  </w:r>
                  <w:r>
                    <w:rPr>
                      <w:rFonts w:hint="eastAsia"/>
                      <w:color w:val="auto"/>
                      <w:highlight w:val="none"/>
                    </w:rPr>
                    <w:t>处理后由1根15米高排气筒</w:t>
                  </w:r>
                  <w:r>
                    <w:rPr>
                      <w:rFonts w:hint="eastAsia"/>
                      <w:color w:val="auto"/>
                      <w:highlight w:val="none"/>
                      <w:lang w:eastAsia="zh-CN"/>
                    </w:rPr>
                    <w:t>（</w:t>
                  </w:r>
                  <w:r>
                    <w:rPr>
                      <w:rFonts w:hint="eastAsia"/>
                      <w:color w:val="auto"/>
                      <w:highlight w:val="none"/>
                      <w:lang w:val="en-US" w:eastAsia="zh-CN"/>
                    </w:rPr>
                    <w:t>DA002</w:t>
                  </w:r>
                  <w:r>
                    <w:rPr>
                      <w:rFonts w:hint="eastAsia"/>
                      <w:color w:val="auto"/>
                      <w:highlight w:val="none"/>
                      <w:lang w:eastAsia="zh-CN"/>
                    </w:rPr>
                    <w:t>）</w:t>
                  </w:r>
                  <w:r>
                    <w:rPr>
                      <w:rFonts w:hint="eastAsia"/>
                      <w:color w:val="auto"/>
                      <w:highlight w:val="none"/>
                    </w:rPr>
                    <w:t>排放，产生的有组织及无组织颗粒物可以满足《大气污染物综合排放标准》（GB 16297-1996）。</w:t>
                  </w:r>
                </w:p>
                <w:p w14:paraId="43A86864">
                  <w:pPr>
                    <w:rPr>
                      <w:rFonts w:hint="eastAsia"/>
                      <w:color w:val="auto"/>
                      <w:highlight w:val="none"/>
                    </w:rPr>
                  </w:pPr>
                  <w:r>
                    <w:rPr>
                      <w:rFonts w:hint="eastAsia"/>
                      <w:color w:val="auto"/>
                      <w:highlight w:val="none"/>
                      <w:lang w:val="en-US" w:eastAsia="zh-CN"/>
                    </w:rPr>
                    <w:t>（3）烘干过程产生的粉尘分别经集气罩收集由布袋除尘器处理后由1根15米高排气筒（DA003）排放，产生的有组织及无组织颗粒物可以满足《大气污染物综合排放标准》（GB 16297-1996）。</w:t>
                  </w:r>
                </w:p>
                <w:p w14:paraId="53CCFA3B">
                  <w:pPr>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本项目浸出车间浸出工段采用正己烷，产生有机废气，以非甲烷总烃计，大豆油及米糠油浸出工段均设置集气罩，通过密闭管道连接对应设备的冷凝器，将有机废气冷凝成液态通过密闭管道回流到浸出工段，各冷凝器安装集气管线，经冷凝器+石蜡回收塔处理后废气统一由</w:t>
                  </w:r>
                  <w:r>
                    <w:rPr>
                      <w:rFonts w:hint="eastAsia"/>
                      <w:color w:val="auto"/>
                      <w:highlight w:val="none"/>
                      <w:lang w:val="en-US" w:eastAsia="zh-CN"/>
                    </w:rPr>
                    <w:t>20</w:t>
                  </w:r>
                  <w:r>
                    <w:rPr>
                      <w:rFonts w:hint="eastAsia"/>
                      <w:color w:val="auto"/>
                      <w:highlight w:val="none"/>
                    </w:rPr>
                    <w:t>m高排气筒（</w:t>
                  </w:r>
                  <w:r>
                    <w:rPr>
                      <w:rFonts w:hint="eastAsia"/>
                      <w:color w:val="auto"/>
                      <w:highlight w:val="none"/>
                      <w:lang w:val="en-US" w:eastAsia="zh-CN"/>
                    </w:rPr>
                    <w:t>DA004</w:t>
                  </w:r>
                  <w:r>
                    <w:rPr>
                      <w:rFonts w:hint="eastAsia"/>
                      <w:color w:val="auto"/>
                      <w:highlight w:val="none"/>
                    </w:rPr>
                    <w:t>）排放，产生的有组织及无组织非甲烷总烃可以满足《大气污染物综合排放标准》（GB 16297-1996）要求，厂区内厂房外非甲烷总烃可以满足《挥发性有机物无组织排放控制标准》GB 37822-2019）。</w:t>
                  </w:r>
                </w:p>
                <w:p w14:paraId="3E2011ED">
                  <w:pPr>
                    <w:rPr>
                      <w:rFonts w:hint="default"/>
                      <w:color w:val="auto"/>
                      <w:lang w:val="en-US" w:eastAsia="zh-CN"/>
                    </w:rPr>
                  </w:pPr>
                  <w:r>
                    <w:rPr>
                      <w:rFonts w:hint="eastAsia" w:eastAsia="宋体"/>
                      <w:color w:val="auto"/>
                      <w:highlight w:val="none"/>
                      <w:lang w:eastAsia="zh-CN"/>
                    </w:rPr>
                    <w:t>（</w:t>
                  </w:r>
                  <w:r>
                    <w:rPr>
                      <w:rFonts w:hint="eastAsia"/>
                      <w:color w:val="auto"/>
                      <w:highlight w:val="none"/>
                      <w:lang w:val="en-US" w:eastAsia="zh-CN"/>
                    </w:rPr>
                    <w:t>5</w:t>
                  </w:r>
                  <w:r>
                    <w:rPr>
                      <w:rFonts w:hint="eastAsia" w:eastAsia="宋体"/>
                      <w:color w:val="auto"/>
                      <w:highlight w:val="none"/>
                      <w:lang w:val="en-US" w:eastAsia="zh-CN"/>
                    </w:rPr>
                    <w:t>）污水处理站恶臭经活性炭吸附后由15m高排气筒</w:t>
                  </w:r>
                  <w:r>
                    <w:rPr>
                      <w:rFonts w:hint="eastAsia"/>
                      <w:color w:val="auto"/>
                      <w:highlight w:val="none"/>
                      <w:lang w:val="en-US" w:eastAsia="zh-CN"/>
                    </w:rPr>
                    <w:t>（DA005）</w:t>
                  </w:r>
                  <w:r>
                    <w:rPr>
                      <w:rFonts w:hint="eastAsia" w:eastAsia="宋体"/>
                      <w:color w:val="auto"/>
                      <w:highlight w:val="none"/>
                      <w:lang w:val="en-US" w:eastAsia="zh-CN"/>
                    </w:rPr>
                    <w:t>排放，产生得有组织及无组织恶臭满足</w:t>
                  </w:r>
                  <w:r>
                    <w:rPr>
                      <w:rFonts w:hint="eastAsia" w:eastAsia="宋体"/>
                      <w:color w:val="auto"/>
                      <w:highlight w:val="none"/>
                    </w:rPr>
                    <w:t>《恶臭污染物排放标准》（GB14554-93）</w:t>
                  </w:r>
                  <w:r>
                    <w:rPr>
                      <w:rFonts w:hint="eastAsia" w:eastAsia="宋体"/>
                      <w:color w:val="auto"/>
                      <w:highlight w:val="none"/>
                      <w:lang w:val="en-US" w:eastAsia="zh-CN"/>
                    </w:rPr>
                    <w:t>要求，活性炭每三个月更换一次。</w:t>
                  </w:r>
                </w:p>
              </w:tc>
              <w:tc>
                <w:tcPr>
                  <w:tcW w:w="464" w:type="pct"/>
                  <w:tcBorders>
                    <w:tl2br w:val="nil"/>
                    <w:tr2bl w:val="nil"/>
                  </w:tcBorders>
                  <w:vAlign w:val="center"/>
                </w:tcPr>
                <w:p w14:paraId="167D2892">
                  <w:pPr>
                    <w:rPr>
                      <w:color w:val="auto"/>
                      <w:szCs w:val="21"/>
                      <w:highlight w:val="none"/>
                    </w:rPr>
                  </w:pPr>
                  <w:r>
                    <w:rPr>
                      <w:rFonts w:hint="eastAsia"/>
                      <w:color w:val="auto"/>
                      <w:szCs w:val="21"/>
                      <w:highlight w:val="none"/>
                    </w:rPr>
                    <w:t>/</w:t>
                  </w:r>
                </w:p>
              </w:tc>
            </w:tr>
            <w:tr w14:paraId="43AEC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311" w:type="pct"/>
                  <w:vMerge w:val="continue"/>
                  <w:tcBorders>
                    <w:tl2br w:val="nil"/>
                    <w:tr2bl w:val="nil"/>
                  </w:tcBorders>
                  <w:vAlign w:val="center"/>
                </w:tcPr>
                <w:p w14:paraId="6A268488">
                  <w:pPr>
                    <w:widowControl/>
                    <w:jc w:val="left"/>
                    <w:rPr>
                      <w:color w:val="auto"/>
                      <w:szCs w:val="21"/>
                      <w:highlight w:val="none"/>
                    </w:rPr>
                  </w:pPr>
                </w:p>
              </w:tc>
              <w:tc>
                <w:tcPr>
                  <w:tcW w:w="796" w:type="pct"/>
                  <w:tcBorders>
                    <w:tl2br w:val="nil"/>
                    <w:tr2bl w:val="nil"/>
                  </w:tcBorders>
                  <w:vAlign w:val="center"/>
                </w:tcPr>
                <w:p w14:paraId="4D1B4247">
                  <w:pPr>
                    <w:jc w:val="center"/>
                    <w:rPr>
                      <w:color w:val="auto"/>
                      <w:szCs w:val="21"/>
                      <w:highlight w:val="none"/>
                    </w:rPr>
                  </w:pPr>
                  <w:r>
                    <w:rPr>
                      <w:color w:val="auto"/>
                      <w:szCs w:val="21"/>
                      <w:highlight w:val="none"/>
                    </w:rPr>
                    <w:t>废水</w:t>
                  </w:r>
                </w:p>
              </w:tc>
              <w:tc>
                <w:tcPr>
                  <w:tcW w:w="3428" w:type="pct"/>
                  <w:tcBorders>
                    <w:tl2br w:val="nil"/>
                    <w:tr2bl w:val="nil"/>
                  </w:tcBorders>
                  <w:vAlign w:val="center"/>
                </w:tcPr>
                <w:p w14:paraId="362AF1D7">
                  <w:pPr>
                    <w:rPr>
                      <w:rFonts w:hint="default"/>
                      <w:color w:val="auto"/>
                      <w:szCs w:val="21"/>
                      <w:highlight w:val="none"/>
                      <w:lang w:val="en-US"/>
                    </w:rPr>
                  </w:pPr>
                  <w:r>
                    <w:rPr>
                      <w:rFonts w:hint="eastAsia" w:cs="Times New Roman"/>
                      <w:smallCaps w:val="0"/>
                      <w:color w:val="auto"/>
                      <w:sz w:val="21"/>
                      <w:szCs w:val="21"/>
                      <w:highlight w:val="none"/>
                      <w:lang w:eastAsia="zh-CN"/>
                    </w:rPr>
                    <w:t>生活废水经市政管网排入</w:t>
                  </w:r>
                  <w:r>
                    <w:rPr>
                      <w:rFonts w:hint="eastAsia" w:cs="Times New Roman"/>
                      <w:smallCaps w:val="0"/>
                      <w:color w:val="auto"/>
                      <w:sz w:val="21"/>
                      <w:szCs w:val="21"/>
                      <w:highlight w:val="none"/>
                      <w:lang w:val="en-US" w:eastAsia="zh-CN"/>
                    </w:rPr>
                    <w:t>桦南浦华净源水务有限公司（桦南县污水处理厂）处理；生产废水包括锅炉排污水、设备清洗水、浸出废水，锅炉废水部分用于厂区洒水降尘和灰渣加湿，剩余部分和设备清洗水、浸出废水一同排入厂内污水处理站，污水处理站设计规模100m</w:t>
                  </w:r>
                  <w:r>
                    <w:rPr>
                      <w:rFonts w:hint="eastAsia" w:cs="Times New Roman"/>
                      <w:smallCaps w:val="0"/>
                      <w:color w:val="auto"/>
                      <w:sz w:val="21"/>
                      <w:szCs w:val="21"/>
                      <w:highlight w:val="none"/>
                      <w:vertAlign w:val="superscript"/>
                      <w:lang w:val="en-US" w:eastAsia="zh-CN"/>
                    </w:rPr>
                    <w:t>3</w:t>
                  </w:r>
                  <w:r>
                    <w:rPr>
                      <w:rFonts w:hint="eastAsia" w:cs="Times New Roman"/>
                      <w:smallCaps w:val="0"/>
                      <w:color w:val="auto"/>
                      <w:sz w:val="21"/>
                      <w:szCs w:val="21"/>
                      <w:highlight w:val="none"/>
                      <w:lang w:val="en-US" w:eastAsia="zh-CN"/>
                    </w:rPr>
                    <w:t>/d，采用“隔油池+调节池+气浮+水解+UASB+兼氧池+SBR”工艺，处理达标后通过市政管网排入桦南浦华净源水务有限公司（桦南县污水处理厂）处理。设置总容积为675m</w:t>
                  </w:r>
                  <w:r>
                    <w:rPr>
                      <w:rFonts w:hint="eastAsia" w:cs="Times New Roman"/>
                      <w:smallCaps w:val="0"/>
                      <w:color w:val="auto"/>
                      <w:sz w:val="21"/>
                      <w:szCs w:val="21"/>
                      <w:highlight w:val="none"/>
                      <w:vertAlign w:val="superscript"/>
                      <w:lang w:val="en-US" w:eastAsia="zh-CN"/>
                    </w:rPr>
                    <w:t>3</w:t>
                  </w:r>
                  <w:r>
                    <w:rPr>
                      <w:rFonts w:hint="eastAsia" w:cs="Times New Roman"/>
                      <w:smallCaps w:val="0"/>
                      <w:color w:val="auto"/>
                      <w:sz w:val="21"/>
                      <w:szCs w:val="21"/>
                      <w:highlight w:val="none"/>
                      <w:lang w:val="en-US" w:eastAsia="zh-CN"/>
                    </w:rPr>
                    <w:t>的事故池。</w:t>
                  </w:r>
                </w:p>
              </w:tc>
              <w:tc>
                <w:tcPr>
                  <w:tcW w:w="464" w:type="pct"/>
                  <w:tcBorders>
                    <w:tl2br w:val="nil"/>
                    <w:tr2bl w:val="nil"/>
                  </w:tcBorders>
                  <w:vAlign w:val="center"/>
                </w:tcPr>
                <w:p w14:paraId="18B7DF32">
                  <w:pPr>
                    <w:rPr>
                      <w:color w:val="auto"/>
                      <w:szCs w:val="21"/>
                      <w:highlight w:val="none"/>
                    </w:rPr>
                  </w:pPr>
                  <w:r>
                    <w:rPr>
                      <w:rFonts w:hint="eastAsia"/>
                      <w:color w:val="auto"/>
                      <w:szCs w:val="21"/>
                      <w:highlight w:val="none"/>
                    </w:rPr>
                    <w:t>/</w:t>
                  </w:r>
                </w:p>
              </w:tc>
            </w:tr>
            <w:tr w14:paraId="1247A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7" w:hRule="atLeast"/>
                <w:jc w:val="center"/>
              </w:trPr>
              <w:tc>
                <w:tcPr>
                  <w:tcW w:w="311" w:type="pct"/>
                  <w:vMerge w:val="continue"/>
                  <w:tcBorders>
                    <w:tl2br w:val="nil"/>
                    <w:tr2bl w:val="nil"/>
                  </w:tcBorders>
                  <w:vAlign w:val="center"/>
                </w:tcPr>
                <w:p w14:paraId="2D11E649">
                  <w:pPr>
                    <w:widowControl/>
                    <w:jc w:val="left"/>
                    <w:rPr>
                      <w:color w:val="auto"/>
                      <w:szCs w:val="21"/>
                      <w:highlight w:val="none"/>
                    </w:rPr>
                  </w:pPr>
                </w:p>
              </w:tc>
              <w:tc>
                <w:tcPr>
                  <w:tcW w:w="796" w:type="pct"/>
                  <w:tcBorders>
                    <w:tl2br w:val="nil"/>
                    <w:tr2bl w:val="nil"/>
                  </w:tcBorders>
                  <w:vAlign w:val="center"/>
                </w:tcPr>
                <w:p w14:paraId="73DD0B63">
                  <w:pPr>
                    <w:jc w:val="center"/>
                    <w:rPr>
                      <w:color w:val="auto"/>
                      <w:szCs w:val="21"/>
                      <w:highlight w:val="none"/>
                    </w:rPr>
                  </w:pPr>
                  <w:r>
                    <w:rPr>
                      <w:color w:val="auto"/>
                      <w:szCs w:val="21"/>
                      <w:highlight w:val="none"/>
                    </w:rPr>
                    <w:t>噪声</w:t>
                  </w:r>
                </w:p>
              </w:tc>
              <w:tc>
                <w:tcPr>
                  <w:tcW w:w="3428" w:type="pct"/>
                  <w:tcBorders>
                    <w:tl2br w:val="nil"/>
                    <w:tr2bl w:val="nil"/>
                  </w:tcBorders>
                  <w:vAlign w:val="center"/>
                </w:tcPr>
                <w:p w14:paraId="726B3516">
                  <w:pPr>
                    <w:rPr>
                      <w:color w:val="auto"/>
                      <w:highlight w:val="none"/>
                    </w:rPr>
                  </w:pPr>
                  <w:r>
                    <w:rPr>
                      <w:color w:val="auto"/>
                      <w:highlight w:val="none"/>
                    </w:rPr>
                    <w:t>运输车辆禁鸣慢行，采取加强设备减振，厂房隔声等噪声防治措施。运营期</w:t>
                  </w:r>
                  <w:r>
                    <w:rPr>
                      <w:rFonts w:hint="eastAsia"/>
                      <w:color w:val="auto"/>
                      <w:highlight w:val="none"/>
                      <w:lang w:eastAsia="zh-CN"/>
                    </w:rPr>
                    <w:t>厂界四周噪声满足《工业企业厂界环境噪声排放标准》（GB12348-2008）表1中3类标准（昼间≤65dB（A），夜间≤55dB（A））</w:t>
                  </w:r>
                  <w:r>
                    <w:rPr>
                      <w:color w:val="auto"/>
                      <w:highlight w:val="none"/>
                    </w:rPr>
                    <w:t>。</w:t>
                  </w:r>
                </w:p>
              </w:tc>
              <w:tc>
                <w:tcPr>
                  <w:tcW w:w="464" w:type="pct"/>
                  <w:tcBorders>
                    <w:tl2br w:val="nil"/>
                    <w:tr2bl w:val="nil"/>
                  </w:tcBorders>
                  <w:vAlign w:val="center"/>
                </w:tcPr>
                <w:p w14:paraId="51D5E496">
                  <w:pPr>
                    <w:rPr>
                      <w:color w:val="auto"/>
                      <w:szCs w:val="21"/>
                      <w:highlight w:val="none"/>
                    </w:rPr>
                  </w:pPr>
                  <w:r>
                    <w:rPr>
                      <w:rFonts w:hint="eastAsia"/>
                      <w:color w:val="auto"/>
                      <w:szCs w:val="21"/>
                      <w:highlight w:val="none"/>
                    </w:rPr>
                    <w:t>/</w:t>
                  </w:r>
                </w:p>
              </w:tc>
            </w:tr>
            <w:tr w14:paraId="5D0246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1" w:type="pct"/>
                  <w:vMerge w:val="continue"/>
                  <w:tcBorders>
                    <w:tl2br w:val="nil"/>
                    <w:tr2bl w:val="nil"/>
                  </w:tcBorders>
                  <w:vAlign w:val="center"/>
                </w:tcPr>
                <w:p w14:paraId="678A41C9">
                  <w:pPr>
                    <w:widowControl/>
                    <w:jc w:val="left"/>
                    <w:rPr>
                      <w:color w:val="auto"/>
                      <w:szCs w:val="21"/>
                      <w:highlight w:val="none"/>
                    </w:rPr>
                  </w:pPr>
                </w:p>
              </w:tc>
              <w:tc>
                <w:tcPr>
                  <w:tcW w:w="796" w:type="pct"/>
                  <w:tcBorders>
                    <w:tl2br w:val="nil"/>
                    <w:tr2bl w:val="nil"/>
                  </w:tcBorders>
                  <w:vAlign w:val="center"/>
                </w:tcPr>
                <w:p w14:paraId="1CB30D23">
                  <w:pPr>
                    <w:jc w:val="center"/>
                    <w:rPr>
                      <w:color w:val="auto"/>
                      <w:szCs w:val="21"/>
                      <w:highlight w:val="none"/>
                    </w:rPr>
                  </w:pPr>
                  <w:r>
                    <w:rPr>
                      <w:color w:val="auto"/>
                      <w:szCs w:val="21"/>
                      <w:highlight w:val="none"/>
                    </w:rPr>
                    <w:t>固体废物</w:t>
                  </w:r>
                </w:p>
              </w:tc>
              <w:tc>
                <w:tcPr>
                  <w:tcW w:w="3428" w:type="pct"/>
                  <w:tcBorders>
                    <w:tl2br w:val="nil"/>
                    <w:tr2bl w:val="nil"/>
                  </w:tcBorders>
                  <w:vAlign w:val="center"/>
                </w:tcPr>
                <w:p w14:paraId="11E28E5E">
                  <w:pPr>
                    <w:rPr>
                      <w:rFonts w:hint="eastAsia"/>
                      <w:color w:val="auto"/>
                      <w:highlight w:val="none"/>
                      <w:lang w:val="en-US" w:eastAsia="zh-CN"/>
                    </w:rPr>
                  </w:pPr>
                  <w:r>
                    <w:rPr>
                      <w:rFonts w:hint="eastAsia"/>
                      <w:color w:val="auto"/>
                      <w:highlight w:val="none"/>
                      <w:lang w:val="en-US" w:eastAsia="zh-CN"/>
                    </w:rPr>
                    <w:t>①</w:t>
                  </w:r>
                  <w:r>
                    <w:rPr>
                      <w:rFonts w:hint="eastAsia"/>
                      <w:color w:val="auto"/>
                      <w:highlight w:val="none"/>
                    </w:rPr>
                    <w:t>生产废料集中收集，</w:t>
                  </w:r>
                  <w:r>
                    <w:rPr>
                      <w:rFonts w:hint="eastAsia"/>
                      <w:color w:val="auto"/>
                      <w:highlight w:val="none"/>
                      <w:lang w:val="en-US" w:eastAsia="zh-CN"/>
                    </w:rPr>
                    <w:t>暂存在固废暂存间，外售综合利用；</w:t>
                  </w:r>
                </w:p>
                <w:p w14:paraId="7F5FA353">
                  <w:pPr>
                    <w:rPr>
                      <w:rFonts w:hint="eastAsia"/>
                      <w:color w:val="auto"/>
                      <w:highlight w:val="none"/>
                      <w:lang w:val="en-US" w:eastAsia="zh-CN"/>
                    </w:rPr>
                  </w:pPr>
                  <w:r>
                    <w:rPr>
                      <w:rFonts w:hint="eastAsia"/>
                      <w:color w:val="auto"/>
                      <w:highlight w:val="none"/>
                      <w:lang w:val="en-US" w:eastAsia="zh-CN"/>
                    </w:rPr>
                    <w:t>②</w:t>
                  </w:r>
                  <w:r>
                    <w:rPr>
                      <w:rFonts w:hint="eastAsia"/>
                      <w:color w:val="auto"/>
                      <w:highlight w:val="none"/>
                    </w:rPr>
                    <w:t>本项目生物质锅炉灰渣，暂存于固废暂存间，外售综合利用；</w:t>
                  </w:r>
                </w:p>
                <w:p w14:paraId="4EC4D634">
                  <w:pPr>
                    <w:rPr>
                      <w:rFonts w:hint="eastAsia"/>
                      <w:color w:val="auto"/>
                      <w:highlight w:val="none"/>
                      <w:lang w:val="en-US" w:eastAsia="zh-CN"/>
                    </w:rPr>
                  </w:pPr>
                  <w:r>
                    <w:rPr>
                      <w:rFonts w:hint="eastAsia"/>
                      <w:color w:val="auto"/>
                      <w:highlight w:val="none"/>
                      <w:lang w:val="en-US" w:eastAsia="zh-CN"/>
                    </w:rPr>
                    <w:t>③生活垃圾</w:t>
                  </w:r>
                  <w:r>
                    <w:rPr>
                      <w:rFonts w:hint="eastAsia"/>
                      <w:color w:val="auto"/>
                      <w:highlight w:val="none"/>
                    </w:rPr>
                    <w:t>集中收集，由市政环卫部门负责处理</w:t>
                  </w:r>
                  <w:r>
                    <w:rPr>
                      <w:rFonts w:hint="eastAsia"/>
                      <w:color w:val="auto"/>
                      <w:highlight w:val="none"/>
                      <w:lang w:eastAsia="zh-CN"/>
                    </w:rPr>
                    <w:t>；</w:t>
                  </w:r>
                </w:p>
                <w:p w14:paraId="476DC34A">
                  <w:pPr>
                    <w:rPr>
                      <w:rFonts w:hint="eastAsia"/>
                      <w:color w:val="auto"/>
                      <w:highlight w:val="none"/>
                      <w:lang w:val="en-US" w:eastAsia="zh-CN"/>
                    </w:rPr>
                  </w:pPr>
                  <w:r>
                    <w:rPr>
                      <w:rFonts w:hint="eastAsia"/>
                      <w:color w:val="auto"/>
                      <w:highlight w:val="none"/>
                      <w:lang w:val="en-US" w:eastAsia="zh-CN"/>
                    </w:rPr>
                    <w:t>④</w:t>
                  </w:r>
                  <w:r>
                    <w:rPr>
                      <w:rFonts w:hint="eastAsia"/>
                      <w:color w:val="auto"/>
                      <w:highlight w:val="none"/>
                      <w:lang w:eastAsia="zh-CN"/>
                    </w:rPr>
                    <w:t>废离子交换树脂</w:t>
                  </w:r>
                  <w:r>
                    <w:rPr>
                      <w:rFonts w:hint="eastAsia"/>
                      <w:color w:val="auto"/>
                      <w:highlight w:val="none"/>
                      <w:lang w:val="en-US" w:eastAsia="zh-CN"/>
                    </w:rPr>
                    <w:t>暂存在固废暂存间，由厂家回收处理；</w:t>
                  </w:r>
                </w:p>
                <w:p w14:paraId="5E016233">
                  <w:pPr>
                    <w:rPr>
                      <w:rFonts w:hint="default"/>
                      <w:color w:val="auto"/>
                      <w:highlight w:val="none"/>
                      <w:lang w:val="en-US" w:eastAsia="zh-CN"/>
                    </w:rPr>
                  </w:pPr>
                  <w:r>
                    <w:rPr>
                      <w:rFonts w:hint="eastAsia"/>
                      <w:color w:val="auto"/>
                      <w:highlight w:val="none"/>
                      <w:lang w:val="en-US" w:eastAsia="zh-CN"/>
                    </w:rPr>
                    <w:t>⑤污水处理站污泥</w:t>
                  </w:r>
                  <w:r>
                    <w:rPr>
                      <w:rFonts w:hint="default"/>
                      <w:color w:val="auto"/>
                      <w:highlight w:val="none"/>
                    </w:rPr>
                    <w:t>存放在</w:t>
                  </w:r>
                  <w:r>
                    <w:rPr>
                      <w:rFonts w:hint="default"/>
                      <w:color w:val="auto"/>
                      <w:highlight w:val="none"/>
                      <w:lang w:val="en-US" w:eastAsia="zh-CN"/>
                    </w:rPr>
                    <w:t>固废暂存间交由有处理能力的单位处</w:t>
                  </w:r>
                  <w:r>
                    <w:rPr>
                      <w:rFonts w:hint="eastAsia"/>
                      <w:color w:val="auto"/>
                      <w:highlight w:val="none"/>
                      <w:lang w:val="en-US" w:eastAsia="zh-CN"/>
                    </w:rPr>
                    <w:t>置；</w:t>
                  </w:r>
                </w:p>
                <w:p w14:paraId="18EB3F46">
                  <w:pPr>
                    <w:rPr>
                      <w:rFonts w:hint="default"/>
                      <w:color w:val="auto"/>
                      <w:highlight w:val="none"/>
                      <w:lang w:val="en-US" w:eastAsia="zh-CN"/>
                    </w:rPr>
                  </w:pPr>
                  <w:r>
                    <w:rPr>
                      <w:rFonts w:hint="eastAsia"/>
                      <w:color w:val="auto"/>
                      <w:highlight w:val="none"/>
                      <w:lang w:val="en-US" w:eastAsia="zh-CN"/>
                    </w:rPr>
                    <w:t>⑥废机油</w:t>
                  </w:r>
                  <w:r>
                    <w:rPr>
                      <w:rFonts w:hint="default"/>
                      <w:color w:val="auto"/>
                      <w:highlight w:val="none"/>
                      <w:lang w:val="en-US" w:eastAsia="zh-CN"/>
                    </w:rPr>
                    <w:t>暂存于</w:t>
                  </w:r>
                  <w:r>
                    <w:rPr>
                      <w:rFonts w:hint="eastAsia"/>
                      <w:color w:val="auto"/>
                      <w:highlight w:val="none"/>
                      <w:lang w:val="en-US" w:eastAsia="zh-CN"/>
                    </w:rPr>
                    <w:t>危险废物贮存点</w:t>
                  </w:r>
                  <w:r>
                    <w:rPr>
                      <w:rFonts w:hint="default"/>
                      <w:color w:val="auto"/>
                      <w:highlight w:val="none"/>
                      <w:lang w:val="en-US" w:eastAsia="zh-CN"/>
                    </w:rPr>
                    <w:t>，并定期交给有危险废物处置资质的单位进行处理</w:t>
                  </w:r>
                  <w:r>
                    <w:rPr>
                      <w:rFonts w:hint="eastAsia"/>
                      <w:color w:val="auto"/>
                      <w:highlight w:val="none"/>
                      <w:lang w:val="en-US" w:eastAsia="zh-CN"/>
                    </w:rPr>
                    <w:t>；</w:t>
                  </w:r>
                </w:p>
                <w:p w14:paraId="0C191736">
                  <w:pPr>
                    <w:rPr>
                      <w:rFonts w:hint="eastAsia"/>
                      <w:color w:val="auto"/>
                      <w:highlight w:val="none"/>
                      <w:lang w:val="en-US" w:eastAsia="zh-CN"/>
                    </w:rPr>
                  </w:pPr>
                  <w:r>
                    <w:rPr>
                      <w:rFonts w:hint="eastAsia"/>
                      <w:color w:val="auto"/>
                      <w:highlight w:val="none"/>
                      <w:lang w:val="en-US" w:eastAsia="zh-CN"/>
                    </w:rPr>
                    <w:t>⑦废布袋</w:t>
                  </w:r>
                  <w:r>
                    <w:rPr>
                      <w:rFonts w:hint="default"/>
                      <w:color w:val="auto"/>
                      <w:highlight w:val="none"/>
                      <w:lang w:val="en-US" w:eastAsia="zh-CN"/>
                    </w:rPr>
                    <w:t>由</w:t>
                  </w:r>
                  <w:r>
                    <w:rPr>
                      <w:rFonts w:hint="eastAsia"/>
                      <w:color w:val="auto"/>
                      <w:highlight w:val="none"/>
                      <w:lang w:val="en-US" w:eastAsia="zh-CN"/>
                    </w:rPr>
                    <w:t>厂家回收处理；</w:t>
                  </w:r>
                </w:p>
                <w:p w14:paraId="7B5CA283">
                  <w:pPr>
                    <w:rPr>
                      <w:rFonts w:hint="eastAsia"/>
                      <w:color w:val="auto"/>
                      <w:highlight w:val="none"/>
                      <w:lang w:val="en-US" w:eastAsia="zh-CN"/>
                    </w:rPr>
                  </w:pPr>
                  <w:r>
                    <w:rPr>
                      <w:rFonts w:hint="eastAsia"/>
                      <w:color w:val="auto"/>
                      <w:highlight w:val="none"/>
                      <w:lang w:val="en-US" w:eastAsia="zh-CN"/>
                    </w:rPr>
                    <w:t>⑧废包装材料</w:t>
                  </w:r>
                  <w:r>
                    <w:rPr>
                      <w:rFonts w:hint="default"/>
                      <w:color w:val="auto"/>
                      <w:highlight w:val="none"/>
                      <w:lang w:val="en-US" w:eastAsia="zh-CN"/>
                    </w:rPr>
                    <w:t>集中收集，由</w:t>
                  </w:r>
                  <w:r>
                    <w:rPr>
                      <w:rFonts w:hint="eastAsia"/>
                      <w:color w:val="auto"/>
                      <w:highlight w:val="none"/>
                      <w:lang w:val="en-US" w:eastAsia="zh-CN"/>
                    </w:rPr>
                    <w:t>厂家回收处理。</w:t>
                  </w:r>
                </w:p>
                <w:p w14:paraId="642253CF">
                  <w:pPr>
                    <w:rPr>
                      <w:rFonts w:hint="eastAsia"/>
                      <w:color w:val="auto"/>
                      <w:highlight w:val="none"/>
                      <w:lang w:val="en-US" w:eastAsia="zh-CN"/>
                    </w:rPr>
                  </w:pPr>
                  <w:r>
                    <w:rPr>
                      <w:rFonts w:hint="eastAsia" w:eastAsia="宋体"/>
                      <w:color w:val="auto"/>
                      <w:highlight w:val="none"/>
                      <w:lang w:val="en-US" w:eastAsia="zh-CN"/>
                    </w:rPr>
                    <w:t>⑨废活性炭</w:t>
                  </w:r>
                  <w:r>
                    <w:rPr>
                      <w:rFonts w:hint="default" w:eastAsia="宋体"/>
                      <w:color w:val="auto"/>
                      <w:highlight w:val="none"/>
                      <w:lang w:val="en-US" w:eastAsia="zh-CN"/>
                    </w:rPr>
                    <w:t>暂放在固废暂存间交由有处理能力的单位处</w:t>
                  </w:r>
                  <w:r>
                    <w:rPr>
                      <w:rFonts w:hint="eastAsia" w:eastAsia="宋体"/>
                      <w:color w:val="auto"/>
                      <w:highlight w:val="none"/>
                      <w:lang w:val="en-US" w:eastAsia="zh-CN"/>
                    </w:rPr>
                    <w:t>置</w:t>
                  </w:r>
                  <w:r>
                    <w:rPr>
                      <w:rFonts w:hint="eastAsia"/>
                      <w:color w:val="auto"/>
                      <w:highlight w:val="none"/>
                      <w:lang w:val="en-US" w:eastAsia="zh-CN"/>
                    </w:rPr>
                    <w:t>。</w:t>
                  </w:r>
                </w:p>
                <w:p w14:paraId="27256F54">
                  <w:pPr>
                    <w:rPr>
                      <w:rFonts w:hint="default"/>
                      <w:color w:val="auto"/>
                      <w:lang w:val="en-US" w:eastAsia="zh-CN"/>
                    </w:rPr>
                  </w:pPr>
                  <w:r>
                    <w:rPr>
                      <w:rFonts w:hint="eastAsia" w:ascii="Times New Roman" w:hAnsi="Times New Roman" w:eastAsia="宋体" w:cs="Times New Roman"/>
                      <w:color w:val="auto"/>
                      <w:highlight w:val="none"/>
                      <w:lang w:val="en-US" w:eastAsia="zh-CN"/>
                    </w:rPr>
                    <w:t>⑩废油脂</w:t>
                  </w:r>
                  <w:r>
                    <w:rPr>
                      <w:rFonts w:hint="default" w:ascii="Times New Roman" w:hAnsi="Times New Roman" w:eastAsia="宋体" w:cs="Times New Roman"/>
                      <w:color w:val="auto"/>
                      <w:highlight w:val="none"/>
                      <w:lang w:val="en-US" w:eastAsia="zh-CN"/>
                    </w:rPr>
                    <w:t>采用密闭容器存放，由</w:t>
                  </w:r>
                  <w:r>
                    <w:rPr>
                      <w:rFonts w:hint="eastAsia" w:ascii="Times New Roman" w:hAnsi="Times New Roman" w:eastAsia="宋体" w:cs="Times New Roman"/>
                      <w:color w:val="auto"/>
                      <w:highlight w:val="none"/>
                      <w:lang w:val="en-US" w:eastAsia="zh-CN"/>
                    </w:rPr>
                    <w:t>有资质的单位处理</w:t>
                  </w:r>
                  <w:r>
                    <w:rPr>
                      <w:rFonts w:hint="eastAsia" w:ascii="Times New Roman" w:hAnsi="Times New Roman" w:cs="Times New Roman"/>
                      <w:color w:val="auto"/>
                      <w:highlight w:val="none"/>
                      <w:lang w:val="en-US" w:eastAsia="zh-CN"/>
                    </w:rPr>
                    <w:t>。</w:t>
                  </w:r>
                </w:p>
              </w:tc>
              <w:tc>
                <w:tcPr>
                  <w:tcW w:w="464" w:type="pct"/>
                  <w:tcBorders>
                    <w:tl2br w:val="nil"/>
                    <w:tr2bl w:val="nil"/>
                  </w:tcBorders>
                  <w:vAlign w:val="center"/>
                </w:tcPr>
                <w:p w14:paraId="028CAA1D">
                  <w:pPr>
                    <w:rPr>
                      <w:color w:val="auto"/>
                      <w:szCs w:val="21"/>
                      <w:highlight w:val="none"/>
                    </w:rPr>
                  </w:pPr>
                  <w:r>
                    <w:rPr>
                      <w:rFonts w:hint="eastAsia"/>
                      <w:color w:val="auto"/>
                      <w:szCs w:val="21"/>
                      <w:highlight w:val="none"/>
                    </w:rPr>
                    <w:t>/</w:t>
                  </w:r>
                </w:p>
              </w:tc>
            </w:tr>
            <w:tr w14:paraId="5B7568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vMerge w:val="continue"/>
                  <w:tcBorders>
                    <w:tl2br w:val="nil"/>
                    <w:tr2bl w:val="nil"/>
                  </w:tcBorders>
                  <w:vAlign w:val="center"/>
                </w:tcPr>
                <w:p w14:paraId="36427C54">
                  <w:pPr>
                    <w:widowControl/>
                    <w:jc w:val="left"/>
                    <w:rPr>
                      <w:color w:val="auto"/>
                      <w:szCs w:val="21"/>
                      <w:highlight w:val="none"/>
                    </w:rPr>
                  </w:pPr>
                </w:p>
              </w:tc>
              <w:tc>
                <w:tcPr>
                  <w:tcW w:w="796" w:type="pct"/>
                  <w:tcBorders>
                    <w:tl2br w:val="nil"/>
                    <w:tr2bl w:val="nil"/>
                  </w:tcBorders>
                  <w:vAlign w:val="center"/>
                </w:tcPr>
                <w:p w14:paraId="388DE16C">
                  <w:pPr>
                    <w:widowControl/>
                    <w:ind w:left="-2" w:leftChars="-1"/>
                    <w:jc w:val="center"/>
                    <w:rPr>
                      <w:color w:val="auto"/>
                      <w:szCs w:val="21"/>
                      <w:highlight w:val="none"/>
                    </w:rPr>
                  </w:pPr>
                  <w:r>
                    <w:rPr>
                      <w:rFonts w:hint="eastAsia"/>
                      <w:color w:val="auto"/>
                      <w:kern w:val="0"/>
                      <w:szCs w:val="21"/>
                      <w:highlight w:val="none"/>
                    </w:rPr>
                    <w:t>地下水防治措施</w:t>
                  </w:r>
                </w:p>
              </w:tc>
              <w:tc>
                <w:tcPr>
                  <w:tcW w:w="3428" w:type="pct"/>
                  <w:tcBorders>
                    <w:tl2br w:val="nil"/>
                    <w:tr2bl w:val="nil"/>
                  </w:tcBorders>
                  <w:vAlign w:val="center"/>
                </w:tcPr>
                <w:p w14:paraId="76F7952B">
                  <w:pPr>
                    <w:ind w:left="-2" w:firstLine="420" w:firstLineChars="200"/>
                    <w:jc w:val="left"/>
                    <w:rPr>
                      <w:color w:val="auto"/>
                      <w:highlight w:val="none"/>
                    </w:rPr>
                  </w:pPr>
                  <w:r>
                    <w:rPr>
                      <w:color w:val="0000FF"/>
                      <w:highlight w:val="none"/>
                    </w:rPr>
                    <w:t>项目采用分区防渗的方式，</w:t>
                  </w:r>
                  <w:r>
                    <w:rPr>
                      <w:rFonts w:hint="eastAsia"/>
                      <w:color w:val="0000FF"/>
                      <w:highlight w:val="none"/>
                      <w:lang w:eastAsia="zh-CN"/>
                    </w:rPr>
                    <w:t>将地下溶剂库座、事故池、危险废物贮存点作为重点防渗区。其中危险废物贮存点应符合《危险废物贮存污染控制标准》（GB18597—2023）要求，地下溶剂库座、事故池要满足等效黏土层防渗层Mb≥6.0m，渗透系数K≤1.0×10</w:t>
                  </w:r>
                  <w:r>
                    <w:rPr>
                      <w:rFonts w:hint="eastAsia"/>
                      <w:color w:val="0000FF"/>
                      <w:highlight w:val="none"/>
                      <w:vertAlign w:val="superscript"/>
                      <w:lang w:eastAsia="zh-CN"/>
                    </w:rPr>
                    <w:t>-7</w:t>
                  </w:r>
                  <w:r>
                    <w:rPr>
                      <w:rFonts w:hint="eastAsia"/>
                      <w:color w:val="0000FF"/>
                      <w:highlight w:val="none"/>
                      <w:lang w:eastAsia="zh-CN"/>
                    </w:rPr>
                    <w:t>cm/s的防渗要求；浸出车间、糠粕加工车间、液体油罐、固废暂存间等做一般防渗，浸出车间、糠粕加工车间、液体油罐、固废暂存间要满足等效黏土层防渗层Mb≥1.5m，渗透系数K≤1.0×10-7cm/s的防渗要求；厂区其他区域为简单防渗区，采取一般地面水泥硬化</w:t>
                  </w:r>
                  <w:r>
                    <w:rPr>
                      <w:rFonts w:hint="eastAsia"/>
                      <w:color w:val="0000FF"/>
                      <w:highlight w:val="none"/>
                    </w:rPr>
                    <w:t>。</w:t>
                  </w:r>
                </w:p>
              </w:tc>
              <w:tc>
                <w:tcPr>
                  <w:tcW w:w="464" w:type="pct"/>
                  <w:tcBorders>
                    <w:tl2br w:val="nil"/>
                    <w:tr2bl w:val="nil"/>
                  </w:tcBorders>
                  <w:vAlign w:val="center"/>
                </w:tcPr>
                <w:p w14:paraId="1CA90C1E">
                  <w:pPr>
                    <w:rPr>
                      <w:color w:val="auto"/>
                      <w:szCs w:val="21"/>
                      <w:highlight w:val="none"/>
                    </w:rPr>
                  </w:pPr>
                  <w:r>
                    <w:rPr>
                      <w:rFonts w:hint="eastAsia"/>
                      <w:color w:val="auto"/>
                      <w:szCs w:val="21"/>
                      <w:highlight w:val="none"/>
                    </w:rPr>
                    <w:t>/</w:t>
                  </w:r>
                </w:p>
              </w:tc>
            </w:tr>
            <w:tr w14:paraId="03360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11" w:type="pct"/>
                  <w:tcBorders>
                    <w:tl2br w:val="nil"/>
                    <w:tr2bl w:val="nil"/>
                  </w:tcBorders>
                  <w:vAlign w:val="center"/>
                </w:tcPr>
                <w:p w14:paraId="3A858682">
                  <w:pPr>
                    <w:widowControl/>
                    <w:jc w:val="left"/>
                    <w:rPr>
                      <w:color w:val="auto"/>
                      <w:szCs w:val="21"/>
                      <w:highlight w:val="none"/>
                    </w:rPr>
                  </w:pPr>
                  <w:r>
                    <w:rPr>
                      <w:rFonts w:hint="eastAsia"/>
                      <w:color w:val="auto"/>
                      <w:szCs w:val="21"/>
                      <w:highlight w:val="none"/>
                    </w:rPr>
                    <w:t>依托工程</w:t>
                  </w:r>
                </w:p>
              </w:tc>
              <w:tc>
                <w:tcPr>
                  <w:tcW w:w="4688" w:type="pct"/>
                  <w:gridSpan w:val="3"/>
                  <w:tcBorders>
                    <w:tl2br w:val="nil"/>
                    <w:tr2bl w:val="nil"/>
                  </w:tcBorders>
                  <w:vAlign w:val="center"/>
                </w:tcPr>
                <w:p w14:paraId="33D13D5C">
                  <w:pPr>
                    <w:rPr>
                      <w:rFonts w:hint="eastAsia" w:eastAsia="宋体"/>
                      <w:color w:val="auto"/>
                      <w:szCs w:val="21"/>
                      <w:highlight w:val="none"/>
                      <w:lang w:eastAsia="zh-CN"/>
                    </w:rPr>
                  </w:pPr>
                  <w:r>
                    <w:rPr>
                      <w:rFonts w:hint="eastAsia"/>
                      <w:color w:val="auto"/>
                      <w:szCs w:val="21"/>
                    </w:rPr>
                    <w:t>厂区排水管道流入</w:t>
                  </w:r>
                  <w:r>
                    <w:rPr>
                      <w:rFonts w:hint="eastAsia"/>
                      <w:color w:val="auto"/>
                      <w:szCs w:val="21"/>
                      <w:lang w:eastAsia="zh-CN"/>
                    </w:rPr>
                    <w:t>桦南浦华净源水务有限公司（桦南县污水处理厂）</w:t>
                  </w:r>
                  <w:r>
                    <w:rPr>
                      <w:rFonts w:hint="eastAsia"/>
                      <w:color w:val="auto"/>
                      <w:szCs w:val="21"/>
                    </w:rPr>
                    <w:t>处置，处理后满足《城镇污水处理厂污染物排放标准》（GB18918-2002）一级A后排放。</w:t>
                  </w:r>
                  <w:r>
                    <w:rPr>
                      <w:rFonts w:hint="eastAsia"/>
                      <w:color w:val="auto"/>
                      <w:szCs w:val="21"/>
                      <w:lang w:eastAsia="zh-CN"/>
                    </w:rPr>
                    <w:t>桦南浦华净源水务有限公司（桦南县污水处理厂）</w:t>
                  </w:r>
                  <w:r>
                    <w:rPr>
                      <w:rFonts w:hint="eastAsia"/>
                      <w:color w:val="auto"/>
                      <w:szCs w:val="21"/>
                    </w:rPr>
                    <w:t>设计处理能力为日处理污水</w:t>
                  </w:r>
                  <w:r>
                    <w:rPr>
                      <w:rFonts w:hint="eastAsia"/>
                      <w:color w:val="auto"/>
                      <w:szCs w:val="21"/>
                      <w:lang w:val="en-US" w:eastAsia="zh-CN"/>
                    </w:rPr>
                    <w:t>3</w:t>
                  </w:r>
                  <w:r>
                    <w:rPr>
                      <w:rFonts w:hint="eastAsia"/>
                      <w:color w:val="auto"/>
                      <w:szCs w:val="21"/>
                    </w:rPr>
                    <w:t>万立方米，厂区</w:t>
                  </w:r>
                  <w:r>
                    <w:rPr>
                      <w:rFonts w:hint="eastAsia"/>
                      <w:color w:val="auto"/>
                      <w:szCs w:val="21"/>
                      <w:lang w:eastAsia="zh-CN"/>
                    </w:rPr>
                    <w:t>主体</w:t>
                  </w:r>
                  <w:r>
                    <w:rPr>
                      <w:rFonts w:hint="eastAsia"/>
                      <w:color w:val="auto"/>
                      <w:szCs w:val="21"/>
                    </w:rPr>
                    <w:t>工艺采用三级A/O处理工艺，污泥采用机械浓缩脱水工艺，经处理后的污水水质排放标准为《城镇污水处理厂污染物排放标准》（GB18918-2002）一级A标准。本项目</w:t>
                  </w:r>
                  <w:r>
                    <w:rPr>
                      <w:rFonts w:hint="eastAsia"/>
                      <w:color w:val="auto"/>
                      <w:szCs w:val="21"/>
                      <w:lang w:val="en-US" w:eastAsia="zh-CN"/>
                    </w:rPr>
                    <w:t>排放</w:t>
                  </w:r>
                  <w:r>
                    <w:rPr>
                      <w:rFonts w:hint="eastAsia"/>
                      <w:color w:val="auto"/>
                      <w:szCs w:val="21"/>
                      <w:lang w:eastAsia="zh-CN"/>
                    </w:rPr>
                    <w:t>生活污水</w:t>
                  </w:r>
                  <w:r>
                    <w:rPr>
                      <w:rFonts w:hint="eastAsia"/>
                      <w:color w:val="auto"/>
                      <w:szCs w:val="21"/>
                      <w:lang w:val="en-US" w:eastAsia="zh-CN"/>
                    </w:rPr>
                    <w:t>和生产废水共100.84t</w:t>
                  </w:r>
                  <w:r>
                    <w:rPr>
                      <w:rFonts w:hint="eastAsia"/>
                      <w:color w:val="auto"/>
                      <w:szCs w:val="21"/>
                    </w:rPr>
                    <w:t>/d，仅占</w:t>
                  </w:r>
                  <w:r>
                    <w:rPr>
                      <w:rFonts w:hint="eastAsia"/>
                      <w:color w:val="auto"/>
                      <w:szCs w:val="21"/>
                      <w:lang w:eastAsia="zh-CN"/>
                    </w:rPr>
                    <w:t>桦南浦华净源水务有限公司（桦南县污水处理厂）</w:t>
                  </w:r>
                  <w:r>
                    <w:rPr>
                      <w:rFonts w:hint="eastAsia"/>
                      <w:color w:val="auto"/>
                      <w:szCs w:val="21"/>
                    </w:rPr>
                    <w:t>日处理能力的0.</w:t>
                  </w:r>
                  <w:r>
                    <w:rPr>
                      <w:rFonts w:hint="eastAsia"/>
                      <w:color w:val="auto"/>
                      <w:szCs w:val="21"/>
                      <w:lang w:val="en-US" w:eastAsia="zh-CN"/>
                    </w:rPr>
                    <w:t>34</w:t>
                  </w:r>
                  <w:r>
                    <w:rPr>
                      <w:rFonts w:hint="eastAsia"/>
                      <w:color w:val="auto"/>
                      <w:szCs w:val="21"/>
                    </w:rPr>
                    <w:t>%，本项目污水依托</w:t>
                  </w:r>
                  <w:r>
                    <w:rPr>
                      <w:rFonts w:hint="eastAsia"/>
                      <w:color w:val="auto"/>
                      <w:szCs w:val="21"/>
                      <w:lang w:eastAsia="zh-CN"/>
                    </w:rPr>
                    <w:t>桦南浦华净源水务有限公司（桦南县污水处理厂）</w:t>
                  </w:r>
                  <w:r>
                    <w:rPr>
                      <w:rFonts w:hint="eastAsia"/>
                      <w:color w:val="auto"/>
                      <w:szCs w:val="21"/>
                    </w:rPr>
                    <w:t>可行</w:t>
                  </w:r>
                  <w:r>
                    <w:rPr>
                      <w:rFonts w:hint="eastAsia"/>
                      <w:color w:val="auto"/>
                      <w:szCs w:val="21"/>
                      <w:lang w:eastAsia="zh-CN"/>
                    </w:rPr>
                    <w:t>。</w:t>
                  </w:r>
                </w:p>
              </w:tc>
            </w:tr>
          </w:tbl>
          <w:p w14:paraId="3F81056F">
            <w:pPr>
              <w:spacing w:line="360" w:lineRule="auto"/>
              <w:rPr>
                <w:rFonts w:eastAsia="黑体"/>
                <w:bCs/>
                <w:color w:val="auto"/>
                <w:sz w:val="28"/>
                <w:szCs w:val="28"/>
                <w:highlight w:val="none"/>
              </w:rPr>
            </w:pPr>
            <w:r>
              <w:rPr>
                <w:rFonts w:hint="eastAsia" w:eastAsia="黑体"/>
                <w:bCs/>
                <w:color w:val="auto"/>
                <w:sz w:val="28"/>
                <w:szCs w:val="28"/>
                <w:highlight w:val="none"/>
              </w:rPr>
              <w:t>二、生产规模及产品方案</w:t>
            </w:r>
          </w:p>
          <w:p w14:paraId="7716663B">
            <w:pPr>
              <w:pStyle w:val="72"/>
              <w:spacing w:line="480" w:lineRule="exact"/>
              <w:rPr>
                <w:color w:val="auto"/>
                <w:highlight w:val="none"/>
              </w:rPr>
            </w:pPr>
            <w:r>
              <w:rPr>
                <w:rFonts w:hint="eastAsia"/>
                <w:color w:val="auto"/>
                <w:highlight w:val="none"/>
              </w:rPr>
              <w:t>本项目主要产品方案见表2-2。</w:t>
            </w:r>
          </w:p>
          <w:p w14:paraId="7DA99BB7">
            <w:pPr>
              <w:pStyle w:val="95"/>
              <w:ind w:firstLine="0"/>
              <w:rPr>
                <w:color w:val="auto"/>
                <w:highlight w:val="none"/>
              </w:rPr>
            </w:pPr>
            <w:r>
              <w:rPr>
                <w:color w:val="auto"/>
                <w:highlight w:val="none"/>
              </w:rPr>
              <w:t>表</w:t>
            </w:r>
            <w:r>
              <w:rPr>
                <w:rFonts w:hint="eastAsia"/>
                <w:color w:val="auto"/>
                <w:highlight w:val="none"/>
              </w:rPr>
              <w:t>2-2 本项目产品方案一览表</w:t>
            </w:r>
          </w:p>
          <w:tbl>
            <w:tblPr>
              <w:tblStyle w:val="38"/>
              <w:tblW w:w="4997"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22"/>
              <w:gridCol w:w="3870"/>
              <w:gridCol w:w="2273"/>
              <w:gridCol w:w="994"/>
            </w:tblGrid>
            <w:tr w14:paraId="488E3C4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3156" w:type="pct"/>
                  <w:gridSpan w:val="2"/>
                  <w:tcBorders>
                    <w:tl2br w:val="nil"/>
                    <w:tr2bl w:val="nil"/>
                  </w:tcBorders>
                  <w:shd w:val="clear" w:color="auto" w:fill="auto"/>
                  <w:noWrap/>
                  <w:vAlign w:val="center"/>
                </w:tcPr>
                <w:p w14:paraId="69D46FCC">
                  <w:pPr>
                    <w:widowControl/>
                    <w:jc w:val="center"/>
                    <w:textAlignment w:val="center"/>
                    <w:rPr>
                      <w:bCs/>
                      <w:color w:val="auto"/>
                      <w:kern w:val="0"/>
                      <w:szCs w:val="21"/>
                      <w:highlight w:val="none"/>
                      <w:lang w:bidi="ar"/>
                    </w:rPr>
                  </w:pPr>
                  <w:r>
                    <w:rPr>
                      <w:rFonts w:hint="eastAsia"/>
                      <w:bCs/>
                      <w:color w:val="auto"/>
                      <w:kern w:val="0"/>
                      <w:szCs w:val="21"/>
                      <w:highlight w:val="none"/>
                      <w:lang w:bidi="ar"/>
                    </w:rPr>
                    <w:t>产品种类</w:t>
                  </w:r>
                </w:p>
              </w:tc>
              <w:tc>
                <w:tcPr>
                  <w:tcW w:w="1282" w:type="pct"/>
                  <w:tcBorders>
                    <w:tl2br w:val="nil"/>
                    <w:tr2bl w:val="nil"/>
                  </w:tcBorders>
                  <w:shd w:val="clear" w:color="auto" w:fill="auto"/>
                  <w:noWrap/>
                  <w:vAlign w:val="center"/>
                </w:tcPr>
                <w:p w14:paraId="67742D91">
                  <w:pPr>
                    <w:widowControl/>
                    <w:jc w:val="center"/>
                    <w:textAlignment w:val="center"/>
                    <w:rPr>
                      <w:bCs/>
                      <w:color w:val="auto"/>
                      <w:kern w:val="0"/>
                      <w:szCs w:val="21"/>
                      <w:highlight w:val="none"/>
                      <w:lang w:bidi="ar"/>
                    </w:rPr>
                  </w:pPr>
                  <w:r>
                    <w:rPr>
                      <w:rFonts w:hint="eastAsia"/>
                      <w:bCs/>
                      <w:color w:val="auto"/>
                      <w:kern w:val="0"/>
                      <w:szCs w:val="21"/>
                      <w:highlight w:val="none"/>
                      <w:lang w:bidi="ar"/>
                    </w:rPr>
                    <w:t>产量（t/年）</w:t>
                  </w:r>
                </w:p>
              </w:tc>
              <w:tc>
                <w:tcPr>
                  <w:tcW w:w="561" w:type="pct"/>
                  <w:tcBorders>
                    <w:tl2br w:val="nil"/>
                    <w:tr2bl w:val="nil"/>
                  </w:tcBorders>
                  <w:shd w:val="clear" w:color="auto" w:fill="auto"/>
                  <w:noWrap/>
                  <w:vAlign w:val="center"/>
                </w:tcPr>
                <w:p w14:paraId="55F54A9F">
                  <w:pPr>
                    <w:widowControl/>
                    <w:jc w:val="center"/>
                    <w:textAlignment w:val="center"/>
                    <w:rPr>
                      <w:bCs/>
                      <w:color w:val="auto"/>
                      <w:kern w:val="0"/>
                      <w:szCs w:val="21"/>
                      <w:highlight w:val="none"/>
                      <w:lang w:bidi="ar"/>
                    </w:rPr>
                  </w:pPr>
                  <w:r>
                    <w:rPr>
                      <w:rFonts w:hint="eastAsia"/>
                      <w:bCs/>
                      <w:color w:val="auto"/>
                      <w:kern w:val="0"/>
                      <w:szCs w:val="21"/>
                      <w:highlight w:val="none"/>
                      <w:lang w:bidi="ar"/>
                    </w:rPr>
                    <w:t>备注</w:t>
                  </w:r>
                </w:p>
              </w:tc>
            </w:tr>
            <w:tr w14:paraId="298D6B8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71" w:type="pct"/>
                  <w:vMerge w:val="restart"/>
                  <w:tcBorders>
                    <w:tl2br w:val="nil"/>
                    <w:tr2bl w:val="nil"/>
                  </w:tcBorders>
                  <w:shd w:val="clear" w:color="auto" w:fill="auto"/>
                  <w:vAlign w:val="center"/>
                </w:tcPr>
                <w:p w14:paraId="6D451EEA">
                  <w:pPr>
                    <w:widowControl/>
                    <w:jc w:val="center"/>
                    <w:textAlignment w:val="center"/>
                    <w:rPr>
                      <w:bCs/>
                      <w:color w:val="auto"/>
                      <w:kern w:val="0"/>
                      <w:szCs w:val="21"/>
                      <w:highlight w:val="none"/>
                      <w:lang w:bidi="ar"/>
                    </w:rPr>
                  </w:pPr>
                  <w:r>
                    <w:rPr>
                      <w:rFonts w:hint="eastAsia"/>
                      <w:bCs/>
                      <w:color w:val="auto"/>
                      <w:kern w:val="0"/>
                      <w:szCs w:val="21"/>
                      <w:highlight w:val="none"/>
                      <w:lang w:bidi="ar"/>
                    </w:rPr>
                    <w:t>主产品</w:t>
                  </w:r>
                </w:p>
              </w:tc>
              <w:tc>
                <w:tcPr>
                  <w:tcW w:w="2184" w:type="pct"/>
                  <w:tcBorders>
                    <w:tl2br w:val="nil"/>
                    <w:tr2bl w:val="nil"/>
                  </w:tcBorders>
                  <w:shd w:val="clear" w:color="auto" w:fill="auto"/>
                  <w:vAlign w:val="center"/>
                </w:tcPr>
                <w:p w14:paraId="77CD02A8">
                  <w:pPr>
                    <w:widowControl/>
                    <w:jc w:val="center"/>
                    <w:textAlignment w:val="center"/>
                    <w:rPr>
                      <w:bCs/>
                      <w:color w:val="auto"/>
                      <w:kern w:val="0"/>
                      <w:szCs w:val="21"/>
                      <w:highlight w:val="none"/>
                      <w:lang w:bidi="ar"/>
                    </w:rPr>
                  </w:pPr>
                  <w:r>
                    <w:rPr>
                      <w:rFonts w:hint="eastAsia"/>
                      <w:bCs/>
                      <w:color w:val="auto"/>
                      <w:kern w:val="0"/>
                      <w:szCs w:val="21"/>
                      <w:highlight w:val="none"/>
                      <w:lang w:bidi="ar"/>
                    </w:rPr>
                    <w:t>米糠毛油</w:t>
                  </w:r>
                </w:p>
              </w:tc>
              <w:tc>
                <w:tcPr>
                  <w:tcW w:w="1282" w:type="pct"/>
                  <w:tcBorders>
                    <w:tl2br w:val="nil"/>
                    <w:tr2bl w:val="nil"/>
                  </w:tcBorders>
                  <w:shd w:val="clear" w:color="auto" w:fill="auto"/>
                  <w:vAlign w:val="center"/>
                </w:tcPr>
                <w:p w14:paraId="3B2CE3FF">
                  <w:pPr>
                    <w:widowControl/>
                    <w:jc w:val="center"/>
                    <w:textAlignment w:val="center"/>
                    <w:rPr>
                      <w:bCs/>
                      <w:color w:val="auto"/>
                      <w:kern w:val="0"/>
                      <w:szCs w:val="21"/>
                      <w:highlight w:val="none"/>
                      <w:lang w:bidi="ar"/>
                    </w:rPr>
                  </w:pPr>
                  <w:r>
                    <w:rPr>
                      <w:rFonts w:hint="eastAsia"/>
                      <w:bCs/>
                      <w:color w:val="auto"/>
                      <w:kern w:val="0"/>
                      <w:szCs w:val="21"/>
                      <w:highlight w:val="none"/>
                      <w:lang w:bidi="ar"/>
                    </w:rPr>
                    <w:t>16500</w:t>
                  </w:r>
                </w:p>
              </w:tc>
              <w:tc>
                <w:tcPr>
                  <w:tcW w:w="561" w:type="pct"/>
                  <w:vMerge w:val="restart"/>
                  <w:tcBorders>
                    <w:tl2br w:val="nil"/>
                    <w:tr2bl w:val="nil"/>
                  </w:tcBorders>
                  <w:shd w:val="clear" w:color="auto" w:fill="auto"/>
                  <w:vAlign w:val="center"/>
                </w:tcPr>
                <w:p w14:paraId="1B6AB9AA">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符合GB/T1535-2017</w:t>
                  </w:r>
                </w:p>
              </w:tc>
            </w:tr>
            <w:tr w14:paraId="41515E3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71" w:type="pct"/>
                  <w:vMerge w:val="continue"/>
                  <w:tcBorders>
                    <w:tl2br w:val="nil"/>
                    <w:tr2bl w:val="nil"/>
                  </w:tcBorders>
                  <w:shd w:val="clear" w:color="auto" w:fill="auto"/>
                  <w:vAlign w:val="center"/>
                </w:tcPr>
                <w:p w14:paraId="5E1D6F0D">
                  <w:pPr>
                    <w:widowControl/>
                    <w:jc w:val="center"/>
                    <w:textAlignment w:val="center"/>
                    <w:rPr>
                      <w:bCs/>
                      <w:color w:val="auto"/>
                      <w:kern w:val="0"/>
                      <w:szCs w:val="21"/>
                      <w:highlight w:val="none"/>
                      <w:lang w:bidi="ar"/>
                    </w:rPr>
                  </w:pPr>
                </w:p>
              </w:tc>
              <w:tc>
                <w:tcPr>
                  <w:tcW w:w="2184" w:type="pct"/>
                  <w:tcBorders>
                    <w:tl2br w:val="nil"/>
                    <w:tr2bl w:val="nil"/>
                  </w:tcBorders>
                  <w:shd w:val="clear" w:color="auto" w:fill="auto"/>
                  <w:vAlign w:val="center"/>
                </w:tcPr>
                <w:p w14:paraId="719136DD">
                  <w:pPr>
                    <w:widowControl/>
                    <w:jc w:val="center"/>
                    <w:textAlignment w:val="center"/>
                    <w:rPr>
                      <w:rFonts w:hint="eastAsia" w:eastAsia="宋体"/>
                      <w:bCs/>
                      <w:color w:val="auto"/>
                      <w:kern w:val="0"/>
                      <w:szCs w:val="21"/>
                      <w:highlight w:val="none"/>
                      <w:lang w:eastAsia="zh-CN" w:bidi="ar"/>
                    </w:rPr>
                  </w:pPr>
                  <w:r>
                    <w:rPr>
                      <w:rFonts w:hint="eastAsia"/>
                      <w:bCs/>
                      <w:color w:val="auto"/>
                      <w:kern w:val="0"/>
                      <w:szCs w:val="21"/>
                      <w:highlight w:val="none"/>
                      <w:lang w:eastAsia="zh-CN" w:bidi="ar"/>
                    </w:rPr>
                    <w:t>大豆毛油</w:t>
                  </w:r>
                </w:p>
              </w:tc>
              <w:tc>
                <w:tcPr>
                  <w:tcW w:w="1282" w:type="pct"/>
                  <w:tcBorders>
                    <w:tl2br w:val="nil"/>
                    <w:tr2bl w:val="nil"/>
                  </w:tcBorders>
                  <w:shd w:val="clear" w:color="auto" w:fill="auto"/>
                  <w:vAlign w:val="center"/>
                </w:tcPr>
                <w:p w14:paraId="79E920D7">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13050</w:t>
                  </w:r>
                </w:p>
              </w:tc>
              <w:tc>
                <w:tcPr>
                  <w:tcW w:w="561" w:type="pct"/>
                  <w:vMerge w:val="continue"/>
                  <w:tcBorders>
                    <w:tl2br w:val="nil"/>
                    <w:tr2bl w:val="nil"/>
                  </w:tcBorders>
                  <w:shd w:val="clear" w:color="auto" w:fill="auto"/>
                  <w:vAlign w:val="center"/>
                </w:tcPr>
                <w:p w14:paraId="7A6BFB89">
                  <w:pPr>
                    <w:widowControl/>
                    <w:jc w:val="center"/>
                    <w:textAlignment w:val="center"/>
                    <w:rPr>
                      <w:bCs/>
                      <w:color w:val="auto"/>
                      <w:kern w:val="0"/>
                      <w:szCs w:val="21"/>
                      <w:highlight w:val="none"/>
                      <w:lang w:bidi="ar"/>
                    </w:rPr>
                  </w:pPr>
                </w:p>
              </w:tc>
            </w:tr>
            <w:tr w14:paraId="00BAD3C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71" w:type="pct"/>
                  <w:vMerge w:val="continue"/>
                  <w:tcBorders>
                    <w:tl2br w:val="nil"/>
                    <w:tr2bl w:val="nil"/>
                  </w:tcBorders>
                  <w:shd w:val="clear" w:color="auto" w:fill="auto"/>
                  <w:vAlign w:val="center"/>
                </w:tcPr>
                <w:p w14:paraId="5B510D48">
                  <w:pPr>
                    <w:widowControl/>
                    <w:jc w:val="center"/>
                    <w:textAlignment w:val="center"/>
                    <w:rPr>
                      <w:bCs/>
                      <w:color w:val="auto"/>
                      <w:kern w:val="0"/>
                      <w:szCs w:val="21"/>
                      <w:highlight w:val="none"/>
                      <w:lang w:bidi="ar"/>
                    </w:rPr>
                  </w:pPr>
                </w:p>
              </w:tc>
              <w:tc>
                <w:tcPr>
                  <w:tcW w:w="2184" w:type="pct"/>
                  <w:tcBorders>
                    <w:tl2br w:val="nil"/>
                    <w:tr2bl w:val="nil"/>
                  </w:tcBorders>
                  <w:shd w:val="clear" w:color="auto" w:fill="auto"/>
                  <w:vAlign w:val="center"/>
                </w:tcPr>
                <w:p w14:paraId="146554C3">
                  <w:pPr>
                    <w:widowControl/>
                    <w:jc w:val="center"/>
                    <w:textAlignment w:val="center"/>
                    <w:rPr>
                      <w:bCs/>
                      <w:color w:val="auto"/>
                      <w:kern w:val="0"/>
                      <w:szCs w:val="21"/>
                      <w:highlight w:val="none"/>
                      <w:lang w:bidi="ar"/>
                    </w:rPr>
                  </w:pPr>
                  <w:r>
                    <w:rPr>
                      <w:rFonts w:hint="eastAsia"/>
                      <w:bCs/>
                      <w:color w:val="auto"/>
                      <w:kern w:val="0"/>
                      <w:szCs w:val="21"/>
                      <w:highlight w:val="none"/>
                      <w:lang w:bidi="ar"/>
                    </w:rPr>
                    <w:t>豆粕</w:t>
                  </w:r>
                </w:p>
              </w:tc>
              <w:tc>
                <w:tcPr>
                  <w:tcW w:w="1282" w:type="pct"/>
                  <w:tcBorders>
                    <w:tl2br w:val="nil"/>
                    <w:tr2bl w:val="nil"/>
                  </w:tcBorders>
                  <w:shd w:val="clear" w:color="auto" w:fill="auto"/>
                  <w:vAlign w:val="center"/>
                </w:tcPr>
                <w:p w14:paraId="0407E519">
                  <w:pPr>
                    <w:widowControl/>
                    <w:jc w:val="center"/>
                    <w:textAlignment w:val="center"/>
                    <w:rPr>
                      <w:bCs/>
                      <w:color w:val="auto"/>
                      <w:kern w:val="0"/>
                      <w:szCs w:val="21"/>
                      <w:highlight w:val="none"/>
                      <w:lang w:bidi="ar"/>
                    </w:rPr>
                  </w:pPr>
                  <w:r>
                    <w:rPr>
                      <w:rFonts w:hint="eastAsia"/>
                      <w:bCs/>
                      <w:color w:val="auto"/>
                      <w:kern w:val="0"/>
                      <w:szCs w:val="21"/>
                      <w:highlight w:val="none"/>
                      <w:lang w:bidi="ar"/>
                    </w:rPr>
                    <w:t>37800</w:t>
                  </w:r>
                </w:p>
              </w:tc>
              <w:tc>
                <w:tcPr>
                  <w:tcW w:w="561" w:type="pct"/>
                  <w:tcBorders>
                    <w:tl2br w:val="nil"/>
                    <w:tr2bl w:val="nil"/>
                  </w:tcBorders>
                  <w:shd w:val="clear" w:color="auto" w:fill="auto"/>
                  <w:vAlign w:val="center"/>
                </w:tcPr>
                <w:p w14:paraId="2AB7D945">
                  <w:pPr>
                    <w:widowControl/>
                    <w:jc w:val="center"/>
                    <w:textAlignment w:val="center"/>
                    <w:rPr>
                      <w:rFonts w:hint="eastAsia" w:eastAsia="宋体"/>
                      <w:bCs/>
                      <w:color w:val="auto"/>
                      <w:kern w:val="0"/>
                      <w:szCs w:val="21"/>
                      <w:highlight w:val="none"/>
                      <w:lang w:val="en-US" w:eastAsia="zh-CN" w:bidi="ar"/>
                    </w:rPr>
                  </w:pPr>
                  <w:r>
                    <w:rPr>
                      <w:rFonts w:hint="eastAsia"/>
                      <w:bCs/>
                      <w:color w:val="auto"/>
                      <w:kern w:val="0"/>
                      <w:szCs w:val="21"/>
                      <w:highlight w:val="none"/>
                      <w:lang w:val="en-US" w:eastAsia="zh-CN" w:bidi="ar"/>
                    </w:rPr>
                    <w:t>/</w:t>
                  </w:r>
                </w:p>
              </w:tc>
            </w:tr>
            <w:tr w14:paraId="406DF2B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71" w:type="pct"/>
                  <w:vMerge w:val="continue"/>
                  <w:tcBorders>
                    <w:tl2br w:val="nil"/>
                    <w:tr2bl w:val="nil"/>
                  </w:tcBorders>
                  <w:shd w:val="clear" w:color="auto" w:fill="auto"/>
                  <w:vAlign w:val="center"/>
                </w:tcPr>
                <w:p w14:paraId="6B59E14B">
                  <w:pPr>
                    <w:widowControl/>
                    <w:jc w:val="center"/>
                    <w:textAlignment w:val="center"/>
                    <w:rPr>
                      <w:bCs/>
                      <w:color w:val="auto"/>
                      <w:kern w:val="0"/>
                      <w:szCs w:val="21"/>
                      <w:highlight w:val="none"/>
                      <w:lang w:bidi="ar"/>
                    </w:rPr>
                  </w:pPr>
                </w:p>
              </w:tc>
              <w:tc>
                <w:tcPr>
                  <w:tcW w:w="2184" w:type="pct"/>
                  <w:tcBorders>
                    <w:tl2br w:val="nil"/>
                    <w:tr2bl w:val="nil"/>
                  </w:tcBorders>
                  <w:shd w:val="clear" w:color="auto" w:fill="auto"/>
                  <w:vAlign w:val="center"/>
                </w:tcPr>
                <w:p w14:paraId="63E1BEA1">
                  <w:pPr>
                    <w:widowControl/>
                    <w:jc w:val="center"/>
                    <w:textAlignment w:val="center"/>
                    <w:rPr>
                      <w:bCs/>
                      <w:color w:val="auto"/>
                      <w:kern w:val="0"/>
                      <w:szCs w:val="21"/>
                      <w:highlight w:val="none"/>
                      <w:lang w:bidi="ar"/>
                    </w:rPr>
                  </w:pPr>
                  <w:r>
                    <w:rPr>
                      <w:rFonts w:hint="eastAsia"/>
                      <w:bCs/>
                      <w:color w:val="auto"/>
                      <w:kern w:val="0"/>
                      <w:szCs w:val="21"/>
                      <w:highlight w:val="none"/>
                      <w:lang w:bidi="ar"/>
                    </w:rPr>
                    <w:t>糠粕</w:t>
                  </w:r>
                </w:p>
              </w:tc>
              <w:tc>
                <w:tcPr>
                  <w:tcW w:w="1282" w:type="pct"/>
                  <w:tcBorders>
                    <w:tl2br w:val="nil"/>
                    <w:tr2bl w:val="nil"/>
                  </w:tcBorders>
                  <w:shd w:val="clear" w:color="auto" w:fill="auto"/>
                  <w:vAlign w:val="center"/>
                </w:tcPr>
                <w:p w14:paraId="6EE43108">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70409</w:t>
                  </w:r>
                </w:p>
              </w:tc>
              <w:tc>
                <w:tcPr>
                  <w:tcW w:w="561" w:type="pct"/>
                  <w:tcBorders>
                    <w:tl2br w:val="nil"/>
                    <w:tr2bl w:val="nil"/>
                  </w:tcBorders>
                  <w:shd w:val="clear" w:color="auto" w:fill="auto"/>
                  <w:vAlign w:val="center"/>
                </w:tcPr>
                <w:p w14:paraId="534931DA">
                  <w:pPr>
                    <w:widowControl/>
                    <w:jc w:val="center"/>
                    <w:textAlignment w:val="center"/>
                    <w:rPr>
                      <w:rFonts w:hint="eastAsia" w:eastAsia="宋体"/>
                      <w:bCs/>
                      <w:color w:val="auto"/>
                      <w:kern w:val="0"/>
                      <w:szCs w:val="21"/>
                      <w:highlight w:val="none"/>
                      <w:lang w:val="en-US" w:eastAsia="zh-CN" w:bidi="ar"/>
                    </w:rPr>
                  </w:pPr>
                  <w:r>
                    <w:rPr>
                      <w:rFonts w:hint="eastAsia"/>
                      <w:bCs/>
                      <w:color w:val="auto"/>
                      <w:kern w:val="0"/>
                      <w:szCs w:val="21"/>
                      <w:highlight w:val="none"/>
                      <w:lang w:val="en-US" w:eastAsia="zh-CN" w:bidi="ar"/>
                    </w:rPr>
                    <w:t>/</w:t>
                  </w:r>
                </w:p>
              </w:tc>
            </w:tr>
            <w:tr w14:paraId="0261E223">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971" w:type="pct"/>
                  <w:tcBorders>
                    <w:tl2br w:val="nil"/>
                    <w:tr2bl w:val="nil"/>
                  </w:tcBorders>
                  <w:shd w:val="clear" w:color="auto" w:fill="auto"/>
                  <w:vAlign w:val="center"/>
                </w:tcPr>
                <w:p w14:paraId="26B5E7AD">
                  <w:pPr>
                    <w:widowControl/>
                    <w:jc w:val="center"/>
                    <w:textAlignment w:val="center"/>
                    <w:rPr>
                      <w:bCs/>
                      <w:color w:val="auto"/>
                      <w:kern w:val="0"/>
                      <w:szCs w:val="21"/>
                      <w:highlight w:val="none"/>
                      <w:lang w:bidi="ar"/>
                    </w:rPr>
                  </w:pPr>
                  <w:r>
                    <w:rPr>
                      <w:rFonts w:hint="eastAsia"/>
                      <w:bCs/>
                      <w:color w:val="auto"/>
                      <w:kern w:val="0"/>
                      <w:szCs w:val="21"/>
                      <w:highlight w:val="none"/>
                      <w:lang w:bidi="ar"/>
                    </w:rPr>
                    <w:t>副产品</w:t>
                  </w:r>
                </w:p>
              </w:tc>
              <w:tc>
                <w:tcPr>
                  <w:tcW w:w="2184" w:type="pct"/>
                  <w:tcBorders>
                    <w:tl2br w:val="nil"/>
                    <w:tr2bl w:val="nil"/>
                  </w:tcBorders>
                  <w:shd w:val="clear" w:color="auto" w:fill="auto"/>
                  <w:vAlign w:val="center"/>
                </w:tcPr>
                <w:p w14:paraId="65235371">
                  <w:pPr>
                    <w:widowControl/>
                    <w:jc w:val="center"/>
                    <w:textAlignment w:val="center"/>
                    <w:rPr>
                      <w:bCs/>
                      <w:color w:val="auto"/>
                      <w:kern w:val="0"/>
                      <w:szCs w:val="21"/>
                      <w:highlight w:val="none"/>
                      <w:lang w:bidi="ar"/>
                    </w:rPr>
                  </w:pPr>
                  <w:r>
                    <w:rPr>
                      <w:rFonts w:hint="eastAsia"/>
                      <w:bCs/>
                      <w:color w:val="auto"/>
                      <w:kern w:val="0"/>
                      <w:szCs w:val="21"/>
                      <w:highlight w:val="none"/>
                      <w:lang w:bidi="ar"/>
                    </w:rPr>
                    <w:t>豆皮</w:t>
                  </w:r>
                </w:p>
              </w:tc>
              <w:tc>
                <w:tcPr>
                  <w:tcW w:w="1282" w:type="pct"/>
                  <w:tcBorders>
                    <w:tl2br w:val="nil"/>
                    <w:tr2bl w:val="nil"/>
                  </w:tcBorders>
                  <w:shd w:val="clear" w:color="auto" w:fill="auto"/>
                  <w:vAlign w:val="center"/>
                </w:tcPr>
                <w:p w14:paraId="42B900C7">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7086</w:t>
                  </w:r>
                </w:p>
              </w:tc>
              <w:tc>
                <w:tcPr>
                  <w:tcW w:w="561" w:type="pct"/>
                  <w:tcBorders>
                    <w:tl2br w:val="nil"/>
                    <w:tr2bl w:val="nil"/>
                  </w:tcBorders>
                  <w:shd w:val="clear" w:color="auto" w:fill="auto"/>
                  <w:vAlign w:val="center"/>
                </w:tcPr>
                <w:p w14:paraId="38965914">
                  <w:pPr>
                    <w:widowControl/>
                    <w:jc w:val="center"/>
                    <w:textAlignment w:val="center"/>
                    <w:rPr>
                      <w:rFonts w:hint="eastAsia" w:eastAsia="宋体"/>
                      <w:bCs/>
                      <w:color w:val="auto"/>
                      <w:kern w:val="0"/>
                      <w:szCs w:val="21"/>
                      <w:highlight w:val="none"/>
                      <w:lang w:val="en-US" w:eastAsia="zh-CN" w:bidi="ar"/>
                    </w:rPr>
                  </w:pPr>
                  <w:r>
                    <w:rPr>
                      <w:rFonts w:hint="eastAsia"/>
                      <w:bCs/>
                      <w:color w:val="auto"/>
                      <w:kern w:val="0"/>
                      <w:szCs w:val="21"/>
                      <w:highlight w:val="none"/>
                      <w:lang w:val="en-US" w:eastAsia="zh-CN" w:bidi="ar"/>
                    </w:rPr>
                    <w:t>/</w:t>
                  </w:r>
                </w:p>
              </w:tc>
            </w:tr>
          </w:tbl>
          <w:p w14:paraId="2BD1503D">
            <w:pPr>
              <w:spacing w:line="360" w:lineRule="auto"/>
              <w:rPr>
                <w:rFonts w:eastAsia="黑体"/>
                <w:bCs/>
                <w:color w:val="auto"/>
                <w:sz w:val="28"/>
                <w:szCs w:val="28"/>
                <w:highlight w:val="none"/>
              </w:rPr>
            </w:pPr>
            <w:r>
              <w:rPr>
                <w:rFonts w:hint="eastAsia" w:eastAsia="黑体"/>
                <w:bCs/>
                <w:color w:val="auto"/>
                <w:sz w:val="28"/>
                <w:szCs w:val="28"/>
                <w:highlight w:val="none"/>
              </w:rPr>
              <w:t>三、主要生产设备</w:t>
            </w:r>
          </w:p>
          <w:p w14:paraId="340F0378">
            <w:pPr>
              <w:pStyle w:val="72"/>
              <w:spacing w:line="480" w:lineRule="exact"/>
              <w:rPr>
                <w:color w:val="auto"/>
                <w:highlight w:val="none"/>
              </w:rPr>
            </w:pPr>
            <w:r>
              <w:rPr>
                <w:rFonts w:hint="eastAsia"/>
                <w:color w:val="auto"/>
                <w:highlight w:val="none"/>
              </w:rPr>
              <w:t>本项目主要生产设备见表2-3。</w:t>
            </w:r>
          </w:p>
          <w:p w14:paraId="4D1BA096">
            <w:pPr>
              <w:pStyle w:val="95"/>
              <w:ind w:firstLine="0"/>
              <w:rPr>
                <w:color w:val="auto"/>
                <w:highlight w:val="none"/>
              </w:rPr>
            </w:pPr>
            <w:r>
              <w:rPr>
                <w:rFonts w:hint="eastAsia"/>
                <w:color w:val="auto"/>
                <w:highlight w:val="none"/>
              </w:rPr>
              <w:t xml:space="preserve"> 表2-3 本项目生产设备一览表</w:t>
            </w:r>
          </w:p>
          <w:tbl>
            <w:tblPr>
              <w:tblStyle w:val="38"/>
              <w:tblW w:w="4996"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29"/>
              <w:gridCol w:w="561"/>
              <w:gridCol w:w="1084"/>
              <w:gridCol w:w="935"/>
              <w:gridCol w:w="723"/>
              <w:gridCol w:w="974"/>
              <w:gridCol w:w="1109"/>
              <w:gridCol w:w="18"/>
              <w:gridCol w:w="3123"/>
            </w:tblGrid>
            <w:tr w14:paraId="68D149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2A6D095">
                  <w:pPr>
                    <w:widowControl/>
                    <w:jc w:val="center"/>
                    <w:textAlignment w:val="center"/>
                    <w:rPr>
                      <w:bCs/>
                      <w:color w:val="auto"/>
                      <w:kern w:val="0"/>
                      <w:szCs w:val="21"/>
                      <w:highlight w:val="none"/>
                      <w:lang w:bidi="ar"/>
                    </w:rPr>
                  </w:pPr>
                  <w:r>
                    <w:rPr>
                      <w:rFonts w:hint="eastAsia"/>
                      <w:bCs/>
                      <w:color w:val="auto"/>
                      <w:kern w:val="0"/>
                      <w:szCs w:val="21"/>
                      <w:highlight w:val="none"/>
                      <w:lang w:bidi="ar"/>
                    </w:rPr>
                    <w:t>序号</w:t>
                  </w:r>
                </w:p>
              </w:tc>
              <w:tc>
                <w:tcPr>
                  <w:tcW w:w="316" w:type="pct"/>
                  <w:tcBorders>
                    <w:tl2br w:val="nil"/>
                    <w:tr2bl w:val="nil"/>
                  </w:tcBorders>
                  <w:vAlign w:val="center"/>
                </w:tcPr>
                <w:p w14:paraId="50D21A9F">
                  <w:pPr>
                    <w:widowControl/>
                    <w:jc w:val="center"/>
                    <w:textAlignment w:val="center"/>
                    <w:rPr>
                      <w:bCs/>
                      <w:color w:val="auto"/>
                      <w:kern w:val="0"/>
                      <w:szCs w:val="21"/>
                      <w:highlight w:val="none"/>
                      <w:lang w:bidi="ar"/>
                    </w:rPr>
                  </w:pPr>
                  <w:r>
                    <w:rPr>
                      <w:rFonts w:hint="eastAsia"/>
                      <w:bCs/>
                      <w:color w:val="auto"/>
                      <w:kern w:val="0"/>
                      <w:szCs w:val="21"/>
                      <w:highlight w:val="none"/>
                      <w:lang w:bidi="ar"/>
                    </w:rPr>
                    <w:t>位号</w:t>
                  </w:r>
                </w:p>
              </w:tc>
              <w:tc>
                <w:tcPr>
                  <w:tcW w:w="612" w:type="pct"/>
                  <w:tcBorders>
                    <w:tl2br w:val="nil"/>
                    <w:tr2bl w:val="nil"/>
                  </w:tcBorders>
                  <w:vAlign w:val="center"/>
                </w:tcPr>
                <w:p w14:paraId="401555A7">
                  <w:pPr>
                    <w:widowControl/>
                    <w:jc w:val="center"/>
                    <w:textAlignment w:val="center"/>
                    <w:rPr>
                      <w:bCs/>
                      <w:color w:val="auto"/>
                      <w:kern w:val="0"/>
                      <w:szCs w:val="21"/>
                      <w:highlight w:val="none"/>
                      <w:lang w:bidi="ar"/>
                    </w:rPr>
                  </w:pPr>
                  <w:r>
                    <w:rPr>
                      <w:rFonts w:hint="eastAsia"/>
                      <w:bCs/>
                      <w:color w:val="auto"/>
                      <w:kern w:val="0"/>
                      <w:szCs w:val="21"/>
                      <w:highlight w:val="none"/>
                      <w:lang w:bidi="ar"/>
                    </w:rPr>
                    <w:t>设备名称</w:t>
                  </w:r>
                </w:p>
              </w:tc>
              <w:tc>
                <w:tcPr>
                  <w:tcW w:w="527" w:type="pct"/>
                  <w:tcBorders>
                    <w:tl2br w:val="nil"/>
                    <w:tr2bl w:val="nil"/>
                  </w:tcBorders>
                  <w:vAlign w:val="center"/>
                </w:tcPr>
                <w:p w14:paraId="78AC6C75">
                  <w:pPr>
                    <w:widowControl/>
                    <w:jc w:val="center"/>
                    <w:textAlignment w:val="center"/>
                    <w:rPr>
                      <w:bCs/>
                      <w:color w:val="auto"/>
                      <w:kern w:val="0"/>
                      <w:szCs w:val="21"/>
                      <w:highlight w:val="none"/>
                      <w:lang w:bidi="ar"/>
                    </w:rPr>
                  </w:pPr>
                  <w:r>
                    <w:rPr>
                      <w:rFonts w:hint="eastAsia"/>
                      <w:bCs/>
                      <w:color w:val="auto"/>
                      <w:kern w:val="0"/>
                      <w:szCs w:val="21"/>
                      <w:highlight w:val="none"/>
                      <w:lang w:bidi="ar"/>
                    </w:rPr>
                    <w:t>规格型号</w:t>
                  </w:r>
                </w:p>
              </w:tc>
              <w:tc>
                <w:tcPr>
                  <w:tcW w:w="408" w:type="pct"/>
                  <w:tcBorders>
                    <w:tl2br w:val="nil"/>
                    <w:tr2bl w:val="nil"/>
                  </w:tcBorders>
                  <w:vAlign w:val="center"/>
                </w:tcPr>
                <w:p w14:paraId="2633376C">
                  <w:pPr>
                    <w:widowControl/>
                    <w:jc w:val="center"/>
                    <w:textAlignment w:val="center"/>
                    <w:rPr>
                      <w:bCs/>
                      <w:color w:val="auto"/>
                      <w:kern w:val="0"/>
                      <w:szCs w:val="21"/>
                      <w:highlight w:val="none"/>
                      <w:lang w:bidi="ar"/>
                    </w:rPr>
                  </w:pPr>
                  <w:r>
                    <w:rPr>
                      <w:rFonts w:hint="eastAsia"/>
                      <w:bCs/>
                      <w:color w:val="auto"/>
                      <w:kern w:val="0"/>
                      <w:szCs w:val="21"/>
                      <w:highlight w:val="none"/>
                      <w:lang w:bidi="ar"/>
                    </w:rPr>
                    <w:t>数量</w:t>
                  </w:r>
                </w:p>
              </w:tc>
              <w:tc>
                <w:tcPr>
                  <w:tcW w:w="549" w:type="pct"/>
                  <w:tcBorders>
                    <w:tl2br w:val="nil"/>
                    <w:tr2bl w:val="nil"/>
                  </w:tcBorders>
                  <w:vAlign w:val="center"/>
                </w:tcPr>
                <w:p w14:paraId="5FA3BA5B">
                  <w:pPr>
                    <w:widowControl/>
                    <w:jc w:val="center"/>
                    <w:textAlignment w:val="center"/>
                    <w:rPr>
                      <w:bCs/>
                      <w:color w:val="auto"/>
                      <w:kern w:val="0"/>
                      <w:szCs w:val="21"/>
                      <w:highlight w:val="none"/>
                      <w:lang w:bidi="ar"/>
                    </w:rPr>
                  </w:pPr>
                  <w:r>
                    <w:rPr>
                      <w:rFonts w:hint="eastAsia"/>
                      <w:bCs/>
                      <w:color w:val="auto"/>
                      <w:kern w:val="0"/>
                      <w:szCs w:val="21"/>
                      <w:highlight w:val="none"/>
                      <w:lang w:bidi="ar"/>
                    </w:rPr>
                    <w:t>合计功率</w:t>
                  </w:r>
                </w:p>
                <w:p w14:paraId="14ECE33B">
                  <w:pPr>
                    <w:widowControl/>
                    <w:jc w:val="center"/>
                    <w:textAlignment w:val="center"/>
                    <w:rPr>
                      <w:bCs/>
                      <w:color w:val="auto"/>
                      <w:kern w:val="0"/>
                      <w:szCs w:val="21"/>
                      <w:highlight w:val="none"/>
                      <w:lang w:bidi="ar"/>
                    </w:rPr>
                  </w:pPr>
                  <w:r>
                    <w:rPr>
                      <w:rFonts w:hint="eastAsia"/>
                      <w:bCs/>
                      <w:color w:val="auto"/>
                      <w:kern w:val="0"/>
                      <w:szCs w:val="21"/>
                      <w:highlight w:val="none"/>
                      <w:lang w:bidi="ar"/>
                    </w:rPr>
                    <w:t>（kw）</w:t>
                  </w:r>
                </w:p>
              </w:tc>
              <w:tc>
                <w:tcPr>
                  <w:tcW w:w="636" w:type="pct"/>
                  <w:gridSpan w:val="2"/>
                  <w:tcBorders>
                    <w:tl2br w:val="nil"/>
                    <w:tr2bl w:val="nil"/>
                  </w:tcBorders>
                  <w:vAlign w:val="center"/>
                </w:tcPr>
                <w:p w14:paraId="571311E8">
                  <w:pPr>
                    <w:widowControl/>
                    <w:jc w:val="center"/>
                    <w:textAlignment w:val="center"/>
                    <w:rPr>
                      <w:bCs/>
                      <w:color w:val="auto"/>
                      <w:kern w:val="0"/>
                      <w:szCs w:val="21"/>
                      <w:highlight w:val="none"/>
                      <w:lang w:bidi="ar"/>
                    </w:rPr>
                  </w:pPr>
                  <w:r>
                    <w:rPr>
                      <w:rFonts w:hint="eastAsia"/>
                      <w:bCs/>
                      <w:color w:val="auto"/>
                      <w:kern w:val="0"/>
                      <w:szCs w:val="21"/>
                      <w:highlight w:val="none"/>
                      <w:lang w:bidi="ar"/>
                    </w:rPr>
                    <w:t>生产厂家</w:t>
                  </w:r>
                </w:p>
              </w:tc>
              <w:tc>
                <w:tcPr>
                  <w:tcW w:w="1763" w:type="pct"/>
                  <w:tcBorders>
                    <w:tl2br w:val="nil"/>
                    <w:tr2bl w:val="nil"/>
                  </w:tcBorders>
                  <w:vAlign w:val="center"/>
                </w:tcPr>
                <w:p w14:paraId="1EFF31BE">
                  <w:pPr>
                    <w:jc w:val="center"/>
                    <w:rPr>
                      <w:rStyle w:val="87"/>
                      <w:rFonts w:ascii="Times New Roman"/>
                      <w:color w:val="auto"/>
                      <w:sz w:val="21"/>
                      <w:highlight w:val="none"/>
                    </w:rPr>
                  </w:pPr>
                  <w:r>
                    <w:rPr>
                      <w:rStyle w:val="87"/>
                      <w:rFonts w:ascii="Times New Roman"/>
                      <w:color w:val="auto"/>
                      <w:sz w:val="21"/>
                      <w:highlight w:val="none"/>
                    </w:rPr>
                    <w:t>备注</w:t>
                  </w:r>
                </w:p>
              </w:tc>
            </w:tr>
            <w:tr w14:paraId="3935C6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3BF871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316" w:type="pct"/>
                  <w:tcBorders>
                    <w:tl2br w:val="nil"/>
                    <w:tr2bl w:val="nil"/>
                  </w:tcBorders>
                  <w:vAlign w:val="center"/>
                </w:tcPr>
                <w:p w14:paraId="2139BACC">
                  <w:pPr>
                    <w:widowControl/>
                    <w:jc w:val="center"/>
                    <w:textAlignment w:val="center"/>
                    <w:rPr>
                      <w:bCs/>
                      <w:color w:val="auto"/>
                      <w:kern w:val="0"/>
                      <w:szCs w:val="21"/>
                      <w:highlight w:val="none"/>
                      <w:lang w:bidi="ar"/>
                    </w:rPr>
                  </w:pPr>
                  <w:r>
                    <w:rPr>
                      <w:rFonts w:hint="eastAsia"/>
                      <w:bCs/>
                      <w:color w:val="auto"/>
                      <w:kern w:val="0"/>
                      <w:szCs w:val="21"/>
                      <w:highlight w:val="none"/>
                      <w:lang w:bidi="ar"/>
                    </w:rPr>
                    <w:t>J01</w:t>
                  </w:r>
                </w:p>
              </w:tc>
              <w:tc>
                <w:tcPr>
                  <w:tcW w:w="612" w:type="pct"/>
                  <w:tcBorders>
                    <w:tl2br w:val="nil"/>
                    <w:tr2bl w:val="nil"/>
                  </w:tcBorders>
                  <w:vAlign w:val="center"/>
                </w:tcPr>
                <w:p w14:paraId="3D9F440C">
                  <w:pPr>
                    <w:widowControl/>
                    <w:jc w:val="center"/>
                    <w:textAlignment w:val="center"/>
                    <w:rPr>
                      <w:bCs/>
                      <w:color w:val="auto"/>
                      <w:kern w:val="0"/>
                      <w:szCs w:val="21"/>
                      <w:highlight w:val="none"/>
                      <w:lang w:bidi="ar"/>
                    </w:rPr>
                  </w:pPr>
                  <w:r>
                    <w:rPr>
                      <w:rFonts w:hint="eastAsia"/>
                      <w:bCs/>
                      <w:color w:val="auto"/>
                      <w:kern w:val="0"/>
                      <w:szCs w:val="21"/>
                      <w:highlight w:val="none"/>
                      <w:lang w:bidi="ar"/>
                    </w:rPr>
                    <w:t>存料箱</w:t>
                  </w:r>
                </w:p>
              </w:tc>
              <w:tc>
                <w:tcPr>
                  <w:tcW w:w="527" w:type="pct"/>
                  <w:tcBorders>
                    <w:tl2br w:val="nil"/>
                    <w:tr2bl w:val="nil"/>
                  </w:tcBorders>
                  <w:vAlign w:val="center"/>
                </w:tcPr>
                <w:p w14:paraId="2B3C7179">
                  <w:pPr>
                    <w:widowControl/>
                    <w:jc w:val="center"/>
                    <w:textAlignment w:val="center"/>
                    <w:rPr>
                      <w:bCs/>
                      <w:color w:val="auto"/>
                      <w:kern w:val="0"/>
                      <w:szCs w:val="21"/>
                      <w:highlight w:val="none"/>
                      <w:lang w:bidi="ar"/>
                    </w:rPr>
                  </w:pPr>
                  <w:r>
                    <w:rPr>
                      <w:rFonts w:hint="eastAsia"/>
                      <w:bCs/>
                      <w:color w:val="auto"/>
                      <w:kern w:val="0"/>
                      <w:szCs w:val="21"/>
                      <w:highlight w:val="none"/>
                      <w:lang w:bidi="ar"/>
                    </w:rPr>
                    <w:t>CX140</w:t>
                  </w:r>
                </w:p>
              </w:tc>
              <w:tc>
                <w:tcPr>
                  <w:tcW w:w="408" w:type="pct"/>
                  <w:tcBorders>
                    <w:tl2br w:val="nil"/>
                    <w:tr2bl w:val="nil"/>
                  </w:tcBorders>
                  <w:vAlign w:val="center"/>
                </w:tcPr>
                <w:p w14:paraId="41F71F4B">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71458107">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44C8D0E9">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4BC423E4">
                  <w:pPr>
                    <w:rPr>
                      <w:rStyle w:val="87"/>
                      <w:rFonts w:ascii="Times New Roman"/>
                      <w:color w:val="auto"/>
                      <w:sz w:val="21"/>
                      <w:szCs w:val="21"/>
                      <w:highlight w:val="none"/>
                    </w:rPr>
                  </w:pPr>
                  <w:r>
                    <w:rPr>
                      <w:rStyle w:val="87"/>
                      <w:rFonts w:ascii="Times New Roman"/>
                      <w:color w:val="auto"/>
                      <w:sz w:val="21"/>
                      <w:szCs w:val="21"/>
                      <w:highlight w:val="none"/>
                    </w:rPr>
                    <w:t>用途：暂存合适的料位，稳定浸出车间产量，防止浸出器内溶剂汽体泄漏，主材：Q235-A</w:t>
                  </w:r>
                  <w:r>
                    <w:rPr>
                      <w:rStyle w:val="87"/>
                      <w:rFonts w:hint="eastAsia" w:ascii="Times New Roman"/>
                      <w:color w:val="auto"/>
                      <w:sz w:val="21"/>
                      <w:szCs w:val="21"/>
                      <w:highlight w:val="none"/>
                    </w:rPr>
                    <w:t>，</w:t>
                  </w:r>
                  <w:r>
                    <w:rPr>
                      <w:rStyle w:val="87"/>
                      <w:rFonts w:ascii="Times New Roman"/>
                      <w:color w:val="auto"/>
                      <w:sz w:val="21"/>
                      <w:szCs w:val="21"/>
                      <w:highlight w:val="none"/>
                    </w:rPr>
                    <w:t>1.2米观察视镜两个。料位自动控制。</w:t>
                  </w:r>
                </w:p>
              </w:tc>
            </w:tr>
            <w:tr w14:paraId="15351F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28077543">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316" w:type="pct"/>
                  <w:tcBorders>
                    <w:tl2br w:val="nil"/>
                    <w:tr2bl w:val="nil"/>
                  </w:tcBorders>
                  <w:vAlign w:val="center"/>
                </w:tcPr>
                <w:p w14:paraId="1A7F3F54">
                  <w:pPr>
                    <w:widowControl/>
                    <w:jc w:val="center"/>
                    <w:textAlignment w:val="center"/>
                    <w:rPr>
                      <w:bCs/>
                      <w:color w:val="auto"/>
                      <w:kern w:val="0"/>
                      <w:szCs w:val="21"/>
                      <w:highlight w:val="none"/>
                      <w:lang w:bidi="ar"/>
                    </w:rPr>
                  </w:pPr>
                  <w:r>
                    <w:rPr>
                      <w:rFonts w:hint="eastAsia"/>
                      <w:bCs/>
                      <w:color w:val="auto"/>
                      <w:kern w:val="0"/>
                      <w:szCs w:val="21"/>
                      <w:highlight w:val="none"/>
                      <w:lang w:bidi="ar"/>
                    </w:rPr>
                    <w:t>J02</w:t>
                  </w:r>
                </w:p>
              </w:tc>
              <w:tc>
                <w:tcPr>
                  <w:tcW w:w="612" w:type="pct"/>
                  <w:tcBorders>
                    <w:tl2br w:val="nil"/>
                    <w:tr2bl w:val="nil"/>
                  </w:tcBorders>
                  <w:vAlign w:val="center"/>
                </w:tcPr>
                <w:p w14:paraId="5AB346EF">
                  <w:pPr>
                    <w:widowControl/>
                    <w:jc w:val="center"/>
                    <w:textAlignment w:val="center"/>
                    <w:rPr>
                      <w:bCs/>
                      <w:color w:val="auto"/>
                      <w:kern w:val="0"/>
                      <w:szCs w:val="21"/>
                      <w:highlight w:val="none"/>
                      <w:lang w:bidi="ar"/>
                    </w:rPr>
                  </w:pPr>
                  <w:r>
                    <w:rPr>
                      <w:rFonts w:hint="eastAsia"/>
                      <w:bCs/>
                      <w:color w:val="auto"/>
                      <w:kern w:val="0"/>
                      <w:szCs w:val="21"/>
                      <w:highlight w:val="none"/>
                      <w:lang w:bidi="ar"/>
                    </w:rPr>
                    <w:t>气动密封插板阀</w:t>
                  </w:r>
                </w:p>
              </w:tc>
              <w:tc>
                <w:tcPr>
                  <w:tcW w:w="527" w:type="pct"/>
                  <w:tcBorders>
                    <w:tl2br w:val="nil"/>
                    <w:tr2bl w:val="nil"/>
                  </w:tcBorders>
                  <w:vAlign w:val="center"/>
                </w:tcPr>
                <w:p w14:paraId="363A94E2">
                  <w:pPr>
                    <w:widowControl/>
                    <w:jc w:val="center"/>
                    <w:textAlignment w:val="center"/>
                    <w:rPr>
                      <w:bCs/>
                      <w:color w:val="auto"/>
                      <w:kern w:val="0"/>
                      <w:szCs w:val="21"/>
                      <w:highlight w:val="none"/>
                      <w:lang w:bidi="ar"/>
                    </w:rPr>
                  </w:pPr>
                  <w:r>
                    <w:rPr>
                      <w:rFonts w:hint="eastAsia"/>
                      <w:bCs/>
                      <w:color w:val="auto"/>
                      <w:kern w:val="0"/>
                      <w:szCs w:val="21"/>
                      <w:highlight w:val="none"/>
                      <w:lang w:bidi="ar"/>
                    </w:rPr>
                    <w:t>QF</w:t>
                  </w:r>
                </w:p>
              </w:tc>
              <w:tc>
                <w:tcPr>
                  <w:tcW w:w="408" w:type="pct"/>
                  <w:tcBorders>
                    <w:tl2br w:val="nil"/>
                    <w:tr2bl w:val="nil"/>
                  </w:tcBorders>
                  <w:vAlign w:val="center"/>
                </w:tcPr>
                <w:p w14:paraId="00F05DF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D6E999A">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BE69D56">
                  <w:pPr>
                    <w:widowControl/>
                    <w:jc w:val="center"/>
                    <w:textAlignment w:val="center"/>
                    <w:rPr>
                      <w:bCs/>
                      <w:color w:val="auto"/>
                      <w:kern w:val="0"/>
                      <w:szCs w:val="21"/>
                      <w:highlight w:val="none"/>
                      <w:lang w:bidi="ar"/>
                    </w:rPr>
                  </w:pPr>
                  <w:r>
                    <w:rPr>
                      <w:rFonts w:hint="eastAsia"/>
                      <w:bCs/>
                      <w:color w:val="auto"/>
                      <w:kern w:val="0"/>
                      <w:szCs w:val="21"/>
                      <w:highlight w:val="none"/>
                      <w:lang w:bidi="ar"/>
                    </w:rPr>
                    <w:t>上海或等同</w:t>
                  </w:r>
                </w:p>
              </w:tc>
              <w:tc>
                <w:tcPr>
                  <w:tcW w:w="1763" w:type="pct"/>
                  <w:tcBorders>
                    <w:tl2br w:val="nil"/>
                    <w:tr2bl w:val="nil"/>
                  </w:tcBorders>
                  <w:vAlign w:val="center"/>
                </w:tcPr>
                <w:p w14:paraId="0DF67832">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用途：停机时防溶剂汽体泄露，材质：插板不锈钢304</w:t>
                  </w:r>
                  <w:r>
                    <w:rPr>
                      <w:rStyle w:val="87"/>
                      <w:rFonts w:hint="eastAsia"/>
                      <w:color w:val="auto"/>
                      <w:sz w:val="21"/>
                      <w:szCs w:val="21"/>
                      <w:highlight w:val="none"/>
                    </w:rPr>
                    <w:t>。</w:t>
                  </w:r>
                </w:p>
              </w:tc>
            </w:tr>
            <w:tr w14:paraId="659408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10A284A">
                  <w:pPr>
                    <w:widowControl/>
                    <w:jc w:val="center"/>
                    <w:textAlignment w:val="center"/>
                    <w:rPr>
                      <w:bCs/>
                      <w:color w:val="auto"/>
                      <w:kern w:val="0"/>
                      <w:szCs w:val="21"/>
                      <w:highlight w:val="none"/>
                      <w:lang w:bidi="ar"/>
                    </w:rPr>
                  </w:pPr>
                  <w:r>
                    <w:rPr>
                      <w:rFonts w:hint="eastAsia"/>
                      <w:bCs/>
                      <w:color w:val="auto"/>
                      <w:kern w:val="0"/>
                      <w:szCs w:val="21"/>
                      <w:highlight w:val="none"/>
                      <w:lang w:bidi="ar"/>
                    </w:rPr>
                    <w:t>3</w:t>
                  </w:r>
                </w:p>
              </w:tc>
              <w:tc>
                <w:tcPr>
                  <w:tcW w:w="316" w:type="pct"/>
                  <w:tcBorders>
                    <w:tl2br w:val="nil"/>
                    <w:tr2bl w:val="nil"/>
                  </w:tcBorders>
                  <w:vAlign w:val="center"/>
                </w:tcPr>
                <w:p w14:paraId="29FC30ED">
                  <w:pPr>
                    <w:widowControl/>
                    <w:jc w:val="center"/>
                    <w:textAlignment w:val="center"/>
                    <w:rPr>
                      <w:bCs/>
                      <w:color w:val="auto"/>
                      <w:kern w:val="0"/>
                      <w:szCs w:val="21"/>
                      <w:highlight w:val="none"/>
                      <w:lang w:bidi="ar"/>
                    </w:rPr>
                  </w:pPr>
                  <w:r>
                    <w:rPr>
                      <w:rFonts w:hint="eastAsia"/>
                      <w:bCs/>
                      <w:color w:val="auto"/>
                      <w:kern w:val="0"/>
                      <w:szCs w:val="21"/>
                      <w:highlight w:val="none"/>
                      <w:lang w:bidi="ar"/>
                    </w:rPr>
                    <w:t>J03</w:t>
                  </w:r>
                </w:p>
              </w:tc>
              <w:tc>
                <w:tcPr>
                  <w:tcW w:w="612" w:type="pct"/>
                  <w:tcBorders>
                    <w:tl2br w:val="nil"/>
                    <w:tr2bl w:val="nil"/>
                  </w:tcBorders>
                  <w:vAlign w:val="center"/>
                </w:tcPr>
                <w:p w14:paraId="58AE1614">
                  <w:pPr>
                    <w:widowControl/>
                    <w:jc w:val="center"/>
                    <w:textAlignment w:val="center"/>
                    <w:rPr>
                      <w:bCs/>
                      <w:color w:val="auto"/>
                      <w:kern w:val="0"/>
                      <w:szCs w:val="21"/>
                      <w:highlight w:val="none"/>
                      <w:lang w:bidi="ar"/>
                    </w:rPr>
                  </w:pPr>
                  <w:r>
                    <w:rPr>
                      <w:rFonts w:hint="eastAsia"/>
                      <w:bCs/>
                      <w:color w:val="auto"/>
                      <w:kern w:val="0"/>
                      <w:szCs w:val="21"/>
                      <w:highlight w:val="none"/>
                      <w:lang w:bidi="ar"/>
                    </w:rPr>
                    <w:t>毛油精提塔</w:t>
                  </w:r>
                </w:p>
              </w:tc>
              <w:tc>
                <w:tcPr>
                  <w:tcW w:w="527" w:type="pct"/>
                  <w:tcBorders>
                    <w:tl2br w:val="nil"/>
                    <w:tr2bl w:val="nil"/>
                  </w:tcBorders>
                  <w:vAlign w:val="center"/>
                </w:tcPr>
                <w:p w14:paraId="680B64D3">
                  <w:pPr>
                    <w:widowControl/>
                    <w:jc w:val="center"/>
                    <w:textAlignment w:val="center"/>
                    <w:rPr>
                      <w:bCs/>
                      <w:color w:val="auto"/>
                      <w:kern w:val="0"/>
                      <w:szCs w:val="21"/>
                      <w:highlight w:val="none"/>
                      <w:lang w:bidi="ar"/>
                    </w:rPr>
                  </w:pPr>
                  <w:r>
                    <w:rPr>
                      <w:rFonts w:hint="eastAsia"/>
                      <w:bCs/>
                      <w:color w:val="auto"/>
                      <w:kern w:val="0"/>
                      <w:szCs w:val="21"/>
                      <w:highlight w:val="none"/>
                      <w:lang w:bidi="ar"/>
                    </w:rPr>
                    <w:t>T80</w:t>
                  </w:r>
                </w:p>
              </w:tc>
              <w:tc>
                <w:tcPr>
                  <w:tcW w:w="408" w:type="pct"/>
                  <w:tcBorders>
                    <w:tl2br w:val="nil"/>
                    <w:tr2bl w:val="nil"/>
                  </w:tcBorders>
                  <w:vAlign w:val="center"/>
                </w:tcPr>
                <w:p w14:paraId="78A516CE">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073C9324">
                  <w:pPr>
                    <w:widowControl/>
                    <w:jc w:val="center"/>
                    <w:textAlignment w:val="center"/>
                    <w:rPr>
                      <w:bCs/>
                      <w:color w:val="auto"/>
                      <w:kern w:val="0"/>
                      <w:szCs w:val="21"/>
                      <w:highlight w:val="none"/>
                      <w:lang w:bidi="ar"/>
                    </w:rPr>
                  </w:pPr>
                </w:p>
              </w:tc>
              <w:tc>
                <w:tcPr>
                  <w:tcW w:w="636" w:type="pct"/>
                  <w:gridSpan w:val="2"/>
                  <w:tcBorders>
                    <w:tl2br w:val="nil"/>
                    <w:tr2bl w:val="nil"/>
                  </w:tcBorders>
                  <w:vAlign w:val="center"/>
                </w:tcPr>
                <w:p w14:paraId="71CA0410">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79EB6F00">
                  <w:pPr>
                    <w:rPr>
                      <w:rStyle w:val="87"/>
                      <w:rFonts w:ascii="Times New Roman"/>
                      <w:color w:val="auto"/>
                      <w:sz w:val="21"/>
                      <w:szCs w:val="21"/>
                      <w:highlight w:val="none"/>
                    </w:rPr>
                  </w:pPr>
                  <w:r>
                    <w:rPr>
                      <w:rStyle w:val="87"/>
                      <w:rFonts w:ascii="Times New Roman"/>
                      <w:color w:val="auto"/>
                      <w:sz w:val="21"/>
                      <w:szCs w:val="21"/>
                      <w:highlight w:val="none"/>
                    </w:rPr>
                    <w:t>真空提取毛油中的残溶及水份。不锈钢304，板厚6mm。</w:t>
                  </w:r>
                </w:p>
              </w:tc>
            </w:tr>
            <w:tr w14:paraId="3368DE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3C46A8B">
                  <w:pPr>
                    <w:widowControl/>
                    <w:jc w:val="center"/>
                    <w:textAlignment w:val="center"/>
                    <w:rPr>
                      <w:bCs/>
                      <w:color w:val="auto"/>
                      <w:kern w:val="0"/>
                      <w:szCs w:val="21"/>
                      <w:highlight w:val="none"/>
                      <w:lang w:bidi="ar"/>
                    </w:rPr>
                  </w:pPr>
                  <w:r>
                    <w:rPr>
                      <w:rFonts w:hint="eastAsia"/>
                      <w:bCs/>
                      <w:color w:val="auto"/>
                      <w:kern w:val="0"/>
                      <w:szCs w:val="21"/>
                      <w:highlight w:val="none"/>
                      <w:lang w:bidi="ar"/>
                    </w:rPr>
                    <w:t>4</w:t>
                  </w:r>
                </w:p>
              </w:tc>
              <w:tc>
                <w:tcPr>
                  <w:tcW w:w="316" w:type="pct"/>
                  <w:tcBorders>
                    <w:tl2br w:val="nil"/>
                    <w:tr2bl w:val="nil"/>
                  </w:tcBorders>
                  <w:vAlign w:val="center"/>
                </w:tcPr>
                <w:p w14:paraId="2D714C9E">
                  <w:pPr>
                    <w:widowControl/>
                    <w:jc w:val="center"/>
                    <w:textAlignment w:val="center"/>
                    <w:rPr>
                      <w:bCs/>
                      <w:color w:val="auto"/>
                      <w:kern w:val="0"/>
                      <w:szCs w:val="21"/>
                      <w:highlight w:val="none"/>
                      <w:lang w:bidi="ar"/>
                    </w:rPr>
                  </w:pPr>
                  <w:r>
                    <w:rPr>
                      <w:rFonts w:hint="eastAsia"/>
                      <w:bCs/>
                      <w:color w:val="auto"/>
                      <w:kern w:val="0"/>
                      <w:szCs w:val="21"/>
                      <w:highlight w:val="none"/>
                      <w:lang w:bidi="ar"/>
                    </w:rPr>
                    <w:t>J04</w:t>
                  </w:r>
                </w:p>
              </w:tc>
              <w:tc>
                <w:tcPr>
                  <w:tcW w:w="612" w:type="pct"/>
                  <w:tcBorders>
                    <w:tl2br w:val="nil"/>
                    <w:tr2bl w:val="nil"/>
                  </w:tcBorders>
                  <w:vAlign w:val="center"/>
                </w:tcPr>
                <w:p w14:paraId="61698E3F">
                  <w:pPr>
                    <w:widowControl/>
                    <w:jc w:val="center"/>
                    <w:textAlignment w:val="center"/>
                    <w:rPr>
                      <w:bCs/>
                      <w:color w:val="auto"/>
                      <w:kern w:val="0"/>
                      <w:szCs w:val="21"/>
                      <w:highlight w:val="none"/>
                      <w:lang w:bidi="ar"/>
                    </w:rPr>
                  </w:pPr>
                  <w:r>
                    <w:rPr>
                      <w:rFonts w:hint="eastAsia"/>
                      <w:bCs/>
                      <w:color w:val="auto"/>
                      <w:kern w:val="0"/>
                      <w:szCs w:val="21"/>
                      <w:highlight w:val="none"/>
                      <w:lang w:bidi="ar"/>
                    </w:rPr>
                    <w:t>密封绞龙</w:t>
                  </w:r>
                </w:p>
              </w:tc>
              <w:tc>
                <w:tcPr>
                  <w:tcW w:w="527" w:type="pct"/>
                  <w:tcBorders>
                    <w:tl2br w:val="nil"/>
                    <w:tr2bl w:val="nil"/>
                  </w:tcBorders>
                  <w:vAlign w:val="center"/>
                </w:tcPr>
                <w:p w14:paraId="64B6F69A">
                  <w:pPr>
                    <w:widowControl/>
                    <w:jc w:val="center"/>
                    <w:textAlignment w:val="center"/>
                    <w:rPr>
                      <w:bCs/>
                      <w:color w:val="auto"/>
                      <w:kern w:val="0"/>
                      <w:szCs w:val="21"/>
                      <w:highlight w:val="none"/>
                      <w:lang w:bidi="ar"/>
                    </w:rPr>
                  </w:pPr>
                  <w:r>
                    <w:rPr>
                      <w:rFonts w:hint="eastAsia"/>
                      <w:bCs/>
                      <w:color w:val="auto"/>
                      <w:kern w:val="0"/>
                      <w:szCs w:val="21"/>
                      <w:highlight w:val="none"/>
                      <w:lang w:bidi="ar"/>
                    </w:rPr>
                    <w:t>LS32</w:t>
                  </w:r>
                </w:p>
              </w:tc>
              <w:tc>
                <w:tcPr>
                  <w:tcW w:w="408" w:type="pct"/>
                  <w:tcBorders>
                    <w:tl2br w:val="nil"/>
                    <w:tr2bl w:val="nil"/>
                  </w:tcBorders>
                  <w:vAlign w:val="center"/>
                </w:tcPr>
                <w:p w14:paraId="5F06E4E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BDB366F">
                  <w:pPr>
                    <w:widowControl/>
                    <w:jc w:val="center"/>
                    <w:textAlignment w:val="center"/>
                    <w:rPr>
                      <w:bCs/>
                      <w:color w:val="auto"/>
                      <w:kern w:val="0"/>
                      <w:szCs w:val="21"/>
                      <w:highlight w:val="none"/>
                      <w:lang w:bidi="ar"/>
                    </w:rPr>
                  </w:pPr>
                  <w:r>
                    <w:rPr>
                      <w:rFonts w:hint="eastAsia"/>
                      <w:bCs/>
                      <w:color w:val="auto"/>
                      <w:kern w:val="0"/>
                      <w:szCs w:val="21"/>
                      <w:highlight w:val="none"/>
                      <w:lang w:bidi="ar"/>
                    </w:rPr>
                    <w:t>5.5</w:t>
                  </w:r>
                </w:p>
              </w:tc>
              <w:tc>
                <w:tcPr>
                  <w:tcW w:w="636" w:type="pct"/>
                  <w:gridSpan w:val="2"/>
                  <w:tcBorders>
                    <w:tl2br w:val="nil"/>
                    <w:tr2bl w:val="nil"/>
                  </w:tcBorders>
                  <w:vAlign w:val="center"/>
                </w:tcPr>
                <w:p w14:paraId="2CF49D5A">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6CE0B583">
                  <w:pPr>
                    <w:rPr>
                      <w:rStyle w:val="87"/>
                      <w:rFonts w:ascii="Times New Roman"/>
                      <w:color w:val="auto"/>
                      <w:sz w:val="21"/>
                      <w:szCs w:val="21"/>
                      <w:highlight w:val="none"/>
                    </w:rPr>
                  </w:pPr>
                  <w:r>
                    <w:rPr>
                      <w:rStyle w:val="87"/>
                      <w:rFonts w:ascii="Times New Roman"/>
                      <w:color w:val="auto"/>
                      <w:sz w:val="21"/>
                      <w:szCs w:val="21"/>
                      <w:highlight w:val="none"/>
                    </w:rPr>
                    <w:t>用料封防止浸出器内溶剂汽体泄漏，设置可调重力门，密封更加可靠</w:t>
                  </w:r>
                  <w:r>
                    <w:rPr>
                      <w:rStyle w:val="87"/>
                      <w:rFonts w:hint="eastAsia" w:ascii="Times New Roman"/>
                      <w:color w:val="auto"/>
                      <w:sz w:val="21"/>
                      <w:szCs w:val="21"/>
                      <w:highlight w:val="none"/>
                    </w:rPr>
                    <w:t>，</w:t>
                  </w:r>
                  <w:r>
                    <w:rPr>
                      <w:rStyle w:val="87"/>
                      <w:rFonts w:ascii="Times New Roman"/>
                      <w:color w:val="auto"/>
                      <w:sz w:val="21"/>
                      <w:szCs w:val="21"/>
                      <w:highlight w:val="none"/>
                    </w:rPr>
                    <w:t>中部带快开检修口方便操作检修，主材：Q235-A。绞龙叶不锈钢6mm。重力门、绞龙轴不锈钢管。转速自控与浸出器联索。</w:t>
                  </w:r>
                </w:p>
              </w:tc>
            </w:tr>
            <w:tr w14:paraId="7A385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009ECF3">
                  <w:pPr>
                    <w:widowControl/>
                    <w:jc w:val="center"/>
                    <w:textAlignment w:val="center"/>
                    <w:rPr>
                      <w:bCs/>
                      <w:color w:val="auto"/>
                      <w:kern w:val="0"/>
                      <w:szCs w:val="21"/>
                      <w:highlight w:val="none"/>
                      <w:lang w:bidi="ar"/>
                    </w:rPr>
                  </w:pPr>
                  <w:r>
                    <w:rPr>
                      <w:rFonts w:hint="eastAsia"/>
                      <w:bCs/>
                      <w:color w:val="auto"/>
                      <w:kern w:val="0"/>
                      <w:szCs w:val="21"/>
                      <w:highlight w:val="none"/>
                      <w:lang w:bidi="ar"/>
                    </w:rPr>
                    <w:t>5</w:t>
                  </w:r>
                </w:p>
              </w:tc>
              <w:tc>
                <w:tcPr>
                  <w:tcW w:w="316" w:type="pct"/>
                  <w:tcBorders>
                    <w:tl2br w:val="nil"/>
                    <w:tr2bl w:val="nil"/>
                  </w:tcBorders>
                  <w:vAlign w:val="center"/>
                </w:tcPr>
                <w:p w14:paraId="26A35FC3">
                  <w:pPr>
                    <w:widowControl/>
                    <w:jc w:val="center"/>
                    <w:textAlignment w:val="center"/>
                    <w:rPr>
                      <w:bCs/>
                      <w:color w:val="auto"/>
                      <w:kern w:val="0"/>
                      <w:szCs w:val="21"/>
                      <w:highlight w:val="none"/>
                      <w:lang w:bidi="ar"/>
                    </w:rPr>
                  </w:pPr>
                  <w:r>
                    <w:rPr>
                      <w:rFonts w:hint="eastAsia"/>
                      <w:bCs/>
                      <w:color w:val="auto"/>
                      <w:kern w:val="0"/>
                      <w:szCs w:val="21"/>
                      <w:highlight w:val="none"/>
                      <w:lang w:bidi="ar"/>
                    </w:rPr>
                    <w:t>J05</w:t>
                  </w:r>
                </w:p>
              </w:tc>
              <w:tc>
                <w:tcPr>
                  <w:tcW w:w="612" w:type="pct"/>
                  <w:tcBorders>
                    <w:tl2br w:val="nil"/>
                    <w:tr2bl w:val="nil"/>
                  </w:tcBorders>
                  <w:vAlign w:val="center"/>
                </w:tcPr>
                <w:p w14:paraId="68817F16">
                  <w:pPr>
                    <w:widowControl/>
                    <w:jc w:val="center"/>
                    <w:textAlignment w:val="center"/>
                    <w:rPr>
                      <w:bCs/>
                      <w:color w:val="auto"/>
                      <w:kern w:val="0"/>
                      <w:szCs w:val="21"/>
                      <w:highlight w:val="none"/>
                      <w:lang w:bidi="ar"/>
                    </w:rPr>
                  </w:pPr>
                  <w:r>
                    <w:rPr>
                      <w:rFonts w:hint="eastAsia"/>
                      <w:bCs/>
                      <w:color w:val="auto"/>
                      <w:kern w:val="0"/>
                      <w:szCs w:val="21"/>
                      <w:highlight w:val="none"/>
                      <w:lang w:bidi="ar"/>
                    </w:rPr>
                    <w:t>浸出器</w:t>
                  </w:r>
                </w:p>
              </w:tc>
              <w:tc>
                <w:tcPr>
                  <w:tcW w:w="527" w:type="pct"/>
                  <w:tcBorders>
                    <w:tl2br w:val="nil"/>
                    <w:tr2bl w:val="nil"/>
                  </w:tcBorders>
                  <w:vAlign w:val="center"/>
                </w:tcPr>
                <w:p w14:paraId="01033158">
                  <w:pPr>
                    <w:widowControl/>
                    <w:jc w:val="center"/>
                    <w:textAlignment w:val="center"/>
                    <w:rPr>
                      <w:bCs/>
                      <w:color w:val="auto"/>
                      <w:kern w:val="0"/>
                      <w:szCs w:val="21"/>
                      <w:highlight w:val="none"/>
                      <w:lang w:bidi="ar"/>
                    </w:rPr>
                  </w:pPr>
                  <w:r>
                    <w:rPr>
                      <w:rFonts w:hint="eastAsia"/>
                      <w:bCs/>
                      <w:color w:val="auto"/>
                      <w:kern w:val="0"/>
                      <w:szCs w:val="21"/>
                      <w:highlight w:val="none"/>
                      <w:lang w:bidi="ar"/>
                    </w:rPr>
                    <w:t>JPS800</w:t>
                  </w:r>
                </w:p>
              </w:tc>
              <w:tc>
                <w:tcPr>
                  <w:tcW w:w="408" w:type="pct"/>
                  <w:tcBorders>
                    <w:tl2br w:val="nil"/>
                    <w:tr2bl w:val="nil"/>
                  </w:tcBorders>
                  <w:vAlign w:val="center"/>
                </w:tcPr>
                <w:p w14:paraId="0A74DEAC">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173380E">
                  <w:pPr>
                    <w:widowControl/>
                    <w:jc w:val="center"/>
                    <w:textAlignment w:val="center"/>
                    <w:rPr>
                      <w:bCs/>
                      <w:color w:val="auto"/>
                      <w:kern w:val="0"/>
                      <w:szCs w:val="21"/>
                      <w:highlight w:val="none"/>
                      <w:lang w:bidi="ar"/>
                    </w:rPr>
                  </w:pPr>
                  <w:r>
                    <w:rPr>
                      <w:rFonts w:hint="eastAsia"/>
                      <w:bCs/>
                      <w:color w:val="auto"/>
                      <w:kern w:val="0"/>
                      <w:szCs w:val="21"/>
                      <w:highlight w:val="none"/>
                      <w:lang w:bidi="ar"/>
                    </w:rPr>
                    <w:t>2.2</w:t>
                  </w:r>
                </w:p>
              </w:tc>
              <w:tc>
                <w:tcPr>
                  <w:tcW w:w="636" w:type="pct"/>
                  <w:gridSpan w:val="2"/>
                  <w:tcBorders>
                    <w:tl2br w:val="nil"/>
                    <w:tr2bl w:val="nil"/>
                  </w:tcBorders>
                  <w:vAlign w:val="center"/>
                </w:tcPr>
                <w:p w14:paraId="57862635">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9C4E5C0">
                  <w:pPr>
                    <w:rPr>
                      <w:rStyle w:val="87"/>
                      <w:rFonts w:ascii="Times New Roman"/>
                      <w:color w:val="auto"/>
                      <w:sz w:val="21"/>
                      <w:szCs w:val="21"/>
                      <w:highlight w:val="none"/>
                    </w:rPr>
                  </w:pPr>
                  <w:r>
                    <w:rPr>
                      <w:rStyle w:val="87"/>
                      <w:rFonts w:ascii="Times New Roman"/>
                      <w:color w:val="auto"/>
                      <w:sz w:val="21"/>
                      <w:szCs w:val="21"/>
                      <w:highlight w:val="none"/>
                    </w:rPr>
                    <w:t>齿圈传动，不锈钢固定栅板，材质Q235-A，外壳采用8mm钢板，转子外壳采用8mm钢板，隔板采用6mm钢板，内壳采用10mm钢板制作，22料格，八道喷淋，喷淋方式采用本格循环，新鲜溶剂补充采用虹吸大喷淋。现场组装。变频调速。喷淋系统根据甲方要求在原来的基础上增加一套。</w:t>
                  </w:r>
                </w:p>
              </w:tc>
            </w:tr>
            <w:tr w14:paraId="0FCE59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1D31BDF">
                  <w:pPr>
                    <w:widowControl/>
                    <w:jc w:val="center"/>
                    <w:textAlignment w:val="center"/>
                    <w:rPr>
                      <w:bCs/>
                      <w:color w:val="auto"/>
                      <w:kern w:val="0"/>
                      <w:szCs w:val="21"/>
                      <w:highlight w:val="none"/>
                      <w:lang w:bidi="ar"/>
                    </w:rPr>
                  </w:pPr>
                  <w:r>
                    <w:rPr>
                      <w:rFonts w:hint="eastAsia"/>
                      <w:bCs/>
                      <w:color w:val="auto"/>
                      <w:kern w:val="0"/>
                      <w:szCs w:val="21"/>
                      <w:highlight w:val="none"/>
                      <w:lang w:bidi="ar"/>
                    </w:rPr>
                    <w:t>6</w:t>
                  </w:r>
                </w:p>
              </w:tc>
              <w:tc>
                <w:tcPr>
                  <w:tcW w:w="316" w:type="pct"/>
                  <w:tcBorders>
                    <w:tl2br w:val="nil"/>
                    <w:tr2bl w:val="nil"/>
                  </w:tcBorders>
                  <w:vAlign w:val="center"/>
                </w:tcPr>
                <w:p w14:paraId="0FD2644D">
                  <w:pPr>
                    <w:widowControl/>
                    <w:jc w:val="center"/>
                    <w:textAlignment w:val="center"/>
                    <w:rPr>
                      <w:bCs/>
                      <w:color w:val="auto"/>
                      <w:kern w:val="0"/>
                      <w:szCs w:val="21"/>
                      <w:highlight w:val="none"/>
                      <w:lang w:bidi="ar"/>
                    </w:rPr>
                  </w:pPr>
                  <w:r>
                    <w:rPr>
                      <w:rFonts w:hint="eastAsia"/>
                      <w:bCs/>
                      <w:color w:val="auto"/>
                      <w:kern w:val="0"/>
                      <w:szCs w:val="21"/>
                      <w:highlight w:val="none"/>
                      <w:lang w:bidi="ar"/>
                    </w:rPr>
                    <w:t>J06</w:t>
                  </w:r>
                </w:p>
              </w:tc>
              <w:tc>
                <w:tcPr>
                  <w:tcW w:w="612" w:type="pct"/>
                  <w:tcBorders>
                    <w:tl2br w:val="nil"/>
                    <w:tr2bl w:val="nil"/>
                  </w:tcBorders>
                  <w:vAlign w:val="center"/>
                </w:tcPr>
                <w:p w14:paraId="3AF625CA">
                  <w:pPr>
                    <w:widowControl/>
                    <w:jc w:val="center"/>
                    <w:textAlignment w:val="center"/>
                    <w:rPr>
                      <w:bCs/>
                      <w:color w:val="auto"/>
                      <w:kern w:val="0"/>
                      <w:szCs w:val="21"/>
                      <w:highlight w:val="none"/>
                      <w:lang w:bidi="ar"/>
                    </w:rPr>
                  </w:pPr>
                  <w:r>
                    <w:rPr>
                      <w:rFonts w:hint="eastAsia"/>
                      <w:bCs/>
                      <w:color w:val="auto"/>
                      <w:kern w:val="0"/>
                      <w:szCs w:val="21"/>
                      <w:highlight w:val="none"/>
                      <w:lang w:bidi="ar"/>
                    </w:rPr>
                    <w:t>湿粕埋刮板</w:t>
                  </w:r>
                </w:p>
              </w:tc>
              <w:tc>
                <w:tcPr>
                  <w:tcW w:w="527" w:type="pct"/>
                  <w:tcBorders>
                    <w:tl2br w:val="nil"/>
                    <w:tr2bl w:val="nil"/>
                  </w:tcBorders>
                  <w:vAlign w:val="center"/>
                </w:tcPr>
                <w:p w14:paraId="4011E812">
                  <w:pPr>
                    <w:widowControl/>
                    <w:jc w:val="center"/>
                    <w:textAlignment w:val="center"/>
                    <w:rPr>
                      <w:bCs/>
                      <w:color w:val="auto"/>
                      <w:kern w:val="0"/>
                      <w:szCs w:val="21"/>
                      <w:highlight w:val="none"/>
                      <w:lang w:bidi="ar"/>
                    </w:rPr>
                  </w:pPr>
                  <w:r>
                    <w:rPr>
                      <w:rFonts w:hint="eastAsia"/>
                      <w:bCs/>
                      <w:color w:val="auto"/>
                      <w:kern w:val="0"/>
                      <w:szCs w:val="21"/>
                      <w:highlight w:val="none"/>
                      <w:lang w:bidi="ar"/>
                    </w:rPr>
                    <w:t>MC40</w:t>
                  </w:r>
                </w:p>
              </w:tc>
              <w:tc>
                <w:tcPr>
                  <w:tcW w:w="408" w:type="pct"/>
                  <w:tcBorders>
                    <w:tl2br w:val="nil"/>
                    <w:tr2bl w:val="nil"/>
                  </w:tcBorders>
                  <w:vAlign w:val="center"/>
                </w:tcPr>
                <w:p w14:paraId="19D1BE6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7BF73D39">
                  <w:pPr>
                    <w:widowControl/>
                    <w:jc w:val="center"/>
                    <w:textAlignment w:val="center"/>
                    <w:rPr>
                      <w:bCs/>
                      <w:color w:val="auto"/>
                      <w:kern w:val="0"/>
                      <w:szCs w:val="21"/>
                      <w:highlight w:val="none"/>
                      <w:lang w:bidi="ar"/>
                    </w:rPr>
                  </w:pPr>
                  <w:r>
                    <w:rPr>
                      <w:rFonts w:hint="eastAsia"/>
                      <w:bCs/>
                      <w:color w:val="auto"/>
                      <w:kern w:val="0"/>
                      <w:szCs w:val="21"/>
                      <w:highlight w:val="none"/>
                      <w:lang w:bidi="ar"/>
                    </w:rPr>
                    <w:t>11.0</w:t>
                  </w:r>
                </w:p>
              </w:tc>
              <w:tc>
                <w:tcPr>
                  <w:tcW w:w="636" w:type="pct"/>
                  <w:gridSpan w:val="2"/>
                  <w:tcBorders>
                    <w:tl2br w:val="nil"/>
                    <w:tr2bl w:val="nil"/>
                  </w:tcBorders>
                  <w:vAlign w:val="center"/>
                </w:tcPr>
                <w:p w14:paraId="36E2511F">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47F7BC7">
                  <w:pPr>
                    <w:rPr>
                      <w:rStyle w:val="87"/>
                      <w:rFonts w:ascii="Times New Roman"/>
                      <w:color w:val="auto"/>
                      <w:sz w:val="21"/>
                      <w:szCs w:val="21"/>
                      <w:highlight w:val="none"/>
                    </w:rPr>
                  </w:pPr>
                  <w:r>
                    <w:rPr>
                      <w:rStyle w:val="87"/>
                      <w:rFonts w:ascii="Times New Roman"/>
                      <w:color w:val="auto"/>
                      <w:sz w:val="21"/>
                      <w:szCs w:val="21"/>
                      <w:highlight w:val="none"/>
                    </w:rPr>
                    <w:t>壳体碳钢，全部板厚8mm，链条采用铸钢U型链。圆柱钢销。变频调速。头轴密封不锈钢，减速机国茂硬齿面。</w:t>
                  </w:r>
                </w:p>
              </w:tc>
            </w:tr>
            <w:tr w14:paraId="070D0C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24D91982">
                  <w:pPr>
                    <w:widowControl/>
                    <w:jc w:val="center"/>
                    <w:textAlignment w:val="center"/>
                    <w:rPr>
                      <w:bCs/>
                      <w:color w:val="auto"/>
                      <w:kern w:val="0"/>
                      <w:szCs w:val="21"/>
                      <w:highlight w:val="none"/>
                      <w:lang w:bidi="ar"/>
                    </w:rPr>
                  </w:pPr>
                  <w:r>
                    <w:rPr>
                      <w:rFonts w:hint="eastAsia"/>
                      <w:bCs/>
                      <w:color w:val="auto"/>
                      <w:kern w:val="0"/>
                      <w:szCs w:val="21"/>
                      <w:highlight w:val="none"/>
                      <w:lang w:bidi="ar"/>
                    </w:rPr>
                    <w:t>7</w:t>
                  </w:r>
                </w:p>
              </w:tc>
              <w:tc>
                <w:tcPr>
                  <w:tcW w:w="316" w:type="pct"/>
                  <w:tcBorders>
                    <w:tl2br w:val="nil"/>
                    <w:tr2bl w:val="nil"/>
                  </w:tcBorders>
                  <w:vAlign w:val="center"/>
                </w:tcPr>
                <w:p w14:paraId="2D4544E7">
                  <w:pPr>
                    <w:widowControl/>
                    <w:jc w:val="center"/>
                    <w:textAlignment w:val="center"/>
                    <w:rPr>
                      <w:bCs/>
                      <w:color w:val="auto"/>
                      <w:kern w:val="0"/>
                      <w:szCs w:val="21"/>
                      <w:highlight w:val="none"/>
                      <w:lang w:bidi="ar"/>
                    </w:rPr>
                  </w:pPr>
                  <w:r>
                    <w:rPr>
                      <w:rFonts w:hint="eastAsia"/>
                      <w:bCs/>
                      <w:color w:val="auto"/>
                      <w:kern w:val="0"/>
                      <w:szCs w:val="21"/>
                      <w:highlight w:val="none"/>
                      <w:lang w:bidi="ar"/>
                    </w:rPr>
                    <w:t>J07</w:t>
                  </w:r>
                </w:p>
              </w:tc>
              <w:tc>
                <w:tcPr>
                  <w:tcW w:w="612" w:type="pct"/>
                  <w:tcBorders>
                    <w:tl2br w:val="nil"/>
                    <w:tr2bl w:val="nil"/>
                  </w:tcBorders>
                  <w:vAlign w:val="center"/>
                </w:tcPr>
                <w:p w14:paraId="488492B4">
                  <w:pPr>
                    <w:widowControl/>
                    <w:jc w:val="center"/>
                    <w:textAlignment w:val="center"/>
                    <w:rPr>
                      <w:bCs/>
                      <w:color w:val="auto"/>
                      <w:kern w:val="0"/>
                      <w:szCs w:val="21"/>
                      <w:highlight w:val="none"/>
                      <w:lang w:bidi="ar"/>
                    </w:rPr>
                  </w:pPr>
                  <w:r>
                    <w:rPr>
                      <w:rFonts w:hint="eastAsia"/>
                      <w:bCs/>
                      <w:color w:val="auto"/>
                      <w:kern w:val="0"/>
                      <w:szCs w:val="21"/>
                      <w:highlight w:val="none"/>
                      <w:lang w:bidi="ar"/>
                    </w:rPr>
                    <w:t>蒸脱机</w:t>
                  </w:r>
                </w:p>
              </w:tc>
              <w:tc>
                <w:tcPr>
                  <w:tcW w:w="527" w:type="pct"/>
                  <w:tcBorders>
                    <w:tl2br w:val="nil"/>
                    <w:tr2bl w:val="nil"/>
                  </w:tcBorders>
                  <w:vAlign w:val="center"/>
                </w:tcPr>
                <w:p w14:paraId="213ECF1D">
                  <w:pPr>
                    <w:widowControl/>
                    <w:jc w:val="center"/>
                    <w:textAlignment w:val="center"/>
                    <w:rPr>
                      <w:bCs/>
                      <w:color w:val="auto"/>
                      <w:kern w:val="0"/>
                      <w:szCs w:val="21"/>
                      <w:highlight w:val="none"/>
                      <w:lang w:bidi="ar"/>
                    </w:rPr>
                  </w:pPr>
                  <w:r>
                    <w:rPr>
                      <w:rFonts w:hint="eastAsia"/>
                      <w:bCs/>
                      <w:color w:val="auto"/>
                      <w:kern w:val="0"/>
                      <w:szCs w:val="21"/>
                      <w:highlight w:val="none"/>
                      <w:lang w:bidi="ar"/>
                    </w:rPr>
                    <w:t>DTDC310</w:t>
                  </w:r>
                </w:p>
              </w:tc>
              <w:tc>
                <w:tcPr>
                  <w:tcW w:w="408" w:type="pct"/>
                  <w:tcBorders>
                    <w:tl2br w:val="nil"/>
                    <w:tr2bl w:val="nil"/>
                  </w:tcBorders>
                  <w:vAlign w:val="center"/>
                </w:tcPr>
                <w:p w14:paraId="151497CD">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E1CFBB9">
                  <w:pPr>
                    <w:widowControl/>
                    <w:jc w:val="center"/>
                    <w:textAlignment w:val="center"/>
                    <w:rPr>
                      <w:bCs/>
                      <w:color w:val="auto"/>
                      <w:kern w:val="0"/>
                      <w:szCs w:val="21"/>
                      <w:highlight w:val="none"/>
                      <w:lang w:bidi="ar"/>
                    </w:rPr>
                  </w:pPr>
                  <w:r>
                    <w:rPr>
                      <w:rFonts w:hint="eastAsia"/>
                      <w:bCs/>
                      <w:color w:val="auto"/>
                      <w:kern w:val="0"/>
                      <w:szCs w:val="21"/>
                      <w:highlight w:val="none"/>
                      <w:lang w:bidi="ar"/>
                    </w:rPr>
                    <w:t>55.0</w:t>
                  </w:r>
                </w:p>
              </w:tc>
              <w:tc>
                <w:tcPr>
                  <w:tcW w:w="636" w:type="pct"/>
                  <w:gridSpan w:val="2"/>
                  <w:tcBorders>
                    <w:tl2br w:val="nil"/>
                    <w:tr2bl w:val="nil"/>
                  </w:tcBorders>
                  <w:vAlign w:val="center"/>
                </w:tcPr>
                <w:p w14:paraId="643BF471">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1B22A37">
                  <w:pPr>
                    <w:rPr>
                      <w:rStyle w:val="87"/>
                      <w:rFonts w:ascii="Times New Roman"/>
                      <w:color w:val="auto"/>
                      <w:sz w:val="21"/>
                      <w:szCs w:val="21"/>
                      <w:highlight w:val="none"/>
                    </w:rPr>
                  </w:pPr>
                  <w:r>
                    <w:rPr>
                      <w:rStyle w:val="87"/>
                      <w:rFonts w:ascii="Times New Roman"/>
                      <w:color w:val="auto"/>
                      <w:sz w:val="21"/>
                      <w:szCs w:val="21"/>
                      <w:highlight w:val="none"/>
                    </w:rPr>
                    <w:t>共七层。预脱段二层，透汽预脱盘一层，直接汽一层，一层烘干，二层冷却，脱溶捕集段直径3.5米。主材：Q235-A，壳体、下底板厚度10mm。上底板厚14mm，采用自动料门下料（料位可调、运转灵活、可靠）快开门，减速机用国茂立式硬齿面减速。弯型搅拌翅，对应料摆处加不锈钢板，料门、料摆、轴不锈钢，可拆卸式双密封结构。配中压风机。</w:t>
                  </w:r>
                </w:p>
              </w:tc>
            </w:tr>
            <w:tr w14:paraId="031BD6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61E814C">
                  <w:pPr>
                    <w:widowControl/>
                    <w:jc w:val="center"/>
                    <w:textAlignment w:val="center"/>
                    <w:rPr>
                      <w:bCs/>
                      <w:color w:val="auto"/>
                      <w:kern w:val="0"/>
                      <w:szCs w:val="21"/>
                      <w:highlight w:val="none"/>
                      <w:lang w:bidi="ar"/>
                    </w:rPr>
                  </w:pPr>
                  <w:r>
                    <w:rPr>
                      <w:rFonts w:hint="eastAsia"/>
                      <w:bCs/>
                      <w:color w:val="auto"/>
                      <w:kern w:val="0"/>
                      <w:szCs w:val="21"/>
                      <w:highlight w:val="none"/>
                      <w:lang w:bidi="ar"/>
                    </w:rPr>
                    <w:t>8</w:t>
                  </w:r>
                </w:p>
              </w:tc>
              <w:tc>
                <w:tcPr>
                  <w:tcW w:w="316" w:type="pct"/>
                  <w:tcBorders>
                    <w:tl2br w:val="nil"/>
                    <w:tr2bl w:val="nil"/>
                  </w:tcBorders>
                  <w:vAlign w:val="center"/>
                </w:tcPr>
                <w:p w14:paraId="45DB2940">
                  <w:pPr>
                    <w:widowControl/>
                    <w:jc w:val="center"/>
                    <w:textAlignment w:val="center"/>
                    <w:rPr>
                      <w:bCs/>
                      <w:color w:val="auto"/>
                      <w:kern w:val="0"/>
                      <w:szCs w:val="21"/>
                      <w:highlight w:val="none"/>
                      <w:lang w:bidi="ar"/>
                    </w:rPr>
                  </w:pPr>
                  <w:r>
                    <w:rPr>
                      <w:rFonts w:hint="eastAsia"/>
                      <w:bCs/>
                      <w:color w:val="auto"/>
                      <w:kern w:val="0"/>
                      <w:szCs w:val="21"/>
                      <w:highlight w:val="none"/>
                      <w:lang w:bidi="ar"/>
                    </w:rPr>
                    <w:t>J08</w:t>
                  </w:r>
                </w:p>
              </w:tc>
              <w:tc>
                <w:tcPr>
                  <w:tcW w:w="612" w:type="pct"/>
                  <w:tcBorders>
                    <w:tl2br w:val="nil"/>
                    <w:tr2bl w:val="nil"/>
                  </w:tcBorders>
                  <w:vAlign w:val="center"/>
                </w:tcPr>
                <w:p w14:paraId="248014A6">
                  <w:pPr>
                    <w:widowControl/>
                    <w:jc w:val="center"/>
                    <w:textAlignment w:val="center"/>
                    <w:rPr>
                      <w:bCs/>
                      <w:color w:val="auto"/>
                      <w:kern w:val="0"/>
                      <w:szCs w:val="21"/>
                      <w:highlight w:val="none"/>
                      <w:lang w:bidi="ar"/>
                    </w:rPr>
                  </w:pPr>
                  <w:r>
                    <w:rPr>
                      <w:rFonts w:hint="eastAsia"/>
                      <w:bCs/>
                      <w:color w:val="auto"/>
                      <w:kern w:val="0"/>
                      <w:szCs w:val="21"/>
                      <w:highlight w:val="none"/>
                      <w:lang w:bidi="ar"/>
                    </w:rPr>
                    <w:t>密封绞龙</w:t>
                  </w:r>
                </w:p>
              </w:tc>
              <w:tc>
                <w:tcPr>
                  <w:tcW w:w="527" w:type="pct"/>
                  <w:tcBorders>
                    <w:tl2br w:val="nil"/>
                    <w:tr2bl w:val="nil"/>
                  </w:tcBorders>
                  <w:vAlign w:val="center"/>
                </w:tcPr>
                <w:p w14:paraId="2D817E8B">
                  <w:pPr>
                    <w:widowControl/>
                    <w:jc w:val="center"/>
                    <w:textAlignment w:val="center"/>
                    <w:rPr>
                      <w:bCs/>
                      <w:color w:val="auto"/>
                      <w:kern w:val="0"/>
                      <w:szCs w:val="21"/>
                      <w:highlight w:val="none"/>
                      <w:lang w:bidi="ar"/>
                    </w:rPr>
                  </w:pPr>
                  <w:r>
                    <w:rPr>
                      <w:rFonts w:hint="eastAsia"/>
                      <w:bCs/>
                      <w:color w:val="auto"/>
                      <w:kern w:val="0"/>
                      <w:szCs w:val="21"/>
                      <w:highlight w:val="none"/>
                      <w:lang w:bidi="ar"/>
                    </w:rPr>
                    <w:t>XS32</w:t>
                  </w:r>
                </w:p>
              </w:tc>
              <w:tc>
                <w:tcPr>
                  <w:tcW w:w="408" w:type="pct"/>
                  <w:tcBorders>
                    <w:tl2br w:val="nil"/>
                    <w:tr2bl w:val="nil"/>
                  </w:tcBorders>
                  <w:vAlign w:val="center"/>
                </w:tcPr>
                <w:p w14:paraId="00AD38F3">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95EB7C3">
                  <w:pPr>
                    <w:widowControl/>
                    <w:jc w:val="center"/>
                    <w:textAlignment w:val="center"/>
                    <w:rPr>
                      <w:bCs/>
                      <w:color w:val="auto"/>
                      <w:kern w:val="0"/>
                      <w:szCs w:val="21"/>
                      <w:highlight w:val="none"/>
                      <w:lang w:bidi="ar"/>
                    </w:rPr>
                  </w:pPr>
                  <w:r>
                    <w:rPr>
                      <w:rFonts w:hint="eastAsia"/>
                      <w:bCs/>
                      <w:color w:val="auto"/>
                      <w:kern w:val="0"/>
                      <w:szCs w:val="21"/>
                      <w:highlight w:val="none"/>
                      <w:lang w:bidi="ar"/>
                    </w:rPr>
                    <w:t>5.5</w:t>
                  </w:r>
                </w:p>
              </w:tc>
              <w:tc>
                <w:tcPr>
                  <w:tcW w:w="636" w:type="pct"/>
                  <w:gridSpan w:val="2"/>
                  <w:tcBorders>
                    <w:tl2br w:val="nil"/>
                    <w:tr2bl w:val="nil"/>
                  </w:tcBorders>
                  <w:vAlign w:val="center"/>
                </w:tcPr>
                <w:p w14:paraId="1EA73AE6">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27226D0B">
                  <w:pPr>
                    <w:rPr>
                      <w:rStyle w:val="87"/>
                      <w:rFonts w:ascii="Times New Roman"/>
                      <w:color w:val="auto"/>
                      <w:sz w:val="21"/>
                      <w:szCs w:val="21"/>
                      <w:highlight w:val="none"/>
                    </w:rPr>
                  </w:pPr>
                  <w:r>
                    <w:rPr>
                      <w:rStyle w:val="87"/>
                      <w:rFonts w:ascii="Times New Roman"/>
                      <w:color w:val="auto"/>
                      <w:sz w:val="21"/>
                      <w:szCs w:val="21"/>
                      <w:highlight w:val="none"/>
                    </w:rPr>
                    <w:t>用料封防止浸出器内溶剂汽体泄漏，设置可调重力门，密封更加可靠,方便操作检修，主材：Q235-A，绞龙叶片不锈钢厚度6mm，重力门、绞龙轴不锈钢管。壳体厚12mm。</w:t>
                  </w:r>
                </w:p>
              </w:tc>
            </w:tr>
            <w:tr w14:paraId="1481BD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0670EEF">
                  <w:pPr>
                    <w:widowControl/>
                    <w:jc w:val="center"/>
                    <w:textAlignment w:val="center"/>
                    <w:rPr>
                      <w:bCs/>
                      <w:color w:val="auto"/>
                      <w:kern w:val="0"/>
                      <w:szCs w:val="21"/>
                      <w:highlight w:val="none"/>
                      <w:lang w:bidi="ar"/>
                    </w:rPr>
                  </w:pPr>
                  <w:r>
                    <w:rPr>
                      <w:rFonts w:hint="eastAsia"/>
                      <w:bCs/>
                      <w:color w:val="auto"/>
                      <w:kern w:val="0"/>
                      <w:szCs w:val="21"/>
                      <w:highlight w:val="none"/>
                      <w:lang w:bidi="ar"/>
                    </w:rPr>
                    <w:t>9</w:t>
                  </w:r>
                </w:p>
              </w:tc>
              <w:tc>
                <w:tcPr>
                  <w:tcW w:w="316" w:type="pct"/>
                  <w:tcBorders>
                    <w:tl2br w:val="nil"/>
                    <w:tr2bl w:val="nil"/>
                  </w:tcBorders>
                  <w:vAlign w:val="center"/>
                </w:tcPr>
                <w:p w14:paraId="12C0FE9B">
                  <w:pPr>
                    <w:widowControl/>
                    <w:jc w:val="center"/>
                    <w:textAlignment w:val="center"/>
                    <w:rPr>
                      <w:bCs/>
                      <w:color w:val="auto"/>
                      <w:kern w:val="0"/>
                      <w:szCs w:val="21"/>
                      <w:highlight w:val="none"/>
                      <w:lang w:bidi="ar"/>
                    </w:rPr>
                  </w:pPr>
                  <w:r>
                    <w:rPr>
                      <w:rFonts w:hint="eastAsia"/>
                      <w:bCs/>
                      <w:color w:val="auto"/>
                      <w:kern w:val="0"/>
                      <w:szCs w:val="21"/>
                      <w:highlight w:val="none"/>
                      <w:lang w:bidi="ar"/>
                    </w:rPr>
                    <w:t>J09</w:t>
                  </w:r>
                </w:p>
              </w:tc>
              <w:tc>
                <w:tcPr>
                  <w:tcW w:w="612" w:type="pct"/>
                  <w:tcBorders>
                    <w:tl2br w:val="nil"/>
                    <w:tr2bl w:val="nil"/>
                  </w:tcBorders>
                  <w:vAlign w:val="center"/>
                </w:tcPr>
                <w:p w14:paraId="38E15D47">
                  <w:pPr>
                    <w:widowControl/>
                    <w:jc w:val="center"/>
                    <w:textAlignment w:val="center"/>
                    <w:rPr>
                      <w:bCs/>
                      <w:color w:val="auto"/>
                      <w:kern w:val="0"/>
                      <w:szCs w:val="21"/>
                      <w:highlight w:val="none"/>
                      <w:lang w:bidi="ar"/>
                    </w:rPr>
                  </w:pPr>
                  <w:r>
                    <w:rPr>
                      <w:rFonts w:hint="eastAsia"/>
                      <w:bCs/>
                      <w:color w:val="auto"/>
                      <w:kern w:val="0"/>
                      <w:szCs w:val="21"/>
                      <w:highlight w:val="none"/>
                      <w:lang w:bidi="ar"/>
                    </w:rPr>
                    <w:t>湿式捕集器</w:t>
                  </w:r>
                </w:p>
              </w:tc>
              <w:tc>
                <w:tcPr>
                  <w:tcW w:w="527" w:type="pct"/>
                  <w:tcBorders>
                    <w:tl2br w:val="nil"/>
                    <w:tr2bl w:val="nil"/>
                  </w:tcBorders>
                  <w:vAlign w:val="center"/>
                </w:tcPr>
                <w:p w14:paraId="2444D9A0">
                  <w:pPr>
                    <w:widowControl/>
                    <w:jc w:val="center"/>
                    <w:textAlignment w:val="center"/>
                    <w:rPr>
                      <w:bCs/>
                      <w:color w:val="auto"/>
                      <w:kern w:val="0"/>
                      <w:szCs w:val="21"/>
                      <w:highlight w:val="none"/>
                      <w:lang w:bidi="ar"/>
                    </w:rPr>
                  </w:pPr>
                  <w:r>
                    <w:rPr>
                      <w:rFonts w:hint="eastAsia"/>
                      <w:bCs/>
                      <w:color w:val="auto"/>
                      <w:kern w:val="0"/>
                      <w:szCs w:val="21"/>
                      <w:highlight w:val="none"/>
                      <w:lang w:bidi="ar"/>
                    </w:rPr>
                    <w:t>PJ140</w:t>
                  </w:r>
                </w:p>
              </w:tc>
              <w:tc>
                <w:tcPr>
                  <w:tcW w:w="408" w:type="pct"/>
                  <w:tcBorders>
                    <w:tl2br w:val="nil"/>
                    <w:tr2bl w:val="nil"/>
                  </w:tcBorders>
                  <w:vAlign w:val="center"/>
                </w:tcPr>
                <w:p w14:paraId="2774DD75">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B24C78F">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A0CFA8A">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3D1391AB">
                  <w:pPr>
                    <w:rPr>
                      <w:rStyle w:val="87"/>
                      <w:rFonts w:ascii="Times New Roman"/>
                      <w:color w:val="auto"/>
                      <w:sz w:val="21"/>
                      <w:szCs w:val="21"/>
                      <w:highlight w:val="none"/>
                    </w:rPr>
                  </w:pPr>
                  <w:r>
                    <w:rPr>
                      <w:rStyle w:val="87"/>
                      <w:rFonts w:ascii="Times New Roman"/>
                      <w:color w:val="auto"/>
                      <w:sz w:val="21"/>
                      <w:szCs w:val="21"/>
                      <w:highlight w:val="none"/>
                    </w:rPr>
                    <w:t>用途：捕集蒸脱机二次蒸汽中的粕粉末，材质：不锈钢304。防堵不锈钢喷嘴，采用多次捕集。出水口管径加大，上进汽，侧出汽，配检查孔，观察视镜。</w:t>
                  </w:r>
                </w:p>
              </w:tc>
            </w:tr>
            <w:tr w14:paraId="4F0334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FC77ABE">
                  <w:pPr>
                    <w:widowControl/>
                    <w:jc w:val="center"/>
                    <w:textAlignment w:val="center"/>
                    <w:rPr>
                      <w:bCs/>
                      <w:color w:val="auto"/>
                      <w:kern w:val="0"/>
                      <w:szCs w:val="21"/>
                      <w:highlight w:val="none"/>
                      <w:lang w:bidi="ar"/>
                    </w:rPr>
                  </w:pPr>
                  <w:r>
                    <w:rPr>
                      <w:rFonts w:hint="eastAsia"/>
                      <w:bCs/>
                      <w:color w:val="auto"/>
                      <w:kern w:val="0"/>
                      <w:szCs w:val="21"/>
                      <w:highlight w:val="none"/>
                      <w:lang w:bidi="ar"/>
                    </w:rPr>
                    <w:t>10</w:t>
                  </w:r>
                </w:p>
              </w:tc>
              <w:tc>
                <w:tcPr>
                  <w:tcW w:w="316" w:type="pct"/>
                  <w:tcBorders>
                    <w:tl2br w:val="nil"/>
                    <w:tr2bl w:val="nil"/>
                  </w:tcBorders>
                  <w:vAlign w:val="center"/>
                </w:tcPr>
                <w:p w14:paraId="029A2DE0">
                  <w:pPr>
                    <w:widowControl/>
                    <w:jc w:val="center"/>
                    <w:textAlignment w:val="center"/>
                    <w:rPr>
                      <w:bCs/>
                      <w:color w:val="auto"/>
                      <w:kern w:val="0"/>
                      <w:szCs w:val="21"/>
                      <w:highlight w:val="none"/>
                      <w:lang w:bidi="ar"/>
                    </w:rPr>
                  </w:pPr>
                  <w:r>
                    <w:rPr>
                      <w:rFonts w:hint="eastAsia"/>
                      <w:bCs/>
                      <w:color w:val="auto"/>
                      <w:kern w:val="0"/>
                      <w:szCs w:val="21"/>
                      <w:highlight w:val="none"/>
                      <w:lang w:bidi="ar"/>
                    </w:rPr>
                    <w:t>J10</w:t>
                  </w:r>
                </w:p>
              </w:tc>
              <w:tc>
                <w:tcPr>
                  <w:tcW w:w="612" w:type="pct"/>
                  <w:tcBorders>
                    <w:tl2br w:val="nil"/>
                    <w:tr2bl w:val="nil"/>
                  </w:tcBorders>
                  <w:vAlign w:val="center"/>
                </w:tcPr>
                <w:p w14:paraId="283454D2">
                  <w:pPr>
                    <w:widowControl/>
                    <w:jc w:val="center"/>
                    <w:textAlignment w:val="center"/>
                    <w:rPr>
                      <w:bCs/>
                      <w:color w:val="auto"/>
                      <w:kern w:val="0"/>
                      <w:szCs w:val="21"/>
                      <w:highlight w:val="none"/>
                      <w:lang w:bidi="ar"/>
                    </w:rPr>
                  </w:pPr>
                  <w:r>
                    <w:rPr>
                      <w:rFonts w:hint="eastAsia"/>
                      <w:bCs/>
                      <w:color w:val="auto"/>
                      <w:kern w:val="0"/>
                      <w:szCs w:val="21"/>
                      <w:highlight w:val="none"/>
                      <w:lang w:bidi="ar"/>
                    </w:rPr>
                    <w:t>旋风捕集器</w:t>
                  </w:r>
                </w:p>
              </w:tc>
              <w:tc>
                <w:tcPr>
                  <w:tcW w:w="527" w:type="pct"/>
                  <w:tcBorders>
                    <w:tl2br w:val="nil"/>
                    <w:tr2bl w:val="nil"/>
                  </w:tcBorders>
                  <w:vAlign w:val="center"/>
                </w:tcPr>
                <w:p w14:paraId="091417AB">
                  <w:pPr>
                    <w:widowControl/>
                    <w:jc w:val="center"/>
                    <w:textAlignment w:val="center"/>
                    <w:rPr>
                      <w:bCs/>
                      <w:color w:val="auto"/>
                      <w:kern w:val="0"/>
                      <w:szCs w:val="21"/>
                      <w:highlight w:val="none"/>
                      <w:lang w:bidi="ar"/>
                    </w:rPr>
                  </w:pPr>
                  <w:r>
                    <w:rPr>
                      <w:rFonts w:hint="eastAsia"/>
                      <w:bCs/>
                      <w:color w:val="auto"/>
                      <w:kern w:val="0"/>
                      <w:szCs w:val="21"/>
                      <w:highlight w:val="none"/>
                      <w:lang w:bidi="ar"/>
                    </w:rPr>
                    <w:t>XL55-100</w:t>
                  </w:r>
                </w:p>
              </w:tc>
              <w:tc>
                <w:tcPr>
                  <w:tcW w:w="408" w:type="pct"/>
                  <w:tcBorders>
                    <w:tl2br w:val="nil"/>
                    <w:tr2bl w:val="nil"/>
                  </w:tcBorders>
                  <w:vAlign w:val="center"/>
                </w:tcPr>
                <w:p w14:paraId="0A13036A">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549" w:type="pct"/>
                  <w:tcBorders>
                    <w:tl2br w:val="nil"/>
                    <w:tr2bl w:val="nil"/>
                  </w:tcBorders>
                  <w:vAlign w:val="center"/>
                </w:tcPr>
                <w:p w14:paraId="1A7B97E2">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2FC1DBCF">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5B03B1B">
                  <w:pPr>
                    <w:rPr>
                      <w:rStyle w:val="87"/>
                      <w:rFonts w:ascii="Times New Roman"/>
                      <w:color w:val="auto"/>
                      <w:sz w:val="21"/>
                      <w:szCs w:val="21"/>
                      <w:highlight w:val="none"/>
                    </w:rPr>
                  </w:pPr>
                  <w:r>
                    <w:rPr>
                      <w:rStyle w:val="87"/>
                      <w:rFonts w:ascii="Times New Roman"/>
                      <w:color w:val="auto"/>
                      <w:sz w:val="21"/>
                      <w:szCs w:val="21"/>
                      <w:highlight w:val="none"/>
                    </w:rPr>
                    <w:t>捕集蒸脱机烘干、冷却层的粕粉末，主材：不锈钢304。配检查手孔。</w:t>
                  </w:r>
                </w:p>
              </w:tc>
            </w:tr>
            <w:tr w14:paraId="430984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27634715">
                  <w:pPr>
                    <w:widowControl/>
                    <w:jc w:val="center"/>
                    <w:textAlignment w:val="center"/>
                    <w:rPr>
                      <w:bCs/>
                      <w:color w:val="auto"/>
                      <w:kern w:val="0"/>
                      <w:szCs w:val="21"/>
                      <w:highlight w:val="none"/>
                      <w:lang w:bidi="ar"/>
                    </w:rPr>
                  </w:pPr>
                  <w:r>
                    <w:rPr>
                      <w:rFonts w:hint="eastAsia"/>
                      <w:bCs/>
                      <w:color w:val="auto"/>
                      <w:kern w:val="0"/>
                      <w:szCs w:val="21"/>
                      <w:highlight w:val="none"/>
                      <w:lang w:bidi="ar"/>
                    </w:rPr>
                    <w:t>11</w:t>
                  </w:r>
                </w:p>
              </w:tc>
              <w:tc>
                <w:tcPr>
                  <w:tcW w:w="316" w:type="pct"/>
                  <w:tcBorders>
                    <w:tl2br w:val="nil"/>
                    <w:tr2bl w:val="nil"/>
                  </w:tcBorders>
                  <w:vAlign w:val="center"/>
                </w:tcPr>
                <w:p w14:paraId="102F5A53">
                  <w:pPr>
                    <w:widowControl/>
                    <w:jc w:val="center"/>
                    <w:textAlignment w:val="center"/>
                    <w:rPr>
                      <w:bCs/>
                      <w:color w:val="auto"/>
                      <w:kern w:val="0"/>
                      <w:szCs w:val="21"/>
                      <w:highlight w:val="none"/>
                      <w:lang w:bidi="ar"/>
                    </w:rPr>
                  </w:pPr>
                  <w:r>
                    <w:rPr>
                      <w:rFonts w:hint="eastAsia"/>
                      <w:bCs/>
                      <w:color w:val="auto"/>
                      <w:kern w:val="0"/>
                      <w:szCs w:val="21"/>
                      <w:highlight w:val="none"/>
                      <w:lang w:bidi="ar"/>
                    </w:rPr>
                    <w:t>J11</w:t>
                  </w:r>
                </w:p>
              </w:tc>
              <w:tc>
                <w:tcPr>
                  <w:tcW w:w="612" w:type="pct"/>
                  <w:tcBorders>
                    <w:tl2br w:val="nil"/>
                    <w:tr2bl w:val="nil"/>
                  </w:tcBorders>
                  <w:vAlign w:val="center"/>
                </w:tcPr>
                <w:p w14:paraId="5DE30A61">
                  <w:pPr>
                    <w:widowControl/>
                    <w:jc w:val="center"/>
                    <w:textAlignment w:val="center"/>
                    <w:rPr>
                      <w:bCs/>
                      <w:color w:val="auto"/>
                      <w:kern w:val="0"/>
                      <w:szCs w:val="21"/>
                      <w:highlight w:val="none"/>
                      <w:lang w:bidi="ar"/>
                    </w:rPr>
                  </w:pPr>
                  <w:r>
                    <w:rPr>
                      <w:rFonts w:hint="eastAsia"/>
                      <w:bCs/>
                      <w:color w:val="auto"/>
                      <w:kern w:val="0"/>
                      <w:szCs w:val="21"/>
                      <w:highlight w:val="none"/>
                      <w:lang w:bidi="ar"/>
                    </w:rPr>
                    <w:t>水环真空泵</w:t>
                  </w:r>
                </w:p>
              </w:tc>
              <w:tc>
                <w:tcPr>
                  <w:tcW w:w="527" w:type="pct"/>
                  <w:tcBorders>
                    <w:tl2br w:val="nil"/>
                    <w:tr2bl w:val="nil"/>
                  </w:tcBorders>
                  <w:vAlign w:val="center"/>
                </w:tcPr>
                <w:p w14:paraId="157D9B9B">
                  <w:pPr>
                    <w:widowControl/>
                    <w:jc w:val="center"/>
                    <w:textAlignment w:val="center"/>
                    <w:rPr>
                      <w:bCs/>
                      <w:color w:val="auto"/>
                      <w:kern w:val="0"/>
                      <w:szCs w:val="21"/>
                      <w:highlight w:val="none"/>
                      <w:lang w:bidi="ar"/>
                    </w:rPr>
                  </w:pPr>
                  <w:r>
                    <w:rPr>
                      <w:rFonts w:hint="eastAsia"/>
                      <w:bCs/>
                      <w:color w:val="auto"/>
                      <w:kern w:val="0"/>
                      <w:szCs w:val="21"/>
                      <w:highlight w:val="none"/>
                      <w:lang w:bidi="ar"/>
                    </w:rPr>
                    <w:t>2BV213</w:t>
                  </w:r>
                </w:p>
              </w:tc>
              <w:tc>
                <w:tcPr>
                  <w:tcW w:w="408" w:type="pct"/>
                  <w:tcBorders>
                    <w:tl2br w:val="nil"/>
                    <w:tr2bl w:val="nil"/>
                  </w:tcBorders>
                  <w:vAlign w:val="center"/>
                </w:tcPr>
                <w:p w14:paraId="2971F4F7">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C588D4F">
                  <w:pPr>
                    <w:widowControl/>
                    <w:jc w:val="center"/>
                    <w:textAlignment w:val="center"/>
                    <w:rPr>
                      <w:bCs/>
                      <w:color w:val="auto"/>
                      <w:kern w:val="0"/>
                      <w:szCs w:val="21"/>
                      <w:highlight w:val="none"/>
                      <w:lang w:bidi="ar"/>
                    </w:rPr>
                  </w:pPr>
                  <w:r>
                    <w:rPr>
                      <w:rFonts w:hint="eastAsia"/>
                      <w:bCs/>
                      <w:color w:val="auto"/>
                      <w:kern w:val="0"/>
                      <w:szCs w:val="21"/>
                      <w:highlight w:val="none"/>
                      <w:lang w:bidi="ar"/>
                    </w:rPr>
                    <w:t>5.5</w:t>
                  </w:r>
                </w:p>
              </w:tc>
              <w:tc>
                <w:tcPr>
                  <w:tcW w:w="636" w:type="pct"/>
                  <w:gridSpan w:val="2"/>
                  <w:tcBorders>
                    <w:tl2br w:val="nil"/>
                    <w:tr2bl w:val="nil"/>
                  </w:tcBorders>
                  <w:vAlign w:val="center"/>
                </w:tcPr>
                <w:p w14:paraId="2F9059E8">
                  <w:pPr>
                    <w:widowControl/>
                    <w:jc w:val="center"/>
                    <w:textAlignment w:val="center"/>
                    <w:rPr>
                      <w:bCs/>
                      <w:color w:val="auto"/>
                      <w:kern w:val="0"/>
                      <w:szCs w:val="21"/>
                      <w:highlight w:val="none"/>
                      <w:lang w:bidi="ar"/>
                    </w:rPr>
                  </w:pPr>
                  <w:r>
                    <w:rPr>
                      <w:rFonts w:hint="eastAsia"/>
                      <w:bCs/>
                      <w:color w:val="auto"/>
                      <w:kern w:val="0"/>
                      <w:szCs w:val="21"/>
                      <w:highlight w:val="none"/>
                      <w:lang w:bidi="ar"/>
                    </w:rPr>
                    <w:t>山东或等同</w:t>
                  </w:r>
                </w:p>
              </w:tc>
              <w:tc>
                <w:tcPr>
                  <w:tcW w:w="1763" w:type="pct"/>
                  <w:tcBorders>
                    <w:tl2br w:val="nil"/>
                    <w:tr2bl w:val="nil"/>
                  </w:tcBorders>
                  <w:vAlign w:val="center"/>
                </w:tcPr>
                <w:p w14:paraId="0CE1ED6B">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蒸发系统真空，防爆变频电机便于负压操作控制</w:t>
                  </w:r>
                  <w:r>
                    <w:rPr>
                      <w:rFonts w:hint="eastAsia"/>
                      <w:color w:val="auto"/>
                      <w:lang w:eastAsia="zh-CN"/>
                    </w:rPr>
                    <w:t>。</w:t>
                  </w:r>
                </w:p>
              </w:tc>
            </w:tr>
            <w:tr w14:paraId="3CC52E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29ABC88">
                  <w:pPr>
                    <w:widowControl/>
                    <w:jc w:val="center"/>
                    <w:textAlignment w:val="center"/>
                    <w:rPr>
                      <w:bCs/>
                      <w:color w:val="auto"/>
                      <w:kern w:val="0"/>
                      <w:szCs w:val="21"/>
                      <w:highlight w:val="none"/>
                      <w:lang w:bidi="ar"/>
                    </w:rPr>
                  </w:pPr>
                  <w:r>
                    <w:rPr>
                      <w:rFonts w:hint="eastAsia"/>
                      <w:bCs/>
                      <w:color w:val="auto"/>
                      <w:kern w:val="0"/>
                      <w:szCs w:val="21"/>
                      <w:highlight w:val="none"/>
                      <w:lang w:bidi="ar"/>
                    </w:rPr>
                    <w:t>12</w:t>
                  </w:r>
                </w:p>
              </w:tc>
              <w:tc>
                <w:tcPr>
                  <w:tcW w:w="316" w:type="pct"/>
                  <w:tcBorders>
                    <w:tl2br w:val="nil"/>
                    <w:tr2bl w:val="nil"/>
                  </w:tcBorders>
                  <w:vAlign w:val="center"/>
                </w:tcPr>
                <w:p w14:paraId="195215E1">
                  <w:pPr>
                    <w:widowControl/>
                    <w:jc w:val="center"/>
                    <w:textAlignment w:val="center"/>
                    <w:rPr>
                      <w:bCs/>
                      <w:color w:val="auto"/>
                      <w:kern w:val="0"/>
                      <w:szCs w:val="21"/>
                      <w:highlight w:val="none"/>
                      <w:lang w:bidi="ar"/>
                    </w:rPr>
                  </w:pPr>
                  <w:r>
                    <w:rPr>
                      <w:rFonts w:hint="eastAsia"/>
                      <w:bCs/>
                      <w:color w:val="auto"/>
                      <w:kern w:val="0"/>
                      <w:szCs w:val="21"/>
                      <w:highlight w:val="none"/>
                      <w:lang w:bidi="ar"/>
                    </w:rPr>
                    <w:t>J12</w:t>
                  </w:r>
                </w:p>
              </w:tc>
              <w:tc>
                <w:tcPr>
                  <w:tcW w:w="612" w:type="pct"/>
                  <w:tcBorders>
                    <w:tl2br w:val="nil"/>
                    <w:tr2bl w:val="nil"/>
                  </w:tcBorders>
                  <w:vAlign w:val="center"/>
                </w:tcPr>
                <w:p w14:paraId="23FF8785">
                  <w:pPr>
                    <w:widowControl/>
                    <w:jc w:val="center"/>
                    <w:textAlignment w:val="center"/>
                    <w:rPr>
                      <w:bCs/>
                      <w:color w:val="auto"/>
                      <w:kern w:val="0"/>
                      <w:szCs w:val="21"/>
                      <w:highlight w:val="none"/>
                      <w:lang w:bidi="ar"/>
                    </w:rPr>
                  </w:pPr>
                  <w:r>
                    <w:rPr>
                      <w:rFonts w:hint="eastAsia"/>
                      <w:bCs/>
                      <w:color w:val="auto"/>
                      <w:kern w:val="0"/>
                      <w:szCs w:val="21"/>
                      <w:highlight w:val="none"/>
                      <w:lang w:bidi="ar"/>
                    </w:rPr>
                    <w:t>风机</w:t>
                  </w:r>
                </w:p>
              </w:tc>
              <w:tc>
                <w:tcPr>
                  <w:tcW w:w="527" w:type="pct"/>
                  <w:tcBorders>
                    <w:tl2br w:val="nil"/>
                    <w:tr2bl w:val="nil"/>
                  </w:tcBorders>
                  <w:vAlign w:val="center"/>
                </w:tcPr>
                <w:p w14:paraId="03D0BEDC">
                  <w:pPr>
                    <w:widowControl/>
                    <w:jc w:val="center"/>
                    <w:textAlignment w:val="center"/>
                    <w:rPr>
                      <w:bCs/>
                      <w:color w:val="auto"/>
                      <w:kern w:val="0"/>
                      <w:szCs w:val="21"/>
                      <w:highlight w:val="none"/>
                      <w:lang w:bidi="ar"/>
                    </w:rPr>
                  </w:pPr>
                  <w:r>
                    <w:rPr>
                      <w:rFonts w:hint="eastAsia"/>
                      <w:bCs/>
                      <w:color w:val="auto"/>
                      <w:kern w:val="0"/>
                      <w:szCs w:val="21"/>
                      <w:highlight w:val="none"/>
                      <w:lang w:bidi="ar"/>
                    </w:rPr>
                    <w:t>9—26</w:t>
                  </w:r>
                </w:p>
              </w:tc>
              <w:tc>
                <w:tcPr>
                  <w:tcW w:w="408" w:type="pct"/>
                  <w:tcBorders>
                    <w:tl2br w:val="nil"/>
                    <w:tr2bl w:val="nil"/>
                  </w:tcBorders>
                  <w:vAlign w:val="center"/>
                </w:tcPr>
                <w:p w14:paraId="650975B3">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549" w:type="pct"/>
                  <w:tcBorders>
                    <w:tl2br w:val="nil"/>
                    <w:tr2bl w:val="nil"/>
                  </w:tcBorders>
                  <w:vAlign w:val="center"/>
                </w:tcPr>
                <w:p w14:paraId="4D6AD289">
                  <w:pPr>
                    <w:widowControl/>
                    <w:jc w:val="center"/>
                    <w:textAlignment w:val="center"/>
                    <w:rPr>
                      <w:bCs/>
                      <w:color w:val="auto"/>
                      <w:kern w:val="0"/>
                      <w:szCs w:val="21"/>
                      <w:highlight w:val="none"/>
                      <w:lang w:bidi="ar"/>
                    </w:rPr>
                  </w:pPr>
                  <w:r>
                    <w:rPr>
                      <w:rFonts w:hint="eastAsia"/>
                      <w:bCs/>
                      <w:color w:val="auto"/>
                      <w:kern w:val="0"/>
                      <w:szCs w:val="21"/>
                      <w:highlight w:val="none"/>
                      <w:lang w:bidi="ar"/>
                    </w:rPr>
                    <w:t>18.5</w:t>
                  </w:r>
                </w:p>
              </w:tc>
              <w:tc>
                <w:tcPr>
                  <w:tcW w:w="636" w:type="pct"/>
                  <w:gridSpan w:val="2"/>
                  <w:tcBorders>
                    <w:tl2br w:val="nil"/>
                    <w:tr2bl w:val="nil"/>
                  </w:tcBorders>
                  <w:vAlign w:val="center"/>
                </w:tcPr>
                <w:p w14:paraId="5CE70114">
                  <w:pPr>
                    <w:widowControl/>
                    <w:jc w:val="center"/>
                    <w:textAlignment w:val="center"/>
                    <w:rPr>
                      <w:bCs/>
                      <w:color w:val="auto"/>
                      <w:kern w:val="0"/>
                      <w:szCs w:val="21"/>
                      <w:highlight w:val="none"/>
                      <w:lang w:bidi="ar"/>
                    </w:rPr>
                  </w:pPr>
                  <w:r>
                    <w:rPr>
                      <w:rFonts w:hint="eastAsia"/>
                      <w:bCs/>
                      <w:color w:val="auto"/>
                      <w:kern w:val="0"/>
                      <w:szCs w:val="21"/>
                      <w:highlight w:val="none"/>
                      <w:lang w:bidi="ar"/>
                    </w:rPr>
                    <w:t>济南风机</w:t>
                  </w:r>
                </w:p>
                <w:p w14:paraId="3524FC8B">
                  <w:pPr>
                    <w:widowControl/>
                    <w:jc w:val="center"/>
                    <w:textAlignment w:val="center"/>
                    <w:rPr>
                      <w:bCs/>
                      <w:color w:val="auto"/>
                      <w:kern w:val="0"/>
                      <w:szCs w:val="21"/>
                      <w:highlight w:val="none"/>
                      <w:lang w:bidi="ar"/>
                    </w:rPr>
                  </w:pPr>
                  <w:r>
                    <w:rPr>
                      <w:rFonts w:hint="eastAsia"/>
                      <w:bCs/>
                      <w:color w:val="auto"/>
                      <w:kern w:val="0"/>
                      <w:szCs w:val="21"/>
                      <w:highlight w:val="none"/>
                      <w:lang w:bidi="ar"/>
                    </w:rPr>
                    <w:t>或等同</w:t>
                  </w:r>
                </w:p>
              </w:tc>
              <w:tc>
                <w:tcPr>
                  <w:tcW w:w="1763" w:type="pct"/>
                  <w:tcBorders>
                    <w:tl2br w:val="nil"/>
                    <w:tr2bl w:val="nil"/>
                  </w:tcBorders>
                  <w:vAlign w:val="center"/>
                </w:tcPr>
                <w:p w14:paraId="7A6CF7EB">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烘干、冷却层风机,全压5000pa,风量15000方/小时。电机防爆</w:t>
                  </w:r>
                  <w:r>
                    <w:rPr>
                      <w:rFonts w:hint="eastAsia"/>
                      <w:color w:val="auto"/>
                      <w:lang w:eastAsia="zh-CN"/>
                    </w:rPr>
                    <w:t>。</w:t>
                  </w:r>
                </w:p>
              </w:tc>
            </w:tr>
            <w:tr w14:paraId="59B267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84DE514">
                  <w:pPr>
                    <w:widowControl/>
                    <w:jc w:val="center"/>
                    <w:textAlignment w:val="center"/>
                    <w:rPr>
                      <w:bCs/>
                      <w:color w:val="auto"/>
                      <w:kern w:val="0"/>
                      <w:szCs w:val="21"/>
                      <w:highlight w:val="none"/>
                      <w:lang w:bidi="ar"/>
                    </w:rPr>
                  </w:pPr>
                  <w:r>
                    <w:rPr>
                      <w:rFonts w:hint="eastAsia"/>
                      <w:bCs/>
                      <w:color w:val="auto"/>
                      <w:kern w:val="0"/>
                      <w:szCs w:val="21"/>
                      <w:highlight w:val="none"/>
                      <w:lang w:bidi="ar"/>
                    </w:rPr>
                    <w:t>13</w:t>
                  </w:r>
                </w:p>
              </w:tc>
              <w:tc>
                <w:tcPr>
                  <w:tcW w:w="316" w:type="pct"/>
                  <w:tcBorders>
                    <w:tl2br w:val="nil"/>
                    <w:tr2bl w:val="nil"/>
                  </w:tcBorders>
                  <w:vAlign w:val="center"/>
                </w:tcPr>
                <w:p w14:paraId="594152C2">
                  <w:pPr>
                    <w:widowControl/>
                    <w:jc w:val="center"/>
                    <w:textAlignment w:val="center"/>
                    <w:rPr>
                      <w:bCs/>
                      <w:color w:val="auto"/>
                      <w:kern w:val="0"/>
                      <w:szCs w:val="21"/>
                      <w:highlight w:val="none"/>
                      <w:lang w:bidi="ar"/>
                    </w:rPr>
                  </w:pPr>
                  <w:r>
                    <w:rPr>
                      <w:rFonts w:hint="eastAsia"/>
                      <w:bCs/>
                      <w:color w:val="auto"/>
                      <w:kern w:val="0"/>
                      <w:szCs w:val="21"/>
                      <w:highlight w:val="none"/>
                      <w:lang w:bidi="ar"/>
                    </w:rPr>
                    <w:t>J13</w:t>
                  </w:r>
                </w:p>
              </w:tc>
              <w:tc>
                <w:tcPr>
                  <w:tcW w:w="612" w:type="pct"/>
                  <w:tcBorders>
                    <w:tl2br w:val="nil"/>
                    <w:tr2bl w:val="nil"/>
                  </w:tcBorders>
                  <w:vAlign w:val="center"/>
                </w:tcPr>
                <w:p w14:paraId="4B096EA0">
                  <w:pPr>
                    <w:widowControl/>
                    <w:jc w:val="center"/>
                    <w:textAlignment w:val="center"/>
                    <w:rPr>
                      <w:bCs/>
                      <w:color w:val="auto"/>
                      <w:kern w:val="0"/>
                      <w:szCs w:val="21"/>
                      <w:highlight w:val="none"/>
                      <w:lang w:bidi="ar"/>
                    </w:rPr>
                  </w:pPr>
                  <w:r>
                    <w:rPr>
                      <w:rFonts w:hint="eastAsia"/>
                      <w:bCs/>
                      <w:color w:val="auto"/>
                      <w:kern w:val="0"/>
                      <w:szCs w:val="21"/>
                      <w:highlight w:val="none"/>
                      <w:lang w:bidi="ar"/>
                    </w:rPr>
                    <w:t>真空泵</w:t>
                  </w:r>
                </w:p>
              </w:tc>
              <w:tc>
                <w:tcPr>
                  <w:tcW w:w="527" w:type="pct"/>
                  <w:tcBorders>
                    <w:tl2br w:val="nil"/>
                    <w:tr2bl w:val="nil"/>
                  </w:tcBorders>
                  <w:vAlign w:val="center"/>
                </w:tcPr>
                <w:p w14:paraId="31702DEF">
                  <w:pPr>
                    <w:widowControl/>
                    <w:jc w:val="center"/>
                    <w:textAlignment w:val="center"/>
                    <w:rPr>
                      <w:bCs/>
                      <w:color w:val="auto"/>
                      <w:kern w:val="0"/>
                      <w:szCs w:val="21"/>
                      <w:highlight w:val="none"/>
                      <w:lang w:bidi="ar"/>
                    </w:rPr>
                  </w:pPr>
                  <w:r>
                    <w:rPr>
                      <w:rFonts w:hint="eastAsia"/>
                      <w:bCs/>
                      <w:color w:val="auto"/>
                      <w:kern w:val="0"/>
                      <w:szCs w:val="21"/>
                      <w:highlight w:val="none"/>
                      <w:lang w:bidi="ar"/>
                    </w:rPr>
                    <w:t>2BV11</w:t>
                  </w:r>
                </w:p>
              </w:tc>
              <w:tc>
                <w:tcPr>
                  <w:tcW w:w="408" w:type="pct"/>
                  <w:tcBorders>
                    <w:tl2br w:val="nil"/>
                    <w:tr2bl w:val="nil"/>
                  </w:tcBorders>
                  <w:vAlign w:val="center"/>
                </w:tcPr>
                <w:p w14:paraId="6B49C4D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529122A4">
                  <w:pPr>
                    <w:widowControl/>
                    <w:jc w:val="center"/>
                    <w:textAlignment w:val="center"/>
                    <w:rPr>
                      <w:bCs/>
                      <w:color w:val="auto"/>
                      <w:kern w:val="0"/>
                      <w:szCs w:val="21"/>
                      <w:highlight w:val="none"/>
                      <w:lang w:bidi="ar"/>
                    </w:rPr>
                  </w:pPr>
                  <w:r>
                    <w:rPr>
                      <w:rFonts w:hint="eastAsia"/>
                      <w:bCs/>
                      <w:color w:val="auto"/>
                      <w:kern w:val="0"/>
                      <w:szCs w:val="21"/>
                      <w:highlight w:val="none"/>
                      <w:lang w:bidi="ar"/>
                    </w:rPr>
                    <w:t>4.0</w:t>
                  </w:r>
                </w:p>
              </w:tc>
              <w:tc>
                <w:tcPr>
                  <w:tcW w:w="636" w:type="pct"/>
                  <w:gridSpan w:val="2"/>
                  <w:tcBorders>
                    <w:tl2br w:val="nil"/>
                    <w:tr2bl w:val="nil"/>
                  </w:tcBorders>
                  <w:vAlign w:val="center"/>
                </w:tcPr>
                <w:p w14:paraId="6B0E653F">
                  <w:pPr>
                    <w:widowControl/>
                    <w:jc w:val="center"/>
                    <w:textAlignment w:val="center"/>
                    <w:rPr>
                      <w:bCs/>
                      <w:color w:val="auto"/>
                      <w:kern w:val="0"/>
                      <w:szCs w:val="21"/>
                      <w:highlight w:val="none"/>
                      <w:lang w:bidi="ar"/>
                    </w:rPr>
                  </w:pPr>
                  <w:r>
                    <w:rPr>
                      <w:rFonts w:hint="eastAsia"/>
                      <w:bCs/>
                      <w:color w:val="auto"/>
                      <w:kern w:val="0"/>
                      <w:szCs w:val="21"/>
                      <w:highlight w:val="none"/>
                      <w:lang w:bidi="ar"/>
                    </w:rPr>
                    <w:t>山东淄博</w:t>
                  </w:r>
                </w:p>
                <w:p w14:paraId="28E4120F">
                  <w:pPr>
                    <w:widowControl/>
                    <w:jc w:val="center"/>
                    <w:textAlignment w:val="center"/>
                    <w:rPr>
                      <w:bCs/>
                      <w:color w:val="auto"/>
                      <w:kern w:val="0"/>
                      <w:szCs w:val="21"/>
                      <w:highlight w:val="none"/>
                      <w:lang w:bidi="ar"/>
                    </w:rPr>
                  </w:pPr>
                  <w:r>
                    <w:rPr>
                      <w:rFonts w:hint="eastAsia"/>
                      <w:bCs/>
                      <w:color w:val="auto"/>
                      <w:kern w:val="0"/>
                      <w:szCs w:val="21"/>
                      <w:highlight w:val="none"/>
                      <w:lang w:bidi="ar"/>
                    </w:rPr>
                    <w:t>或等同</w:t>
                  </w:r>
                </w:p>
              </w:tc>
              <w:tc>
                <w:tcPr>
                  <w:tcW w:w="1763" w:type="pct"/>
                  <w:tcBorders>
                    <w:tl2br w:val="nil"/>
                    <w:tr2bl w:val="nil"/>
                  </w:tcBorders>
                  <w:vAlign w:val="center"/>
                </w:tcPr>
                <w:p w14:paraId="60BA125D">
                  <w:pPr>
                    <w:rPr>
                      <w:rStyle w:val="87"/>
                      <w:rFonts w:ascii="Times New Roman"/>
                      <w:color w:val="auto"/>
                      <w:sz w:val="21"/>
                      <w:szCs w:val="21"/>
                      <w:highlight w:val="none"/>
                    </w:rPr>
                  </w:pPr>
                  <w:r>
                    <w:rPr>
                      <w:rStyle w:val="87"/>
                      <w:rFonts w:ascii="Times New Roman"/>
                      <w:color w:val="auto"/>
                      <w:sz w:val="21"/>
                      <w:szCs w:val="21"/>
                      <w:highlight w:val="none"/>
                    </w:rPr>
                    <w:t>用途：毛油精提塔真空，材质：铸钢</w:t>
                  </w:r>
                  <w:r>
                    <w:rPr>
                      <w:rStyle w:val="87"/>
                      <w:rFonts w:hint="eastAsia"/>
                      <w:color w:val="auto"/>
                      <w:sz w:val="21"/>
                      <w:szCs w:val="21"/>
                      <w:highlight w:val="none"/>
                    </w:rPr>
                    <w:t>。</w:t>
                  </w:r>
                </w:p>
              </w:tc>
            </w:tr>
            <w:tr w14:paraId="5A87E3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56F092B">
                  <w:pPr>
                    <w:widowControl/>
                    <w:jc w:val="center"/>
                    <w:textAlignment w:val="center"/>
                    <w:rPr>
                      <w:bCs/>
                      <w:color w:val="auto"/>
                      <w:kern w:val="0"/>
                      <w:szCs w:val="21"/>
                      <w:highlight w:val="none"/>
                      <w:lang w:bidi="ar"/>
                    </w:rPr>
                  </w:pPr>
                  <w:r>
                    <w:rPr>
                      <w:rFonts w:hint="eastAsia"/>
                      <w:bCs/>
                      <w:color w:val="auto"/>
                      <w:kern w:val="0"/>
                      <w:szCs w:val="21"/>
                      <w:highlight w:val="none"/>
                      <w:lang w:bidi="ar"/>
                    </w:rPr>
                    <w:t>14</w:t>
                  </w:r>
                </w:p>
              </w:tc>
              <w:tc>
                <w:tcPr>
                  <w:tcW w:w="316" w:type="pct"/>
                  <w:tcBorders>
                    <w:tl2br w:val="nil"/>
                    <w:tr2bl w:val="nil"/>
                  </w:tcBorders>
                  <w:vAlign w:val="center"/>
                </w:tcPr>
                <w:p w14:paraId="62D4E2E6">
                  <w:pPr>
                    <w:widowControl/>
                    <w:jc w:val="center"/>
                    <w:textAlignment w:val="center"/>
                    <w:rPr>
                      <w:bCs/>
                      <w:color w:val="auto"/>
                      <w:kern w:val="0"/>
                      <w:szCs w:val="21"/>
                      <w:highlight w:val="none"/>
                      <w:lang w:bidi="ar"/>
                    </w:rPr>
                  </w:pPr>
                  <w:r>
                    <w:rPr>
                      <w:rFonts w:hint="eastAsia"/>
                      <w:bCs/>
                      <w:color w:val="auto"/>
                      <w:kern w:val="0"/>
                      <w:szCs w:val="21"/>
                      <w:highlight w:val="none"/>
                      <w:lang w:bidi="ar"/>
                    </w:rPr>
                    <w:t>J14</w:t>
                  </w:r>
                </w:p>
              </w:tc>
              <w:tc>
                <w:tcPr>
                  <w:tcW w:w="612" w:type="pct"/>
                  <w:tcBorders>
                    <w:tl2br w:val="nil"/>
                    <w:tr2bl w:val="nil"/>
                  </w:tcBorders>
                  <w:vAlign w:val="center"/>
                </w:tcPr>
                <w:p w14:paraId="522B9079">
                  <w:pPr>
                    <w:widowControl/>
                    <w:jc w:val="center"/>
                    <w:textAlignment w:val="center"/>
                    <w:rPr>
                      <w:bCs/>
                      <w:color w:val="auto"/>
                      <w:kern w:val="0"/>
                      <w:szCs w:val="21"/>
                      <w:highlight w:val="none"/>
                      <w:lang w:bidi="ar"/>
                    </w:rPr>
                  </w:pPr>
                  <w:r>
                    <w:rPr>
                      <w:rFonts w:hint="eastAsia"/>
                      <w:bCs/>
                      <w:color w:val="auto"/>
                      <w:kern w:val="0"/>
                      <w:szCs w:val="21"/>
                      <w:highlight w:val="none"/>
                      <w:lang w:bidi="ar"/>
                    </w:rPr>
                    <w:t>高速旋液混合油过滤器</w:t>
                  </w:r>
                </w:p>
              </w:tc>
              <w:tc>
                <w:tcPr>
                  <w:tcW w:w="527" w:type="pct"/>
                  <w:tcBorders>
                    <w:tl2br w:val="nil"/>
                    <w:tr2bl w:val="nil"/>
                  </w:tcBorders>
                  <w:vAlign w:val="center"/>
                </w:tcPr>
                <w:p w14:paraId="294F3736">
                  <w:pPr>
                    <w:widowControl/>
                    <w:jc w:val="center"/>
                    <w:textAlignment w:val="center"/>
                    <w:rPr>
                      <w:bCs/>
                      <w:color w:val="auto"/>
                      <w:kern w:val="0"/>
                      <w:szCs w:val="21"/>
                      <w:highlight w:val="none"/>
                      <w:lang w:bidi="ar"/>
                    </w:rPr>
                  </w:pPr>
                  <w:r>
                    <w:rPr>
                      <w:rFonts w:hint="eastAsia"/>
                      <w:bCs/>
                      <w:color w:val="auto"/>
                      <w:kern w:val="0"/>
                      <w:szCs w:val="21"/>
                      <w:highlight w:val="none"/>
                      <w:lang w:bidi="ar"/>
                    </w:rPr>
                    <w:t>GLQ60</w:t>
                  </w:r>
                </w:p>
              </w:tc>
              <w:tc>
                <w:tcPr>
                  <w:tcW w:w="408" w:type="pct"/>
                  <w:tcBorders>
                    <w:tl2br w:val="nil"/>
                    <w:tr2bl w:val="nil"/>
                  </w:tcBorders>
                  <w:vAlign w:val="center"/>
                </w:tcPr>
                <w:p w14:paraId="7693D80F">
                  <w:pPr>
                    <w:widowControl/>
                    <w:jc w:val="center"/>
                    <w:textAlignment w:val="center"/>
                    <w:rPr>
                      <w:bCs/>
                      <w:color w:val="auto"/>
                      <w:kern w:val="0"/>
                      <w:szCs w:val="21"/>
                      <w:highlight w:val="none"/>
                      <w:lang w:bidi="ar"/>
                    </w:rPr>
                  </w:pPr>
                  <w:r>
                    <w:rPr>
                      <w:rFonts w:hint="eastAsia"/>
                      <w:bCs/>
                      <w:color w:val="auto"/>
                      <w:kern w:val="0"/>
                      <w:szCs w:val="21"/>
                      <w:highlight w:val="none"/>
                      <w:lang w:bidi="ar"/>
                    </w:rPr>
                    <w:t>3</w:t>
                  </w:r>
                </w:p>
              </w:tc>
              <w:tc>
                <w:tcPr>
                  <w:tcW w:w="549" w:type="pct"/>
                  <w:tcBorders>
                    <w:tl2br w:val="nil"/>
                    <w:tr2bl w:val="nil"/>
                  </w:tcBorders>
                  <w:vAlign w:val="center"/>
                </w:tcPr>
                <w:p w14:paraId="43D78B5A">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4EFB7A7">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F9E796A">
                  <w:pPr>
                    <w:rPr>
                      <w:rStyle w:val="87"/>
                      <w:rFonts w:ascii="Times New Roman"/>
                      <w:color w:val="auto"/>
                      <w:sz w:val="21"/>
                      <w:szCs w:val="21"/>
                      <w:highlight w:val="none"/>
                    </w:rPr>
                  </w:pPr>
                  <w:r>
                    <w:rPr>
                      <w:rStyle w:val="87"/>
                      <w:rFonts w:ascii="Times New Roman"/>
                      <w:color w:val="auto"/>
                      <w:sz w:val="21"/>
                      <w:szCs w:val="21"/>
                      <w:highlight w:val="none"/>
                    </w:rPr>
                    <w:t>过滤浓混合油，主材：304不锈钢,  不锈钢锥体。</w:t>
                  </w:r>
                </w:p>
              </w:tc>
            </w:tr>
            <w:tr w14:paraId="79DCD7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4E05313">
                  <w:pPr>
                    <w:widowControl/>
                    <w:jc w:val="center"/>
                    <w:textAlignment w:val="center"/>
                    <w:rPr>
                      <w:bCs/>
                      <w:color w:val="auto"/>
                      <w:kern w:val="0"/>
                      <w:szCs w:val="21"/>
                      <w:highlight w:val="none"/>
                      <w:lang w:bidi="ar"/>
                    </w:rPr>
                  </w:pPr>
                  <w:r>
                    <w:rPr>
                      <w:rFonts w:hint="eastAsia"/>
                      <w:bCs/>
                      <w:color w:val="auto"/>
                      <w:kern w:val="0"/>
                      <w:szCs w:val="21"/>
                      <w:highlight w:val="none"/>
                      <w:lang w:bidi="ar"/>
                    </w:rPr>
                    <w:t>15</w:t>
                  </w:r>
                </w:p>
              </w:tc>
              <w:tc>
                <w:tcPr>
                  <w:tcW w:w="316" w:type="pct"/>
                  <w:tcBorders>
                    <w:tl2br w:val="nil"/>
                    <w:tr2bl w:val="nil"/>
                  </w:tcBorders>
                  <w:vAlign w:val="center"/>
                </w:tcPr>
                <w:p w14:paraId="7FD9DB79">
                  <w:pPr>
                    <w:widowControl/>
                    <w:jc w:val="center"/>
                    <w:textAlignment w:val="center"/>
                    <w:rPr>
                      <w:bCs/>
                      <w:color w:val="auto"/>
                      <w:kern w:val="0"/>
                      <w:szCs w:val="21"/>
                      <w:highlight w:val="none"/>
                      <w:lang w:bidi="ar"/>
                    </w:rPr>
                  </w:pPr>
                  <w:r>
                    <w:rPr>
                      <w:rFonts w:hint="eastAsia"/>
                      <w:bCs/>
                      <w:color w:val="auto"/>
                      <w:kern w:val="0"/>
                      <w:szCs w:val="21"/>
                      <w:highlight w:val="none"/>
                      <w:lang w:bidi="ar"/>
                    </w:rPr>
                    <w:t>J15</w:t>
                  </w:r>
                </w:p>
              </w:tc>
              <w:tc>
                <w:tcPr>
                  <w:tcW w:w="612" w:type="pct"/>
                  <w:tcBorders>
                    <w:tl2br w:val="nil"/>
                    <w:tr2bl w:val="nil"/>
                  </w:tcBorders>
                  <w:vAlign w:val="center"/>
                </w:tcPr>
                <w:p w14:paraId="0C174265">
                  <w:pPr>
                    <w:widowControl/>
                    <w:jc w:val="center"/>
                    <w:textAlignment w:val="center"/>
                    <w:rPr>
                      <w:bCs/>
                      <w:color w:val="auto"/>
                      <w:kern w:val="0"/>
                      <w:szCs w:val="21"/>
                      <w:highlight w:val="none"/>
                      <w:lang w:bidi="ar"/>
                    </w:rPr>
                  </w:pPr>
                  <w:r>
                    <w:rPr>
                      <w:rFonts w:hint="eastAsia"/>
                      <w:bCs/>
                      <w:color w:val="auto"/>
                      <w:kern w:val="0"/>
                      <w:szCs w:val="21"/>
                      <w:highlight w:val="none"/>
                      <w:lang w:bidi="ar"/>
                    </w:rPr>
                    <w:t>混合油罐</w:t>
                  </w:r>
                </w:p>
              </w:tc>
              <w:tc>
                <w:tcPr>
                  <w:tcW w:w="527" w:type="pct"/>
                  <w:tcBorders>
                    <w:tl2br w:val="nil"/>
                    <w:tr2bl w:val="nil"/>
                  </w:tcBorders>
                  <w:vAlign w:val="center"/>
                </w:tcPr>
                <w:p w14:paraId="548A5C67">
                  <w:pPr>
                    <w:widowControl/>
                    <w:jc w:val="center"/>
                    <w:textAlignment w:val="center"/>
                    <w:rPr>
                      <w:bCs/>
                      <w:color w:val="auto"/>
                      <w:kern w:val="0"/>
                      <w:szCs w:val="21"/>
                      <w:highlight w:val="none"/>
                      <w:lang w:bidi="ar"/>
                    </w:rPr>
                  </w:pPr>
                  <w:r>
                    <w:rPr>
                      <w:rFonts w:hint="eastAsia"/>
                      <w:bCs/>
                      <w:color w:val="auto"/>
                      <w:kern w:val="0"/>
                      <w:szCs w:val="21"/>
                      <w:highlight w:val="none"/>
                      <w:lang w:bidi="ar"/>
                    </w:rPr>
                    <w:t>GH140</w:t>
                  </w:r>
                </w:p>
              </w:tc>
              <w:tc>
                <w:tcPr>
                  <w:tcW w:w="408" w:type="pct"/>
                  <w:tcBorders>
                    <w:tl2br w:val="nil"/>
                    <w:tr2bl w:val="nil"/>
                  </w:tcBorders>
                  <w:vAlign w:val="center"/>
                </w:tcPr>
                <w:p w14:paraId="4462E92F">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549" w:type="pct"/>
                  <w:tcBorders>
                    <w:tl2br w:val="nil"/>
                    <w:tr2bl w:val="nil"/>
                  </w:tcBorders>
                  <w:vAlign w:val="center"/>
                </w:tcPr>
                <w:p w14:paraId="634CFACF">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D512B5F">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63C6C07">
                  <w:pPr>
                    <w:rPr>
                      <w:rStyle w:val="87"/>
                      <w:rFonts w:ascii="Times New Roman"/>
                      <w:color w:val="auto"/>
                      <w:sz w:val="21"/>
                      <w:szCs w:val="21"/>
                      <w:highlight w:val="none"/>
                    </w:rPr>
                  </w:pPr>
                  <w:r>
                    <w:rPr>
                      <w:rStyle w:val="87"/>
                      <w:rFonts w:ascii="Times New Roman"/>
                      <w:color w:val="auto"/>
                      <w:sz w:val="21"/>
                      <w:szCs w:val="21"/>
                      <w:highlight w:val="none"/>
                    </w:rPr>
                    <w:t>用途：暂存浓混合油, 稳定蒸发系统，采用切线旋液多次分离沉淀粉沫，主材：</w:t>
                  </w:r>
                  <w:r>
                    <w:rPr>
                      <w:rStyle w:val="87"/>
                      <w:rFonts w:hint="eastAsia" w:ascii="Times New Roman"/>
                      <w:color w:val="auto"/>
                      <w:sz w:val="21"/>
                      <w:szCs w:val="21"/>
                      <w:highlight w:val="none"/>
                    </w:rPr>
                    <w:t>碳</w:t>
                  </w:r>
                  <w:r>
                    <w:rPr>
                      <w:rStyle w:val="87"/>
                      <w:rFonts w:ascii="Times New Roman"/>
                      <w:color w:val="auto"/>
                      <w:sz w:val="21"/>
                      <w:szCs w:val="21"/>
                      <w:highlight w:val="none"/>
                    </w:rPr>
                    <w:t>钢。</w:t>
                  </w:r>
                </w:p>
              </w:tc>
            </w:tr>
            <w:tr w14:paraId="33DF7F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490B636">
                  <w:pPr>
                    <w:widowControl/>
                    <w:jc w:val="center"/>
                    <w:textAlignment w:val="center"/>
                    <w:rPr>
                      <w:bCs/>
                      <w:color w:val="auto"/>
                      <w:kern w:val="0"/>
                      <w:szCs w:val="21"/>
                      <w:highlight w:val="none"/>
                      <w:lang w:bidi="ar"/>
                    </w:rPr>
                  </w:pPr>
                  <w:r>
                    <w:rPr>
                      <w:rFonts w:hint="eastAsia"/>
                      <w:bCs/>
                      <w:color w:val="auto"/>
                      <w:kern w:val="0"/>
                      <w:szCs w:val="21"/>
                      <w:highlight w:val="none"/>
                      <w:lang w:bidi="ar"/>
                    </w:rPr>
                    <w:t>16</w:t>
                  </w:r>
                </w:p>
              </w:tc>
              <w:tc>
                <w:tcPr>
                  <w:tcW w:w="316" w:type="pct"/>
                  <w:tcBorders>
                    <w:tl2br w:val="nil"/>
                    <w:tr2bl w:val="nil"/>
                  </w:tcBorders>
                  <w:vAlign w:val="center"/>
                </w:tcPr>
                <w:p w14:paraId="19F8047E">
                  <w:pPr>
                    <w:widowControl/>
                    <w:jc w:val="center"/>
                    <w:textAlignment w:val="center"/>
                    <w:rPr>
                      <w:bCs/>
                      <w:color w:val="auto"/>
                      <w:kern w:val="0"/>
                      <w:szCs w:val="21"/>
                      <w:highlight w:val="none"/>
                      <w:lang w:bidi="ar"/>
                    </w:rPr>
                  </w:pPr>
                  <w:r>
                    <w:rPr>
                      <w:rFonts w:hint="eastAsia"/>
                      <w:bCs/>
                      <w:color w:val="auto"/>
                      <w:kern w:val="0"/>
                      <w:szCs w:val="21"/>
                      <w:highlight w:val="none"/>
                      <w:lang w:bidi="ar"/>
                    </w:rPr>
                    <w:t>J16</w:t>
                  </w:r>
                </w:p>
              </w:tc>
              <w:tc>
                <w:tcPr>
                  <w:tcW w:w="612" w:type="pct"/>
                  <w:tcBorders>
                    <w:tl2br w:val="nil"/>
                    <w:tr2bl w:val="nil"/>
                  </w:tcBorders>
                  <w:vAlign w:val="center"/>
                </w:tcPr>
                <w:p w14:paraId="1148895C">
                  <w:pPr>
                    <w:widowControl/>
                    <w:jc w:val="center"/>
                    <w:textAlignment w:val="center"/>
                    <w:rPr>
                      <w:bCs/>
                      <w:color w:val="auto"/>
                      <w:kern w:val="0"/>
                      <w:szCs w:val="21"/>
                      <w:highlight w:val="none"/>
                      <w:lang w:bidi="ar"/>
                    </w:rPr>
                  </w:pPr>
                  <w:r>
                    <w:rPr>
                      <w:rFonts w:hint="eastAsia"/>
                      <w:bCs/>
                      <w:color w:val="auto"/>
                      <w:kern w:val="0"/>
                      <w:szCs w:val="21"/>
                      <w:highlight w:val="none"/>
                      <w:lang w:bidi="ar"/>
                    </w:rPr>
                    <w:t>第一蒸发器</w:t>
                  </w:r>
                </w:p>
              </w:tc>
              <w:tc>
                <w:tcPr>
                  <w:tcW w:w="527" w:type="pct"/>
                  <w:tcBorders>
                    <w:tl2br w:val="nil"/>
                    <w:tr2bl w:val="nil"/>
                  </w:tcBorders>
                  <w:vAlign w:val="center"/>
                </w:tcPr>
                <w:p w14:paraId="327B380C">
                  <w:pPr>
                    <w:widowControl/>
                    <w:jc w:val="center"/>
                    <w:textAlignment w:val="center"/>
                    <w:rPr>
                      <w:bCs/>
                      <w:color w:val="auto"/>
                      <w:kern w:val="0"/>
                      <w:szCs w:val="21"/>
                      <w:highlight w:val="none"/>
                      <w:lang w:bidi="ar"/>
                    </w:rPr>
                  </w:pPr>
                  <w:r>
                    <w:rPr>
                      <w:rFonts w:hint="eastAsia"/>
                      <w:bCs/>
                      <w:color w:val="auto"/>
                      <w:kern w:val="0"/>
                      <w:szCs w:val="21"/>
                      <w:highlight w:val="none"/>
                      <w:lang w:bidi="ar"/>
                    </w:rPr>
                    <w:t>ZFQ160</w:t>
                  </w:r>
                </w:p>
              </w:tc>
              <w:tc>
                <w:tcPr>
                  <w:tcW w:w="408" w:type="pct"/>
                  <w:tcBorders>
                    <w:tl2br w:val="nil"/>
                    <w:tr2bl w:val="nil"/>
                  </w:tcBorders>
                  <w:vAlign w:val="center"/>
                </w:tcPr>
                <w:p w14:paraId="5EC1DEAE">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C356841">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4FC76C80">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CD9C10A">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利用蒸脱机二次蒸汽作为热源加热混合油</w:t>
                  </w:r>
                  <w:r>
                    <w:rPr>
                      <w:rStyle w:val="87"/>
                      <w:rFonts w:hint="eastAsia" w:ascii="Times New Roman"/>
                      <w:color w:val="auto"/>
                      <w:sz w:val="21"/>
                      <w:szCs w:val="21"/>
                      <w:highlight w:val="none"/>
                    </w:rPr>
                    <w:t>，</w:t>
                  </w:r>
                  <w:r>
                    <w:rPr>
                      <w:rStyle w:val="87"/>
                      <w:rFonts w:ascii="Times New Roman"/>
                      <w:color w:val="auto"/>
                      <w:sz w:val="21"/>
                      <w:szCs w:val="21"/>
                      <w:highlight w:val="none"/>
                    </w:rPr>
                    <w:t>节约能源，列管</w:t>
                  </w:r>
                  <w:r>
                    <w:rPr>
                      <w:rStyle w:val="87"/>
                      <w:rFonts w:hint="eastAsia" w:ascii="Times New Roman"/>
                      <w:color w:val="auto"/>
                      <w:sz w:val="21"/>
                      <w:szCs w:val="21"/>
                      <w:highlight w:val="none"/>
                    </w:rPr>
                    <w:t>：</w:t>
                  </w:r>
                  <w:r>
                    <w:rPr>
                      <w:rStyle w:val="87"/>
                      <w:rFonts w:ascii="Times New Roman"/>
                      <w:color w:val="auto"/>
                      <w:sz w:val="21"/>
                      <w:szCs w:val="21"/>
                      <w:highlight w:val="none"/>
                    </w:rPr>
                    <w:t>Φ32×2不锈钢管；管板隔板，不锈钢304。壳体</w:t>
                  </w:r>
                  <w:r>
                    <w:rPr>
                      <w:rStyle w:val="87"/>
                      <w:rFonts w:hint="eastAsia" w:ascii="Times New Roman"/>
                      <w:color w:val="auto"/>
                      <w:sz w:val="21"/>
                      <w:szCs w:val="21"/>
                      <w:highlight w:val="none"/>
                    </w:rPr>
                    <w:t>不锈钢</w:t>
                  </w:r>
                  <w:r>
                    <w:rPr>
                      <w:rStyle w:val="87"/>
                      <w:rFonts w:ascii="Times New Roman"/>
                      <w:color w:val="auto"/>
                      <w:sz w:val="21"/>
                      <w:szCs w:val="21"/>
                      <w:highlight w:val="none"/>
                    </w:rPr>
                    <w:t>厚6mm</w:t>
                  </w:r>
                  <w:r>
                    <w:rPr>
                      <w:rFonts w:hint="eastAsia"/>
                      <w:color w:val="auto"/>
                      <w:lang w:eastAsia="zh-CN"/>
                    </w:rPr>
                    <w:t>。</w:t>
                  </w:r>
                </w:p>
              </w:tc>
            </w:tr>
            <w:tr w14:paraId="55706A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52BA1C9E">
                  <w:pPr>
                    <w:widowControl/>
                    <w:jc w:val="center"/>
                    <w:textAlignment w:val="center"/>
                    <w:rPr>
                      <w:bCs/>
                      <w:color w:val="auto"/>
                      <w:kern w:val="0"/>
                      <w:szCs w:val="21"/>
                      <w:highlight w:val="none"/>
                      <w:lang w:bidi="ar"/>
                    </w:rPr>
                  </w:pPr>
                  <w:r>
                    <w:rPr>
                      <w:rFonts w:hint="eastAsia"/>
                      <w:bCs/>
                      <w:color w:val="auto"/>
                      <w:kern w:val="0"/>
                      <w:szCs w:val="21"/>
                      <w:highlight w:val="none"/>
                      <w:lang w:bidi="ar"/>
                    </w:rPr>
                    <w:t>17</w:t>
                  </w:r>
                </w:p>
              </w:tc>
              <w:tc>
                <w:tcPr>
                  <w:tcW w:w="316" w:type="pct"/>
                  <w:tcBorders>
                    <w:tl2br w:val="nil"/>
                    <w:tr2bl w:val="nil"/>
                  </w:tcBorders>
                  <w:vAlign w:val="center"/>
                </w:tcPr>
                <w:p w14:paraId="42647DA1">
                  <w:pPr>
                    <w:widowControl/>
                    <w:jc w:val="center"/>
                    <w:textAlignment w:val="center"/>
                    <w:rPr>
                      <w:bCs/>
                      <w:color w:val="auto"/>
                      <w:kern w:val="0"/>
                      <w:szCs w:val="21"/>
                      <w:highlight w:val="none"/>
                      <w:lang w:bidi="ar"/>
                    </w:rPr>
                  </w:pPr>
                  <w:r>
                    <w:rPr>
                      <w:rFonts w:hint="eastAsia"/>
                      <w:bCs/>
                      <w:color w:val="auto"/>
                      <w:kern w:val="0"/>
                      <w:szCs w:val="21"/>
                      <w:highlight w:val="none"/>
                      <w:lang w:bidi="ar"/>
                    </w:rPr>
                    <w:t>J17</w:t>
                  </w:r>
                </w:p>
              </w:tc>
              <w:tc>
                <w:tcPr>
                  <w:tcW w:w="612" w:type="pct"/>
                  <w:tcBorders>
                    <w:tl2br w:val="nil"/>
                    <w:tr2bl w:val="nil"/>
                  </w:tcBorders>
                  <w:vAlign w:val="center"/>
                </w:tcPr>
                <w:p w14:paraId="26B161DD">
                  <w:pPr>
                    <w:widowControl/>
                    <w:jc w:val="center"/>
                    <w:textAlignment w:val="center"/>
                    <w:rPr>
                      <w:bCs/>
                      <w:color w:val="auto"/>
                      <w:kern w:val="0"/>
                      <w:szCs w:val="21"/>
                      <w:highlight w:val="none"/>
                      <w:lang w:bidi="ar"/>
                    </w:rPr>
                  </w:pPr>
                  <w:r>
                    <w:rPr>
                      <w:rFonts w:hint="eastAsia"/>
                      <w:bCs/>
                      <w:color w:val="auto"/>
                      <w:kern w:val="0"/>
                      <w:szCs w:val="21"/>
                      <w:highlight w:val="none"/>
                      <w:lang w:bidi="ar"/>
                    </w:rPr>
                    <w:t>一蒸闪发器</w:t>
                  </w:r>
                </w:p>
              </w:tc>
              <w:tc>
                <w:tcPr>
                  <w:tcW w:w="527" w:type="pct"/>
                  <w:tcBorders>
                    <w:tl2br w:val="nil"/>
                    <w:tr2bl w:val="nil"/>
                  </w:tcBorders>
                  <w:vAlign w:val="center"/>
                </w:tcPr>
                <w:p w14:paraId="14A11A37">
                  <w:pPr>
                    <w:widowControl/>
                    <w:jc w:val="center"/>
                    <w:textAlignment w:val="center"/>
                    <w:rPr>
                      <w:bCs/>
                      <w:color w:val="auto"/>
                      <w:kern w:val="0"/>
                      <w:szCs w:val="21"/>
                      <w:highlight w:val="none"/>
                      <w:lang w:bidi="ar"/>
                    </w:rPr>
                  </w:pPr>
                  <w:r>
                    <w:rPr>
                      <w:rFonts w:hint="eastAsia"/>
                      <w:bCs/>
                      <w:color w:val="auto"/>
                      <w:kern w:val="0"/>
                      <w:szCs w:val="21"/>
                      <w:highlight w:val="none"/>
                      <w:lang w:bidi="ar"/>
                    </w:rPr>
                    <w:t>SFX190</w:t>
                  </w:r>
                </w:p>
              </w:tc>
              <w:tc>
                <w:tcPr>
                  <w:tcW w:w="408" w:type="pct"/>
                  <w:tcBorders>
                    <w:tl2br w:val="nil"/>
                    <w:tr2bl w:val="nil"/>
                  </w:tcBorders>
                  <w:vAlign w:val="center"/>
                </w:tcPr>
                <w:p w14:paraId="30E85655">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84A89B4">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1C84ADE6">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1D14886">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用途：溶剂汽与油分离，材质不锈钢304。厚6mm</w:t>
                  </w:r>
                  <w:r>
                    <w:rPr>
                      <w:rFonts w:hint="eastAsia"/>
                      <w:color w:val="auto"/>
                      <w:lang w:eastAsia="zh-CN"/>
                    </w:rPr>
                    <w:t>。</w:t>
                  </w:r>
                </w:p>
              </w:tc>
            </w:tr>
            <w:tr w14:paraId="0ADC90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232472B5">
                  <w:pPr>
                    <w:widowControl/>
                    <w:jc w:val="center"/>
                    <w:textAlignment w:val="center"/>
                    <w:rPr>
                      <w:bCs/>
                      <w:color w:val="auto"/>
                      <w:kern w:val="0"/>
                      <w:szCs w:val="21"/>
                      <w:highlight w:val="none"/>
                      <w:lang w:bidi="ar"/>
                    </w:rPr>
                  </w:pPr>
                  <w:r>
                    <w:rPr>
                      <w:rFonts w:hint="eastAsia"/>
                      <w:bCs/>
                      <w:color w:val="auto"/>
                      <w:kern w:val="0"/>
                      <w:szCs w:val="21"/>
                      <w:highlight w:val="none"/>
                      <w:lang w:bidi="ar"/>
                    </w:rPr>
                    <w:t>18</w:t>
                  </w:r>
                </w:p>
              </w:tc>
              <w:tc>
                <w:tcPr>
                  <w:tcW w:w="316" w:type="pct"/>
                  <w:tcBorders>
                    <w:tl2br w:val="nil"/>
                    <w:tr2bl w:val="nil"/>
                  </w:tcBorders>
                  <w:vAlign w:val="center"/>
                </w:tcPr>
                <w:p w14:paraId="388006FD">
                  <w:pPr>
                    <w:widowControl/>
                    <w:jc w:val="center"/>
                    <w:textAlignment w:val="center"/>
                    <w:rPr>
                      <w:bCs/>
                      <w:color w:val="auto"/>
                      <w:kern w:val="0"/>
                      <w:szCs w:val="21"/>
                      <w:highlight w:val="none"/>
                      <w:lang w:bidi="ar"/>
                    </w:rPr>
                  </w:pPr>
                  <w:r>
                    <w:rPr>
                      <w:rFonts w:hint="eastAsia"/>
                      <w:bCs/>
                      <w:color w:val="auto"/>
                      <w:kern w:val="0"/>
                      <w:szCs w:val="21"/>
                      <w:highlight w:val="none"/>
                      <w:lang w:bidi="ar"/>
                    </w:rPr>
                    <w:t>J18</w:t>
                  </w:r>
                </w:p>
              </w:tc>
              <w:tc>
                <w:tcPr>
                  <w:tcW w:w="612" w:type="pct"/>
                  <w:tcBorders>
                    <w:tl2br w:val="nil"/>
                    <w:tr2bl w:val="nil"/>
                  </w:tcBorders>
                  <w:vAlign w:val="center"/>
                </w:tcPr>
                <w:p w14:paraId="221C6089">
                  <w:pPr>
                    <w:widowControl/>
                    <w:jc w:val="center"/>
                    <w:textAlignment w:val="center"/>
                    <w:rPr>
                      <w:bCs/>
                      <w:color w:val="auto"/>
                      <w:kern w:val="0"/>
                      <w:szCs w:val="21"/>
                      <w:highlight w:val="none"/>
                      <w:lang w:bidi="ar"/>
                    </w:rPr>
                  </w:pPr>
                  <w:r>
                    <w:rPr>
                      <w:rFonts w:hint="eastAsia"/>
                      <w:bCs/>
                      <w:color w:val="auto"/>
                      <w:kern w:val="0"/>
                      <w:szCs w:val="21"/>
                      <w:highlight w:val="none"/>
                      <w:lang w:bidi="ar"/>
                    </w:rPr>
                    <w:t>第二蒸发器</w:t>
                  </w:r>
                </w:p>
              </w:tc>
              <w:tc>
                <w:tcPr>
                  <w:tcW w:w="527" w:type="pct"/>
                  <w:tcBorders>
                    <w:tl2br w:val="nil"/>
                    <w:tr2bl w:val="nil"/>
                  </w:tcBorders>
                  <w:vAlign w:val="center"/>
                </w:tcPr>
                <w:p w14:paraId="4CA8119C">
                  <w:pPr>
                    <w:widowControl/>
                    <w:jc w:val="center"/>
                    <w:textAlignment w:val="center"/>
                    <w:rPr>
                      <w:bCs/>
                      <w:color w:val="auto"/>
                      <w:kern w:val="0"/>
                      <w:szCs w:val="21"/>
                      <w:highlight w:val="none"/>
                      <w:lang w:bidi="ar"/>
                    </w:rPr>
                  </w:pPr>
                  <w:r>
                    <w:rPr>
                      <w:rFonts w:hint="eastAsia"/>
                      <w:bCs/>
                      <w:color w:val="auto"/>
                      <w:kern w:val="0"/>
                      <w:szCs w:val="21"/>
                      <w:highlight w:val="none"/>
                      <w:lang w:bidi="ar"/>
                    </w:rPr>
                    <w:t>ZFQ50</w:t>
                  </w:r>
                </w:p>
              </w:tc>
              <w:tc>
                <w:tcPr>
                  <w:tcW w:w="408" w:type="pct"/>
                  <w:tcBorders>
                    <w:tl2br w:val="nil"/>
                    <w:tr2bl w:val="nil"/>
                  </w:tcBorders>
                  <w:vAlign w:val="center"/>
                </w:tcPr>
                <w:p w14:paraId="4FDA2B46">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2097BA7C">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EA0F220">
                  <w:pPr>
                    <w:widowControl/>
                    <w:jc w:val="center"/>
                    <w:textAlignment w:val="center"/>
                    <w:rPr>
                      <w:bCs/>
                      <w:color w:val="auto"/>
                      <w:kern w:val="0"/>
                      <w:szCs w:val="21"/>
                      <w:highlight w:val="none"/>
                      <w:lang w:bidi="ar"/>
                    </w:rPr>
                  </w:pPr>
                  <w:r>
                    <w:rPr>
                      <w:rFonts w:hint="eastAsia"/>
                      <w:bCs/>
                      <w:color w:val="auto"/>
                      <w:kern w:val="0"/>
                      <w:szCs w:val="21"/>
                      <w:highlight w:val="none"/>
                      <w:lang w:bidi="ar"/>
                    </w:rPr>
                    <w:t>泰安昊正能源装备</w:t>
                  </w:r>
                </w:p>
              </w:tc>
              <w:tc>
                <w:tcPr>
                  <w:tcW w:w="1763" w:type="pct"/>
                  <w:tcBorders>
                    <w:tl2br w:val="nil"/>
                    <w:tr2bl w:val="nil"/>
                  </w:tcBorders>
                  <w:vAlign w:val="center"/>
                </w:tcPr>
                <w:p w14:paraId="1AF2D221">
                  <w:pPr>
                    <w:rPr>
                      <w:rStyle w:val="87"/>
                      <w:rFonts w:ascii="Times New Roman"/>
                      <w:color w:val="auto"/>
                      <w:sz w:val="21"/>
                      <w:szCs w:val="21"/>
                      <w:highlight w:val="none"/>
                    </w:rPr>
                  </w:pPr>
                  <w:r>
                    <w:rPr>
                      <w:rStyle w:val="87"/>
                      <w:rFonts w:ascii="Times New Roman"/>
                      <w:color w:val="auto"/>
                      <w:sz w:val="21"/>
                      <w:szCs w:val="21"/>
                      <w:highlight w:val="none"/>
                    </w:rPr>
                    <w:t>压力容器</w:t>
                  </w:r>
                  <w:r>
                    <w:rPr>
                      <w:rStyle w:val="87"/>
                      <w:rFonts w:hint="eastAsia" w:ascii="Times New Roman"/>
                      <w:color w:val="auto"/>
                      <w:sz w:val="21"/>
                      <w:szCs w:val="21"/>
                      <w:highlight w:val="none"/>
                    </w:rPr>
                    <w:t>，</w:t>
                  </w:r>
                  <w:r>
                    <w:rPr>
                      <w:rStyle w:val="87"/>
                      <w:rFonts w:ascii="Times New Roman"/>
                      <w:color w:val="auto"/>
                      <w:sz w:val="21"/>
                      <w:szCs w:val="21"/>
                      <w:highlight w:val="none"/>
                    </w:rPr>
                    <w:t>设计压力0.8mpa</w:t>
                  </w:r>
                  <w:r>
                    <w:rPr>
                      <w:rStyle w:val="87"/>
                      <w:rFonts w:hint="eastAsia" w:ascii="Times New Roman"/>
                      <w:color w:val="auto"/>
                      <w:sz w:val="21"/>
                      <w:szCs w:val="21"/>
                      <w:highlight w:val="none"/>
                    </w:rPr>
                    <w:t>，</w:t>
                  </w:r>
                  <w:r>
                    <w:rPr>
                      <w:rStyle w:val="87"/>
                      <w:rFonts w:ascii="Times New Roman"/>
                      <w:color w:val="auto"/>
                      <w:sz w:val="21"/>
                      <w:szCs w:val="21"/>
                      <w:highlight w:val="none"/>
                    </w:rPr>
                    <w:t>列管：Φ32×2不锈钢管</w:t>
                  </w:r>
                  <w:r>
                    <w:rPr>
                      <w:rStyle w:val="87"/>
                      <w:rFonts w:hint="eastAsia" w:ascii="Times New Roman"/>
                      <w:color w:val="auto"/>
                      <w:sz w:val="21"/>
                      <w:szCs w:val="21"/>
                      <w:highlight w:val="none"/>
                    </w:rPr>
                    <w:t>，</w:t>
                  </w:r>
                  <w:r>
                    <w:rPr>
                      <w:rStyle w:val="87"/>
                      <w:rFonts w:ascii="Times New Roman"/>
                      <w:color w:val="auto"/>
                      <w:sz w:val="21"/>
                      <w:szCs w:val="21"/>
                      <w:highlight w:val="none"/>
                    </w:rPr>
                    <w:t>壳体：Q235-B</w:t>
                  </w:r>
                  <w:r>
                    <w:rPr>
                      <w:rStyle w:val="87"/>
                      <w:rFonts w:hint="eastAsia" w:ascii="Times New Roman"/>
                      <w:color w:val="auto"/>
                      <w:sz w:val="21"/>
                      <w:szCs w:val="21"/>
                      <w:highlight w:val="none"/>
                    </w:rPr>
                    <w:t>，</w:t>
                  </w:r>
                  <w:r>
                    <w:rPr>
                      <w:rStyle w:val="87"/>
                      <w:rFonts w:ascii="Times New Roman"/>
                      <w:color w:val="auto"/>
                      <w:sz w:val="21"/>
                      <w:szCs w:val="21"/>
                      <w:highlight w:val="none"/>
                    </w:rPr>
                    <w:t>管板底座不锈钢</w:t>
                  </w:r>
                  <w:r>
                    <w:rPr>
                      <w:rStyle w:val="87"/>
                      <w:rFonts w:hint="eastAsia"/>
                      <w:color w:val="auto"/>
                      <w:sz w:val="21"/>
                      <w:szCs w:val="21"/>
                      <w:highlight w:val="none"/>
                    </w:rPr>
                    <w:t>。</w:t>
                  </w:r>
                  <w:r>
                    <w:rPr>
                      <w:rStyle w:val="87"/>
                      <w:rFonts w:ascii="Times New Roman"/>
                      <w:color w:val="auto"/>
                      <w:sz w:val="21"/>
                      <w:szCs w:val="21"/>
                      <w:highlight w:val="none"/>
                    </w:rPr>
                    <w:t xml:space="preserve">  </w:t>
                  </w:r>
                </w:p>
              </w:tc>
            </w:tr>
            <w:tr w14:paraId="7D98FC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8E0D9D2">
                  <w:pPr>
                    <w:widowControl/>
                    <w:jc w:val="center"/>
                    <w:textAlignment w:val="center"/>
                    <w:rPr>
                      <w:bCs/>
                      <w:color w:val="auto"/>
                      <w:kern w:val="0"/>
                      <w:szCs w:val="21"/>
                      <w:highlight w:val="none"/>
                      <w:lang w:bidi="ar"/>
                    </w:rPr>
                  </w:pPr>
                  <w:r>
                    <w:rPr>
                      <w:rFonts w:hint="eastAsia"/>
                      <w:bCs/>
                      <w:color w:val="auto"/>
                      <w:kern w:val="0"/>
                      <w:szCs w:val="21"/>
                      <w:highlight w:val="none"/>
                      <w:lang w:bidi="ar"/>
                    </w:rPr>
                    <w:t>19</w:t>
                  </w:r>
                </w:p>
              </w:tc>
              <w:tc>
                <w:tcPr>
                  <w:tcW w:w="316" w:type="pct"/>
                  <w:tcBorders>
                    <w:tl2br w:val="nil"/>
                    <w:tr2bl w:val="nil"/>
                  </w:tcBorders>
                  <w:vAlign w:val="center"/>
                </w:tcPr>
                <w:p w14:paraId="7BF42CF5">
                  <w:pPr>
                    <w:widowControl/>
                    <w:jc w:val="center"/>
                    <w:textAlignment w:val="center"/>
                    <w:rPr>
                      <w:bCs/>
                      <w:color w:val="auto"/>
                      <w:kern w:val="0"/>
                      <w:szCs w:val="21"/>
                      <w:highlight w:val="none"/>
                      <w:lang w:bidi="ar"/>
                    </w:rPr>
                  </w:pPr>
                  <w:r>
                    <w:rPr>
                      <w:rFonts w:hint="eastAsia"/>
                      <w:bCs/>
                      <w:color w:val="auto"/>
                      <w:kern w:val="0"/>
                      <w:szCs w:val="21"/>
                      <w:highlight w:val="none"/>
                      <w:lang w:bidi="ar"/>
                    </w:rPr>
                    <w:t>J19</w:t>
                  </w:r>
                </w:p>
              </w:tc>
              <w:tc>
                <w:tcPr>
                  <w:tcW w:w="612" w:type="pct"/>
                  <w:tcBorders>
                    <w:tl2br w:val="nil"/>
                    <w:tr2bl w:val="nil"/>
                  </w:tcBorders>
                  <w:vAlign w:val="center"/>
                </w:tcPr>
                <w:p w14:paraId="2B517DB1">
                  <w:pPr>
                    <w:widowControl/>
                    <w:jc w:val="center"/>
                    <w:textAlignment w:val="center"/>
                    <w:rPr>
                      <w:bCs/>
                      <w:color w:val="auto"/>
                      <w:kern w:val="0"/>
                      <w:szCs w:val="21"/>
                      <w:highlight w:val="none"/>
                      <w:lang w:bidi="ar"/>
                    </w:rPr>
                  </w:pPr>
                  <w:r>
                    <w:rPr>
                      <w:rFonts w:hint="eastAsia"/>
                      <w:bCs/>
                      <w:color w:val="auto"/>
                      <w:kern w:val="0"/>
                      <w:szCs w:val="21"/>
                      <w:highlight w:val="none"/>
                      <w:lang w:bidi="ar"/>
                    </w:rPr>
                    <w:t>二蒸闪发器</w:t>
                  </w:r>
                </w:p>
              </w:tc>
              <w:tc>
                <w:tcPr>
                  <w:tcW w:w="527" w:type="pct"/>
                  <w:tcBorders>
                    <w:tl2br w:val="nil"/>
                    <w:tr2bl w:val="nil"/>
                  </w:tcBorders>
                  <w:vAlign w:val="center"/>
                </w:tcPr>
                <w:p w14:paraId="7624A4AF">
                  <w:pPr>
                    <w:widowControl/>
                    <w:jc w:val="center"/>
                    <w:textAlignment w:val="center"/>
                    <w:rPr>
                      <w:bCs/>
                      <w:color w:val="auto"/>
                      <w:kern w:val="0"/>
                      <w:szCs w:val="21"/>
                      <w:highlight w:val="none"/>
                      <w:lang w:bidi="ar"/>
                    </w:rPr>
                  </w:pPr>
                  <w:r>
                    <w:rPr>
                      <w:rFonts w:hint="eastAsia"/>
                      <w:bCs/>
                      <w:color w:val="auto"/>
                      <w:kern w:val="0"/>
                      <w:szCs w:val="21"/>
                      <w:highlight w:val="none"/>
                      <w:lang w:bidi="ar"/>
                    </w:rPr>
                    <w:t>SFX120</w:t>
                  </w:r>
                </w:p>
              </w:tc>
              <w:tc>
                <w:tcPr>
                  <w:tcW w:w="408" w:type="pct"/>
                  <w:tcBorders>
                    <w:tl2br w:val="nil"/>
                    <w:tr2bl w:val="nil"/>
                  </w:tcBorders>
                  <w:vAlign w:val="center"/>
                </w:tcPr>
                <w:p w14:paraId="51FC0DDC">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23655F3E">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56BBB17">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E0A069D">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用途：溶剂汽与油分离，主材：不锈钢304，厚6mm</w:t>
                  </w:r>
                  <w:r>
                    <w:rPr>
                      <w:rFonts w:hint="eastAsia"/>
                      <w:color w:val="auto"/>
                      <w:lang w:eastAsia="zh-CN"/>
                    </w:rPr>
                    <w:t>。</w:t>
                  </w:r>
                </w:p>
              </w:tc>
            </w:tr>
            <w:tr w14:paraId="0ECEF2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7A890E0">
                  <w:pPr>
                    <w:widowControl/>
                    <w:jc w:val="center"/>
                    <w:textAlignment w:val="center"/>
                    <w:rPr>
                      <w:bCs/>
                      <w:color w:val="auto"/>
                      <w:kern w:val="0"/>
                      <w:szCs w:val="21"/>
                      <w:highlight w:val="none"/>
                      <w:lang w:bidi="ar"/>
                    </w:rPr>
                  </w:pPr>
                  <w:r>
                    <w:rPr>
                      <w:rFonts w:hint="eastAsia"/>
                      <w:bCs/>
                      <w:color w:val="auto"/>
                      <w:kern w:val="0"/>
                      <w:szCs w:val="21"/>
                      <w:highlight w:val="none"/>
                      <w:lang w:bidi="ar"/>
                    </w:rPr>
                    <w:t>20</w:t>
                  </w:r>
                </w:p>
              </w:tc>
              <w:tc>
                <w:tcPr>
                  <w:tcW w:w="316" w:type="pct"/>
                  <w:tcBorders>
                    <w:tl2br w:val="nil"/>
                    <w:tr2bl w:val="nil"/>
                  </w:tcBorders>
                  <w:vAlign w:val="center"/>
                </w:tcPr>
                <w:p w14:paraId="7D17874E">
                  <w:pPr>
                    <w:widowControl/>
                    <w:jc w:val="center"/>
                    <w:textAlignment w:val="center"/>
                    <w:rPr>
                      <w:bCs/>
                      <w:color w:val="auto"/>
                      <w:kern w:val="0"/>
                      <w:szCs w:val="21"/>
                      <w:highlight w:val="none"/>
                      <w:lang w:bidi="ar"/>
                    </w:rPr>
                  </w:pPr>
                  <w:r>
                    <w:rPr>
                      <w:rFonts w:hint="eastAsia"/>
                      <w:bCs/>
                      <w:color w:val="auto"/>
                      <w:kern w:val="0"/>
                      <w:szCs w:val="21"/>
                      <w:highlight w:val="none"/>
                      <w:lang w:bidi="ar"/>
                    </w:rPr>
                    <w:t>J20</w:t>
                  </w:r>
                </w:p>
              </w:tc>
              <w:tc>
                <w:tcPr>
                  <w:tcW w:w="612" w:type="pct"/>
                  <w:tcBorders>
                    <w:tl2br w:val="nil"/>
                    <w:tr2bl w:val="nil"/>
                  </w:tcBorders>
                  <w:vAlign w:val="center"/>
                </w:tcPr>
                <w:p w14:paraId="54879224">
                  <w:pPr>
                    <w:widowControl/>
                    <w:jc w:val="center"/>
                    <w:textAlignment w:val="center"/>
                    <w:rPr>
                      <w:bCs/>
                      <w:color w:val="auto"/>
                      <w:kern w:val="0"/>
                      <w:szCs w:val="21"/>
                      <w:highlight w:val="none"/>
                      <w:lang w:bidi="ar"/>
                    </w:rPr>
                  </w:pPr>
                  <w:r>
                    <w:rPr>
                      <w:rFonts w:hint="eastAsia"/>
                      <w:bCs/>
                      <w:color w:val="auto"/>
                      <w:kern w:val="0"/>
                      <w:szCs w:val="21"/>
                      <w:highlight w:val="none"/>
                      <w:lang w:bidi="ar"/>
                    </w:rPr>
                    <w:t>汽提塔</w:t>
                  </w:r>
                </w:p>
              </w:tc>
              <w:tc>
                <w:tcPr>
                  <w:tcW w:w="527" w:type="pct"/>
                  <w:tcBorders>
                    <w:tl2br w:val="nil"/>
                    <w:tr2bl w:val="nil"/>
                  </w:tcBorders>
                  <w:vAlign w:val="center"/>
                </w:tcPr>
                <w:p w14:paraId="653354F7">
                  <w:pPr>
                    <w:widowControl/>
                    <w:jc w:val="center"/>
                    <w:textAlignment w:val="center"/>
                    <w:rPr>
                      <w:bCs/>
                      <w:color w:val="auto"/>
                      <w:kern w:val="0"/>
                      <w:szCs w:val="21"/>
                      <w:highlight w:val="none"/>
                      <w:lang w:bidi="ar"/>
                    </w:rPr>
                  </w:pPr>
                  <w:r>
                    <w:rPr>
                      <w:rFonts w:hint="eastAsia"/>
                      <w:bCs/>
                      <w:color w:val="auto"/>
                      <w:kern w:val="0"/>
                      <w:szCs w:val="21"/>
                      <w:highlight w:val="none"/>
                      <w:lang w:bidi="ar"/>
                    </w:rPr>
                    <w:t>QTDT100</w:t>
                  </w:r>
                </w:p>
              </w:tc>
              <w:tc>
                <w:tcPr>
                  <w:tcW w:w="408" w:type="pct"/>
                  <w:tcBorders>
                    <w:tl2br w:val="nil"/>
                    <w:tr2bl w:val="nil"/>
                  </w:tcBorders>
                  <w:vAlign w:val="center"/>
                </w:tcPr>
                <w:p w14:paraId="44E7A14A">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55C1168">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66068B9">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25AF692C">
                  <w:pPr>
                    <w:rPr>
                      <w:rStyle w:val="87"/>
                      <w:rFonts w:ascii="Times New Roman"/>
                      <w:color w:val="auto"/>
                      <w:sz w:val="21"/>
                      <w:szCs w:val="21"/>
                      <w:highlight w:val="none"/>
                    </w:rPr>
                  </w:pPr>
                  <w:r>
                    <w:rPr>
                      <w:rStyle w:val="87"/>
                      <w:rFonts w:ascii="Times New Roman"/>
                      <w:color w:val="auto"/>
                      <w:sz w:val="21"/>
                      <w:szCs w:val="21"/>
                      <w:highlight w:val="none"/>
                    </w:rPr>
                    <w:t>内置不锈钢碟盘</w:t>
                  </w:r>
                  <w:r>
                    <w:rPr>
                      <w:color w:val="auto"/>
                      <w:highlight w:val="none"/>
                    </w:rPr>
                    <w:t>16</w:t>
                  </w:r>
                  <w:r>
                    <w:rPr>
                      <w:rStyle w:val="87"/>
                      <w:rFonts w:ascii="Times New Roman"/>
                      <w:color w:val="auto"/>
                      <w:sz w:val="21"/>
                      <w:szCs w:val="21"/>
                      <w:highlight w:val="none"/>
                    </w:rPr>
                    <w:t>组，每组都有清理手孔，内置不锈钢直接汽提装置，顶部带分离器，底部带不锈钢暂存罐，</w:t>
                  </w:r>
                  <w:r>
                    <w:rPr>
                      <w:rStyle w:val="87"/>
                      <w:rFonts w:hint="eastAsia" w:ascii="Times New Roman"/>
                      <w:color w:val="auto"/>
                      <w:sz w:val="21"/>
                      <w:szCs w:val="21"/>
                      <w:highlight w:val="none"/>
                    </w:rPr>
                    <w:t>壳</w:t>
                  </w:r>
                  <w:r>
                    <w:rPr>
                      <w:rStyle w:val="87"/>
                      <w:rFonts w:ascii="Times New Roman"/>
                      <w:color w:val="auto"/>
                      <w:sz w:val="21"/>
                      <w:szCs w:val="21"/>
                      <w:highlight w:val="none"/>
                    </w:rPr>
                    <w:t>体</w:t>
                  </w:r>
                  <w:r>
                    <w:rPr>
                      <w:rStyle w:val="87"/>
                      <w:rFonts w:hint="eastAsia" w:ascii="Times New Roman"/>
                      <w:color w:val="auto"/>
                      <w:sz w:val="21"/>
                      <w:szCs w:val="21"/>
                      <w:highlight w:val="none"/>
                    </w:rPr>
                    <w:t>不锈钢</w:t>
                  </w:r>
                  <w:r>
                    <w:rPr>
                      <w:rStyle w:val="87"/>
                      <w:rFonts w:ascii="Times New Roman"/>
                      <w:color w:val="auto"/>
                      <w:sz w:val="21"/>
                      <w:szCs w:val="21"/>
                      <w:highlight w:val="none"/>
                    </w:rPr>
                    <w:t>厚6mm，油接触全不锈钢304。不锈钢喷嘴。两道直接汽。</w:t>
                  </w:r>
                </w:p>
              </w:tc>
            </w:tr>
            <w:tr w14:paraId="7FFDC5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85281B1">
                  <w:pPr>
                    <w:widowControl/>
                    <w:jc w:val="center"/>
                    <w:textAlignment w:val="center"/>
                    <w:rPr>
                      <w:bCs/>
                      <w:color w:val="auto"/>
                      <w:kern w:val="0"/>
                      <w:szCs w:val="21"/>
                      <w:highlight w:val="none"/>
                      <w:lang w:bidi="ar"/>
                    </w:rPr>
                  </w:pPr>
                  <w:r>
                    <w:rPr>
                      <w:rFonts w:hint="eastAsia"/>
                      <w:bCs/>
                      <w:color w:val="auto"/>
                      <w:kern w:val="0"/>
                      <w:szCs w:val="21"/>
                      <w:highlight w:val="none"/>
                      <w:lang w:bidi="ar"/>
                    </w:rPr>
                    <w:t>21</w:t>
                  </w:r>
                </w:p>
              </w:tc>
              <w:tc>
                <w:tcPr>
                  <w:tcW w:w="316" w:type="pct"/>
                  <w:tcBorders>
                    <w:tl2br w:val="nil"/>
                    <w:tr2bl w:val="nil"/>
                  </w:tcBorders>
                  <w:vAlign w:val="center"/>
                </w:tcPr>
                <w:p w14:paraId="08575166">
                  <w:pPr>
                    <w:widowControl/>
                    <w:jc w:val="center"/>
                    <w:textAlignment w:val="center"/>
                    <w:rPr>
                      <w:bCs/>
                      <w:color w:val="auto"/>
                      <w:kern w:val="0"/>
                      <w:szCs w:val="21"/>
                      <w:highlight w:val="none"/>
                      <w:lang w:bidi="ar"/>
                    </w:rPr>
                  </w:pPr>
                  <w:r>
                    <w:rPr>
                      <w:rFonts w:hint="eastAsia"/>
                      <w:bCs/>
                      <w:color w:val="auto"/>
                      <w:kern w:val="0"/>
                      <w:szCs w:val="21"/>
                      <w:highlight w:val="none"/>
                      <w:lang w:bidi="ar"/>
                    </w:rPr>
                    <w:t>J21</w:t>
                  </w:r>
                </w:p>
              </w:tc>
              <w:tc>
                <w:tcPr>
                  <w:tcW w:w="612" w:type="pct"/>
                  <w:tcBorders>
                    <w:tl2br w:val="nil"/>
                    <w:tr2bl w:val="nil"/>
                  </w:tcBorders>
                  <w:vAlign w:val="center"/>
                </w:tcPr>
                <w:p w14:paraId="2010DBFA">
                  <w:pPr>
                    <w:widowControl/>
                    <w:jc w:val="center"/>
                    <w:textAlignment w:val="center"/>
                    <w:rPr>
                      <w:bCs/>
                      <w:color w:val="auto"/>
                      <w:kern w:val="0"/>
                      <w:szCs w:val="21"/>
                      <w:highlight w:val="none"/>
                      <w:lang w:bidi="ar"/>
                    </w:rPr>
                  </w:pPr>
                  <w:r>
                    <w:rPr>
                      <w:rFonts w:hint="eastAsia"/>
                      <w:bCs/>
                      <w:color w:val="auto"/>
                      <w:kern w:val="0"/>
                      <w:szCs w:val="21"/>
                      <w:highlight w:val="none"/>
                      <w:lang w:bidi="ar"/>
                    </w:rPr>
                    <w:t>节能器</w:t>
                  </w:r>
                </w:p>
              </w:tc>
              <w:tc>
                <w:tcPr>
                  <w:tcW w:w="527" w:type="pct"/>
                  <w:tcBorders>
                    <w:tl2br w:val="nil"/>
                    <w:tr2bl w:val="nil"/>
                  </w:tcBorders>
                  <w:vAlign w:val="center"/>
                </w:tcPr>
                <w:p w14:paraId="4A40E062">
                  <w:pPr>
                    <w:widowControl/>
                    <w:jc w:val="center"/>
                    <w:textAlignment w:val="center"/>
                    <w:rPr>
                      <w:bCs/>
                      <w:color w:val="auto"/>
                      <w:kern w:val="0"/>
                      <w:szCs w:val="21"/>
                      <w:highlight w:val="none"/>
                      <w:lang w:bidi="ar"/>
                    </w:rPr>
                  </w:pPr>
                  <w:r>
                    <w:rPr>
                      <w:rFonts w:hint="eastAsia"/>
                      <w:bCs/>
                      <w:color w:val="auto"/>
                      <w:kern w:val="0"/>
                      <w:szCs w:val="21"/>
                      <w:highlight w:val="none"/>
                      <w:lang w:bidi="ar"/>
                    </w:rPr>
                    <w:t>JNQ90</w:t>
                  </w:r>
                </w:p>
              </w:tc>
              <w:tc>
                <w:tcPr>
                  <w:tcW w:w="408" w:type="pct"/>
                  <w:tcBorders>
                    <w:tl2br w:val="nil"/>
                    <w:tr2bl w:val="nil"/>
                  </w:tcBorders>
                  <w:vAlign w:val="center"/>
                </w:tcPr>
                <w:p w14:paraId="144EAAC6">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644C15F">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165E3C2">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D0A8BAC">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不锈钢304，内置捕集喷管</w:t>
                  </w:r>
                  <w:r>
                    <w:rPr>
                      <w:rStyle w:val="87"/>
                      <w:rFonts w:hint="eastAsia" w:ascii="Times New Roman"/>
                      <w:color w:val="auto"/>
                      <w:sz w:val="21"/>
                      <w:szCs w:val="21"/>
                      <w:highlight w:val="none"/>
                    </w:rPr>
                    <w:t>，</w:t>
                  </w:r>
                  <w:r>
                    <w:rPr>
                      <w:rStyle w:val="87"/>
                      <w:rFonts w:ascii="Times New Roman"/>
                      <w:color w:val="auto"/>
                      <w:sz w:val="21"/>
                      <w:szCs w:val="21"/>
                      <w:highlight w:val="none"/>
                    </w:rPr>
                    <w:t>全不锈钢</w:t>
                  </w:r>
                  <w:r>
                    <w:rPr>
                      <w:rFonts w:hint="eastAsia"/>
                      <w:color w:val="auto"/>
                      <w:lang w:eastAsia="zh-CN"/>
                    </w:rPr>
                    <w:t>。</w:t>
                  </w:r>
                </w:p>
              </w:tc>
            </w:tr>
            <w:tr w14:paraId="307C06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C44F159">
                  <w:pPr>
                    <w:widowControl/>
                    <w:jc w:val="center"/>
                    <w:textAlignment w:val="center"/>
                    <w:rPr>
                      <w:bCs/>
                      <w:color w:val="auto"/>
                      <w:kern w:val="0"/>
                      <w:szCs w:val="21"/>
                      <w:highlight w:val="none"/>
                      <w:lang w:bidi="ar"/>
                    </w:rPr>
                  </w:pPr>
                  <w:r>
                    <w:rPr>
                      <w:rFonts w:hint="eastAsia"/>
                      <w:bCs/>
                      <w:color w:val="auto"/>
                      <w:kern w:val="0"/>
                      <w:szCs w:val="21"/>
                      <w:highlight w:val="none"/>
                      <w:lang w:bidi="ar"/>
                    </w:rPr>
                    <w:t>22</w:t>
                  </w:r>
                </w:p>
              </w:tc>
              <w:tc>
                <w:tcPr>
                  <w:tcW w:w="316" w:type="pct"/>
                  <w:tcBorders>
                    <w:tl2br w:val="nil"/>
                    <w:tr2bl w:val="nil"/>
                  </w:tcBorders>
                  <w:vAlign w:val="center"/>
                </w:tcPr>
                <w:p w14:paraId="2D855BFA">
                  <w:pPr>
                    <w:widowControl/>
                    <w:jc w:val="center"/>
                    <w:textAlignment w:val="center"/>
                    <w:rPr>
                      <w:bCs/>
                      <w:color w:val="auto"/>
                      <w:kern w:val="0"/>
                      <w:szCs w:val="21"/>
                      <w:highlight w:val="none"/>
                      <w:lang w:bidi="ar"/>
                    </w:rPr>
                  </w:pPr>
                  <w:r>
                    <w:rPr>
                      <w:rFonts w:hint="eastAsia"/>
                      <w:bCs/>
                      <w:color w:val="auto"/>
                      <w:kern w:val="0"/>
                      <w:szCs w:val="21"/>
                      <w:highlight w:val="none"/>
                      <w:lang w:bidi="ar"/>
                    </w:rPr>
                    <w:t>J22</w:t>
                  </w:r>
                </w:p>
              </w:tc>
              <w:tc>
                <w:tcPr>
                  <w:tcW w:w="612" w:type="pct"/>
                  <w:tcBorders>
                    <w:tl2br w:val="nil"/>
                    <w:tr2bl w:val="nil"/>
                  </w:tcBorders>
                  <w:vAlign w:val="center"/>
                </w:tcPr>
                <w:p w14:paraId="6E10368C">
                  <w:pPr>
                    <w:widowControl/>
                    <w:jc w:val="center"/>
                    <w:textAlignment w:val="center"/>
                    <w:rPr>
                      <w:bCs/>
                      <w:color w:val="auto"/>
                      <w:kern w:val="0"/>
                      <w:szCs w:val="21"/>
                      <w:highlight w:val="none"/>
                      <w:lang w:bidi="ar"/>
                    </w:rPr>
                  </w:pPr>
                  <w:r>
                    <w:rPr>
                      <w:rFonts w:hint="eastAsia"/>
                      <w:bCs/>
                      <w:color w:val="auto"/>
                      <w:kern w:val="0"/>
                      <w:szCs w:val="21"/>
                      <w:highlight w:val="none"/>
                      <w:lang w:bidi="ar"/>
                    </w:rPr>
                    <w:t>常压冷凝器</w:t>
                  </w:r>
                </w:p>
              </w:tc>
              <w:tc>
                <w:tcPr>
                  <w:tcW w:w="527" w:type="pct"/>
                  <w:tcBorders>
                    <w:tl2br w:val="nil"/>
                    <w:tr2bl w:val="nil"/>
                  </w:tcBorders>
                  <w:vAlign w:val="center"/>
                </w:tcPr>
                <w:p w14:paraId="6ABAF2BB">
                  <w:pPr>
                    <w:widowControl/>
                    <w:jc w:val="center"/>
                    <w:textAlignment w:val="center"/>
                    <w:rPr>
                      <w:bCs/>
                      <w:color w:val="auto"/>
                      <w:kern w:val="0"/>
                      <w:szCs w:val="21"/>
                      <w:highlight w:val="none"/>
                      <w:lang w:bidi="ar"/>
                    </w:rPr>
                  </w:pPr>
                  <w:r>
                    <w:rPr>
                      <w:rFonts w:hint="eastAsia"/>
                      <w:bCs/>
                      <w:color w:val="auto"/>
                      <w:kern w:val="0"/>
                      <w:szCs w:val="21"/>
                      <w:highlight w:val="none"/>
                      <w:lang w:bidi="ar"/>
                    </w:rPr>
                    <w:t>WLN360</w:t>
                  </w:r>
                </w:p>
              </w:tc>
              <w:tc>
                <w:tcPr>
                  <w:tcW w:w="408" w:type="pct"/>
                  <w:tcBorders>
                    <w:tl2br w:val="nil"/>
                    <w:tr2bl w:val="nil"/>
                  </w:tcBorders>
                  <w:vAlign w:val="center"/>
                </w:tcPr>
                <w:p w14:paraId="07873C13">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73C0A909">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35BB28A4">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65BF33CA">
                  <w:pPr>
                    <w:rPr>
                      <w:rStyle w:val="87"/>
                      <w:rFonts w:ascii="Times New Roman"/>
                      <w:color w:val="auto"/>
                      <w:sz w:val="21"/>
                      <w:szCs w:val="21"/>
                      <w:highlight w:val="none"/>
                    </w:rPr>
                  </w:pPr>
                  <w:r>
                    <w:rPr>
                      <w:rStyle w:val="87"/>
                      <w:rFonts w:ascii="Times New Roman"/>
                      <w:color w:val="auto"/>
                      <w:sz w:val="21"/>
                      <w:szCs w:val="21"/>
                      <w:highlight w:val="none"/>
                    </w:rPr>
                    <w:t>冷凝</w:t>
                  </w:r>
                  <w:r>
                    <w:rPr>
                      <w:rStyle w:val="87"/>
                      <w:rFonts w:hint="eastAsia"/>
                      <w:color w:val="auto"/>
                      <w:sz w:val="21"/>
                      <w:szCs w:val="21"/>
                      <w:highlight w:val="none"/>
                      <w:lang w:val="en-US"/>
                    </w:rPr>
                    <w:t>器</w:t>
                  </w:r>
                  <w:r>
                    <w:rPr>
                      <w:rStyle w:val="87"/>
                      <w:rFonts w:ascii="Times New Roman"/>
                      <w:color w:val="auto"/>
                      <w:sz w:val="21"/>
                      <w:szCs w:val="21"/>
                      <w:highlight w:val="none"/>
                    </w:rPr>
                    <w:t>常压蒸发出的溶剂蒸汽，采用304不锈钢列管Ф25×1.2，管板、5道隔板不锈钢304，支座法兰：Q235-A。壳体不锈钢304，厚度5mm。配检查口。</w:t>
                  </w:r>
                </w:p>
              </w:tc>
            </w:tr>
            <w:tr w14:paraId="6CDAE6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1399D7F">
                  <w:pPr>
                    <w:widowControl/>
                    <w:jc w:val="center"/>
                    <w:textAlignment w:val="center"/>
                    <w:rPr>
                      <w:bCs/>
                      <w:color w:val="auto"/>
                      <w:kern w:val="0"/>
                      <w:szCs w:val="21"/>
                      <w:highlight w:val="none"/>
                      <w:lang w:bidi="ar"/>
                    </w:rPr>
                  </w:pPr>
                  <w:r>
                    <w:rPr>
                      <w:rFonts w:hint="eastAsia"/>
                      <w:bCs/>
                      <w:color w:val="auto"/>
                      <w:kern w:val="0"/>
                      <w:szCs w:val="21"/>
                      <w:highlight w:val="none"/>
                      <w:lang w:bidi="ar"/>
                    </w:rPr>
                    <w:t>23</w:t>
                  </w:r>
                </w:p>
              </w:tc>
              <w:tc>
                <w:tcPr>
                  <w:tcW w:w="316" w:type="pct"/>
                  <w:tcBorders>
                    <w:tl2br w:val="nil"/>
                    <w:tr2bl w:val="nil"/>
                  </w:tcBorders>
                  <w:vAlign w:val="center"/>
                </w:tcPr>
                <w:p w14:paraId="3111C4B4">
                  <w:pPr>
                    <w:widowControl/>
                    <w:jc w:val="center"/>
                    <w:textAlignment w:val="center"/>
                    <w:rPr>
                      <w:bCs/>
                      <w:color w:val="auto"/>
                      <w:kern w:val="0"/>
                      <w:szCs w:val="21"/>
                      <w:highlight w:val="none"/>
                      <w:lang w:bidi="ar"/>
                    </w:rPr>
                  </w:pPr>
                  <w:r>
                    <w:rPr>
                      <w:rFonts w:hint="eastAsia"/>
                      <w:bCs/>
                      <w:color w:val="auto"/>
                      <w:kern w:val="0"/>
                      <w:szCs w:val="21"/>
                      <w:highlight w:val="none"/>
                      <w:lang w:bidi="ar"/>
                    </w:rPr>
                    <w:t>J23</w:t>
                  </w:r>
                </w:p>
              </w:tc>
              <w:tc>
                <w:tcPr>
                  <w:tcW w:w="612" w:type="pct"/>
                  <w:tcBorders>
                    <w:tl2br w:val="nil"/>
                    <w:tr2bl w:val="nil"/>
                  </w:tcBorders>
                  <w:vAlign w:val="center"/>
                </w:tcPr>
                <w:p w14:paraId="0CE5D0C0">
                  <w:pPr>
                    <w:widowControl/>
                    <w:jc w:val="center"/>
                    <w:textAlignment w:val="center"/>
                    <w:rPr>
                      <w:bCs/>
                      <w:color w:val="auto"/>
                      <w:kern w:val="0"/>
                      <w:szCs w:val="21"/>
                      <w:highlight w:val="none"/>
                      <w:lang w:bidi="ar"/>
                    </w:rPr>
                  </w:pPr>
                  <w:r>
                    <w:rPr>
                      <w:rFonts w:hint="eastAsia"/>
                      <w:bCs/>
                      <w:color w:val="auto"/>
                      <w:kern w:val="0"/>
                      <w:szCs w:val="21"/>
                      <w:highlight w:val="none"/>
                      <w:lang w:bidi="ar"/>
                    </w:rPr>
                    <w:t>真空冷凝器</w:t>
                  </w:r>
                </w:p>
              </w:tc>
              <w:tc>
                <w:tcPr>
                  <w:tcW w:w="527" w:type="pct"/>
                  <w:tcBorders>
                    <w:tl2br w:val="nil"/>
                    <w:tr2bl w:val="nil"/>
                  </w:tcBorders>
                  <w:vAlign w:val="center"/>
                </w:tcPr>
                <w:p w14:paraId="63F4111B">
                  <w:pPr>
                    <w:widowControl/>
                    <w:jc w:val="center"/>
                    <w:textAlignment w:val="center"/>
                    <w:rPr>
                      <w:bCs/>
                      <w:color w:val="auto"/>
                      <w:kern w:val="0"/>
                      <w:szCs w:val="21"/>
                      <w:highlight w:val="none"/>
                      <w:lang w:bidi="ar"/>
                    </w:rPr>
                  </w:pPr>
                  <w:r>
                    <w:rPr>
                      <w:rFonts w:hint="eastAsia"/>
                      <w:bCs/>
                      <w:color w:val="auto"/>
                      <w:kern w:val="0"/>
                      <w:szCs w:val="21"/>
                      <w:highlight w:val="none"/>
                      <w:lang w:bidi="ar"/>
                    </w:rPr>
                    <w:t>WLN426</w:t>
                  </w:r>
                </w:p>
              </w:tc>
              <w:tc>
                <w:tcPr>
                  <w:tcW w:w="408" w:type="pct"/>
                  <w:tcBorders>
                    <w:tl2br w:val="nil"/>
                    <w:tr2bl w:val="nil"/>
                  </w:tcBorders>
                  <w:vAlign w:val="center"/>
                </w:tcPr>
                <w:p w14:paraId="42EE2C6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87E860F">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11C8C174">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71700A46">
                  <w:pPr>
                    <w:rPr>
                      <w:rStyle w:val="87"/>
                      <w:rFonts w:ascii="Times New Roman"/>
                      <w:color w:val="auto"/>
                      <w:sz w:val="21"/>
                      <w:szCs w:val="21"/>
                      <w:highlight w:val="none"/>
                    </w:rPr>
                  </w:pPr>
                  <w:r>
                    <w:rPr>
                      <w:rStyle w:val="87"/>
                      <w:rFonts w:ascii="Times New Roman"/>
                      <w:color w:val="auto"/>
                      <w:sz w:val="21"/>
                      <w:szCs w:val="21"/>
                      <w:highlight w:val="none"/>
                    </w:rPr>
                    <w:t>冷凝各负压蒸发出的溶剂蒸汽，采用304不锈钢列管，Ф25×1.2，5道隔板、管板不锈钢304，法兰、支座：Q235-A。壳体不锈</w:t>
                  </w:r>
                  <w:r>
                    <w:rPr>
                      <w:rStyle w:val="87"/>
                      <w:rFonts w:hint="eastAsia" w:ascii="Times New Roman"/>
                      <w:color w:val="auto"/>
                      <w:sz w:val="21"/>
                      <w:szCs w:val="21"/>
                      <w:highlight w:val="none"/>
                    </w:rPr>
                    <w:t>钢304，6mm</w:t>
                  </w:r>
                  <w:r>
                    <w:rPr>
                      <w:rStyle w:val="87"/>
                      <w:rFonts w:ascii="Times New Roman"/>
                      <w:color w:val="auto"/>
                      <w:sz w:val="21"/>
                      <w:szCs w:val="21"/>
                      <w:highlight w:val="none"/>
                    </w:rPr>
                    <w:t>。配检查口。</w:t>
                  </w:r>
                </w:p>
              </w:tc>
            </w:tr>
            <w:tr w14:paraId="1A16D3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FBD9547">
                  <w:pPr>
                    <w:widowControl/>
                    <w:jc w:val="center"/>
                    <w:textAlignment w:val="center"/>
                    <w:rPr>
                      <w:bCs/>
                      <w:color w:val="auto"/>
                      <w:kern w:val="0"/>
                      <w:szCs w:val="21"/>
                      <w:highlight w:val="none"/>
                      <w:lang w:bidi="ar"/>
                    </w:rPr>
                  </w:pPr>
                  <w:r>
                    <w:rPr>
                      <w:rFonts w:hint="eastAsia"/>
                      <w:bCs/>
                      <w:color w:val="auto"/>
                      <w:kern w:val="0"/>
                      <w:szCs w:val="21"/>
                      <w:highlight w:val="none"/>
                      <w:lang w:bidi="ar"/>
                    </w:rPr>
                    <w:t>24</w:t>
                  </w:r>
                </w:p>
              </w:tc>
              <w:tc>
                <w:tcPr>
                  <w:tcW w:w="316" w:type="pct"/>
                  <w:tcBorders>
                    <w:tl2br w:val="nil"/>
                    <w:tr2bl w:val="nil"/>
                  </w:tcBorders>
                  <w:vAlign w:val="center"/>
                </w:tcPr>
                <w:p w14:paraId="5166097C">
                  <w:pPr>
                    <w:widowControl/>
                    <w:jc w:val="center"/>
                    <w:textAlignment w:val="center"/>
                    <w:rPr>
                      <w:bCs/>
                      <w:color w:val="auto"/>
                      <w:kern w:val="0"/>
                      <w:szCs w:val="21"/>
                      <w:highlight w:val="none"/>
                      <w:lang w:bidi="ar"/>
                    </w:rPr>
                  </w:pPr>
                  <w:r>
                    <w:rPr>
                      <w:rFonts w:hint="eastAsia"/>
                      <w:bCs/>
                      <w:color w:val="auto"/>
                      <w:kern w:val="0"/>
                      <w:szCs w:val="21"/>
                      <w:highlight w:val="none"/>
                      <w:lang w:bidi="ar"/>
                    </w:rPr>
                    <w:t>J24</w:t>
                  </w:r>
                </w:p>
              </w:tc>
              <w:tc>
                <w:tcPr>
                  <w:tcW w:w="612" w:type="pct"/>
                  <w:tcBorders>
                    <w:tl2br w:val="nil"/>
                    <w:tr2bl w:val="nil"/>
                  </w:tcBorders>
                  <w:vAlign w:val="center"/>
                </w:tcPr>
                <w:p w14:paraId="52CAAA96">
                  <w:pPr>
                    <w:widowControl/>
                    <w:jc w:val="center"/>
                    <w:textAlignment w:val="center"/>
                    <w:rPr>
                      <w:bCs/>
                      <w:color w:val="auto"/>
                      <w:kern w:val="0"/>
                      <w:szCs w:val="21"/>
                      <w:highlight w:val="none"/>
                      <w:lang w:bidi="ar"/>
                    </w:rPr>
                  </w:pPr>
                  <w:r>
                    <w:rPr>
                      <w:rFonts w:hint="eastAsia"/>
                      <w:bCs/>
                      <w:color w:val="auto"/>
                      <w:kern w:val="0"/>
                      <w:szCs w:val="21"/>
                      <w:highlight w:val="none"/>
                      <w:lang w:bidi="ar"/>
                    </w:rPr>
                    <w:t>尾气冷凝器</w:t>
                  </w:r>
                </w:p>
              </w:tc>
              <w:tc>
                <w:tcPr>
                  <w:tcW w:w="527" w:type="pct"/>
                  <w:tcBorders>
                    <w:tl2br w:val="nil"/>
                    <w:tr2bl w:val="nil"/>
                  </w:tcBorders>
                  <w:vAlign w:val="center"/>
                </w:tcPr>
                <w:p w14:paraId="1060EC30">
                  <w:pPr>
                    <w:widowControl/>
                    <w:jc w:val="center"/>
                    <w:textAlignment w:val="center"/>
                    <w:rPr>
                      <w:bCs/>
                      <w:color w:val="auto"/>
                      <w:kern w:val="0"/>
                      <w:szCs w:val="21"/>
                      <w:highlight w:val="none"/>
                      <w:lang w:bidi="ar"/>
                    </w:rPr>
                  </w:pPr>
                  <w:r>
                    <w:rPr>
                      <w:rFonts w:hint="eastAsia"/>
                      <w:bCs/>
                      <w:color w:val="auto"/>
                      <w:kern w:val="0"/>
                      <w:szCs w:val="21"/>
                      <w:highlight w:val="none"/>
                      <w:lang w:bidi="ar"/>
                    </w:rPr>
                    <w:t>WLN147</w:t>
                  </w:r>
                </w:p>
              </w:tc>
              <w:tc>
                <w:tcPr>
                  <w:tcW w:w="408" w:type="pct"/>
                  <w:tcBorders>
                    <w:tl2br w:val="nil"/>
                    <w:tr2bl w:val="nil"/>
                  </w:tcBorders>
                  <w:vAlign w:val="center"/>
                </w:tcPr>
                <w:p w14:paraId="3694DC2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0E5E209">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11A55DB3">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09E12B9B">
                  <w:pPr>
                    <w:spacing w:line="240" w:lineRule="exact"/>
                    <w:rPr>
                      <w:rStyle w:val="87"/>
                      <w:rFonts w:ascii="Times New Roman"/>
                      <w:color w:val="auto"/>
                      <w:sz w:val="21"/>
                      <w:szCs w:val="21"/>
                      <w:highlight w:val="none"/>
                    </w:rPr>
                  </w:pPr>
                  <w:r>
                    <w:rPr>
                      <w:rStyle w:val="87"/>
                      <w:rFonts w:ascii="Times New Roman"/>
                      <w:color w:val="auto"/>
                      <w:sz w:val="21"/>
                      <w:szCs w:val="21"/>
                      <w:highlight w:val="none"/>
                    </w:rPr>
                    <w:t>冷凝未凝自由气体，采用304不锈钢列管，Ф25×1.2，隔板、管板不锈钢304，支座法兰：Q235-A。壳体不锈钢5mm。</w:t>
                  </w:r>
                </w:p>
              </w:tc>
            </w:tr>
            <w:tr w14:paraId="7E8562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5A944E1">
                  <w:pPr>
                    <w:widowControl/>
                    <w:jc w:val="center"/>
                    <w:textAlignment w:val="center"/>
                    <w:rPr>
                      <w:bCs/>
                      <w:color w:val="auto"/>
                      <w:kern w:val="0"/>
                      <w:szCs w:val="21"/>
                      <w:highlight w:val="none"/>
                      <w:lang w:bidi="ar"/>
                    </w:rPr>
                  </w:pPr>
                  <w:r>
                    <w:rPr>
                      <w:rFonts w:hint="eastAsia"/>
                      <w:bCs/>
                      <w:color w:val="auto"/>
                      <w:kern w:val="0"/>
                      <w:szCs w:val="21"/>
                      <w:highlight w:val="none"/>
                      <w:lang w:bidi="ar"/>
                    </w:rPr>
                    <w:t>25</w:t>
                  </w:r>
                </w:p>
              </w:tc>
              <w:tc>
                <w:tcPr>
                  <w:tcW w:w="316" w:type="pct"/>
                  <w:tcBorders>
                    <w:tl2br w:val="nil"/>
                    <w:tr2bl w:val="nil"/>
                  </w:tcBorders>
                  <w:vAlign w:val="center"/>
                </w:tcPr>
                <w:p w14:paraId="23E9EEED">
                  <w:pPr>
                    <w:widowControl/>
                    <w:jc w:val="center"/>
                    <w:textAlignment w:val="center"/>
                    <w:rPr>
                      <w:bCs/>
                      <w:color w:val="auto"/>
                      <w:kern w:val="0"/>
                      <w:szCs w:val="21"/>
                      <w:highlight w:val="none"/>
                      <w:lang w:bidi="ar"/>
                    </w:rPr>
                  </w:pPr>
                  <w:r>
                    <w:rPr>
                      <w:rFonts w:hint="eastAsia"/>
                      <w:bCs/>
                      <w:color w:val="auto"/>
                      <w:kern w:val="0"/>
                      <w:szCs w:val="21"/>
                      <w:highlight w:val="none"/>
                      <w:lang w:bidi="ar"/>
                    </w:rPr>
                    <w:t>J25</w:t>
                  </w:r>
                </w:p>
              </w:tc>
              <w:tc>
                <w:tcPr>
                  <w:tcW w:w="612" w:type="pct"/>
                  <w:tcBorders>
                    <w:tl2br w:val="nil"/>
                    <w:tr2bl w:val="nil"/>
                  </w:tcBorders>
                  <w:vAlign w:val="center"/>
                </w:tcPr>
                <w:p w14:paraId="194E3F3C">
                  <w:pPr>
                    <w:widowControl/>
                    <w:jc w:val="center"/>
                    <w:textAlignment w:val="center"/>
                    <w:rPr>
                      <w:bCs/>
                      <w:color w:val="auto"/>
                      <w:kern w:val="0"/>
                      <w:szCs w:val="21"/>
                      <w:highlight w:val="none"/>
                      <w:lang w:bidi="ar"/>
                    </w:rPr>
                  </w:pPr>
                  <w:r>
                    <w:rPr>
                      <w:rFonts w:hint="eastAsia"/>
                      <w:bCs/>
                      <w:color w:val="auto"/>
                      <w:kern w:val="0"/>
                      <w:szCs w:val="21"/>
                      <w:highlight w:val="none"/>
                      <w:lang w:bidi="ar"/>
                    </w:rPr>
                    <w:t>冷凝器</w:t>
                  </w:r>
                </w:p>
              </w:tc>
              <w:tc>
                <w:tcPr>
                  <w:tcW w:w="527" w:type="pct"/>
                  <w:tcBorders>
                    <w:tl2br w:val="nil"/>
                    <w:tr2bl w:val="nil"/>
                  </w:tcBorders>
                  <w:vAlign w:val="center"/>
                </w:tcPr>
                <w:p w14:paraId="61CFBCA6">
                  <w:pPr>
                    <w:widowControl/>
                    <w:jc w:val="center"/>
                    <w:textAlignment w:val="center"/>
                    <w:rPr>
                      <w:bCs/>
                      <w:color w:val="auto"/>
                      <w:kern w:val="0"/>
                      <w:szCs w:val="21"/>
                      <w:highlight w:val="none"/>
                      <w:lang w:bidi="ar"/>
                    </w:rPr>
                  </w:pPr>
                  <w:r>
                    <w:rPr>
                      <w:rFonts w:hint="eastAsia"/>
                      <w:bCs/>
                      <w:color w:val="auto"/>
                      <w:kern w:val="0"/>
                      <w:szCs w:val="21"/>
                      <w:highlight w:val="none"/>
                      <w:lang w:bidi="ar"/>
                    </w:rPr>
                    <w:t>WLN147</w:t>
                  </w:r>
                </w:p>
              </w:tc>
              <w:tc>
                <w:tcPr>
                  <w:tcW w:w="408" w:type="pct"/>
                  <w:tcBorders>
                    <w:tl2br w:val="nil"/>
                    <w:tr2bl w:val="nil"/>
                  </w:tcBorders>
                  <w:vAlign w:val="center"/>
                </w:tcPr>
                <w:p w14:paraId="2513DF36">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58B6E6CF">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1CD50230">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045D57E">
                  <w:pPr>
                    <w:spacing w:line="240" w:lineRule="exact"/>
                    <w:rPr>
                      <w:rStyle w:val="87"/>
                      <w:rFonts w:ascii="Times New Roman"/>
                      <w:color w:val="auto"/>
                      <w:sz w:val="21"/>
                      <w:szCs w:val="21"/>
                      <w:highlight w:val="none"/>
                    </w:rPr>
                  </w:pPr>
                  <w:r>
                    <w:rPr>
                      <w:rStyle w:val="87"/>
                      <w:rFonts w:ascii="Times New Roman"/>
                      <w:color w:val="auto"/>
                      <w:sz w:val="21"/>
                      <w:szCs w:val="21"/>
                      <w:highlight w:val="none"/>
                    </w:rPr>
                    <w:t>冷凝未凝自由气体，采用304不锈钢列管，Ф25×1.2，隔板、管板不锈钢304，支座法兰：Q235-A。壳体不不锈钢304，5mm。</w:t>
                  </w:r>
                </w:p>
              </w:tc>
            </w:tr>
            <w:tr w14:paraId="35A481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A88CA09">
                  <w:pPr>
                    <w:widowControl/>
                    <w:jc w:val="center"/>
                    <w:textAlignment w:val="center"/>
                    <w:rPr>
                      <w:bCs/>
                      <w:color w:val="auto"/>
                      <w:kern w:val="0"/>
                      <w:szCs w:val="21"/>
                      <w:highlight w:val="none"/>
                      <w:lang w:bidi="ar"/>
                    </w:rPr>
                  </w:pPr>
                  <w:r>
                    <w:rPr>
                      <w:rFonts w:hint="eastAsia"/>
                      <w:bCs/>
                      <w:color w:val="auto"/>
                      <w:kern w:val="0"/>
                      <w:szCs w:val="21"/>
                      <w:highlight w:val="none"/>
                      <w:lang w:bidi="ar"/>
                    </w:rPr>
                    <w:t>26</w:t>
                  </w:r>
                </w:p>
              </w:tc>
              <w:tc>
                <w:tcPr>
                  <w:tcW w:w="316" w:type="pct"/>
                  <w:tcBorders>
                    <w:tl2br w:val="nil"/>
                    <w:tr2bl w:val="nil"/>
                  </w:tcBorders>
                  <w:vAlign w:val="center"/>
                </w:tcPr>
                <w:p w14:paraId="653B08F3">
                  <w:pPr>
                    <w:widowControl/>
                    <w:jc w:val="center"/>
                    <w:textAlignment w:val="center"/>
                    <w:rPr>
                      <w:bCs/>
                      <w:color w:val="auto"/>
                      <w:kern w:val="0"/>
                      <w:szCs w:val="21"/>
                      <w:highlight w:val="none"/>
                      <w:lang w:bidi="ar"/>
                    </w:rPr>
                  </w:pPr>
                  <w:r>
                    <w:rPr>
                      <w:rFonts w:hint="eastAsia"/>
                      <w:bCs/>
                      <w:color w:val="auto"/>
                      <w:kern w:val="0"/>
                      <w:szCs w:val="21"/>
                      <w:highlight w:val="none"/>
                      <w:lang w:bidi="ar"/>
                    </w:rPr>
                    <w:t>J26</w:t>
                  </w:r>
                </w:p>
              </w:tc>
              <w:tc>
                <w:tcPr>
                  <w:tcW w:w="612" w:type="pct"/>
                  <w:tcBorders>
                    <w:tl2br w:val="nil"/>
                    <w:tr2bl w:val="nil"/>
                  </w:tcBorders>
                  <w:vAlign w:val="center"/>
                </w:tcPr>
                <w:p w14:paraId="5B413A0D">
                  <w:pPr>
                    <w:widowControl/>
                    <w:jc w:val="center"/>
                    <w:textAlignment w:val="center"/>
                    <w:rPr>
                      <w:bCs/>
                      <w:color w:val="auto"/>
                      <w:kern w:val="0"/>
                      <w:szCs w:val="21"/>
                      <w:highlight w:val="none"/>
                      <w:lang w:bidi="ar"/>
                    </w:rPr>
                  </w:pPr>
                  <w:r>
                    <w:rPr>
                      <w:rFonts w:hint="eastAsia"/>
                      <w:bCs/>
                      <w:color w:val="auto"/>
                      <w:kern w:val="0"/>
                      <w:szCs w:val="21"/>
                      <w:highlight w:val="none"/>
                      <w:lang w:bidi="ar"/>
                    </w:rPr>
                    <w:t>分水组合柜</w:t>
                  </w:r>
                </w:p>
              </w:tc>
              <w:tc>
                <w:tcPr>
                  <w:tcW w:w="527" w:type="pct"/>
                  <w:tcBorders>
                    <w:tl2br w:val="nil"/>
                    <w:tr2bl w:val="nil"/>
                  </w:tcBorders>
                  <w:vAlign w:val="center"/>
                </w:tcPr>
                <w:p w14:paraId="252D7DD5">
                  <w:pPr>
                    <w:widowControl/>
                    <w:jc w:val="center"/>
                    <w:textAlignment w:val="center"/>
                    <w:rPr>
                      <w:bCs/>
                      <w:color w:val="auto"/>
                      <w:kern w:val="0"/>
                      <w:szCs w:val="21"/>
                      <w:highlight w:val="none"/>
                      <w:lang w:bidi="ar"/>
                    </w:rPr>
                  </w:pPr>
                  <w:r>
                    <w:rPr>
                      <w:rFonts w:hint="eastAsia"/>
                      <w:bCs/>
                      <w:color w:val="auto"/>
                      <w:kern w:val="0"/>
                      <w:szCs w:val="21"/>
                      <w:highlight w:val="none"/>
                      <w:lang w:bidi="ar"/>
                    </w:rPr>
                    <w:t>FSG220*750</w:t>
                  </w:r>
                </w:p>
              </w:tc>
              <w:tc>
                <w:tcPr>
                  <w:tcW w:w="408" w:type="pct"/>
                  <w:tcBorders>
                    <w:tl2br w:val="nil"/>
                    <w:tr2bl w:val="nil"/>
                  </w:tcBorders>
                  <w:vAlign w:val="center"/>
                </w:tcPr>
                <w:p w14:paraId="6059572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1EB93C7">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2B460D8">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3A7A218D">
                  <w:pPr>
                    <w:rPr>
                      <w:rStyle w:val="87"/>
                      <w:rFonts w:ascii="Times New Roman"/>
                      <w:color w:val="auto"/>
                      <w:sz w:val="21"/>
                      <w:szCs w:val="21"/>
                      <w:highlight w:val="none"/>
                    </w:rPr>
                  </w:pPr>
                  <w:r>
                    <w:rPr>
                      <w:rStyle w:val="87"/>
                      <w:rFonts w:ascii="Times New Roman"/>
                      <w:color w:val="auto"/>
                      <w:sz w:val="21"/>
                      <w:szCs w:val="21"/>
                      <w:highlight w:val="none"/>
                    </w:rPr>
                    <w:t>用于溶剂和水分离,使溶剂循环利用</w:t>
                  </w:r>
                  <w:r>
                    <w:rPr>
                      <w:rStyle w:val="87"/>
                      <w:rFonts w:hint="eastAsia" w:ascii="Times New Roman"/>
                      <w:color w:val="auto"/>
                      <w:sz w:val="21"/>
                      <w:szCs w:val="21"/>
                      <w:highlight w:val="none"/>
                    </w:rPr>
                    <w:t>，</w:t>
                  </w:r>
                  <w:r>
                    <w:rPr>
                      <w:rStyle w:val="87"/>
                      <w:rFonts w:ascii="Times New Roman"/>
                      <w:color w:val="auto"/>
                      <w:sz w:val="21"/>
                      <w:szCs w:val="21"/>
                      <w:highlight w:val="none"/>
                    </w:rPr>
                    <w:t>壳体材料：Q235-A。板厚8mm。</w:t>
                  </w:r>
                </w:p>
              </w:tc>
            </w:tr>
            <w:tr w14:paraId="0F2D0B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919B4A1">
                  <w:pPr>
                    <w:widowControl/>
                    <w:jc w:val="center"/>
                    <w:textAlignment w:val="center"/>
                    <w:rPr>
                      <w:bCs/>
                      <w:color w:val="auto"/>
                      <w:kern w:val="0"/>
                      <w:szCs w:val="21"/>
                      <w:highlight w:val="none"/>
                      <w:lang w:bidi="ar"/>
                    </w:rPr>
                  </w:pPr>
                  <w:r>
                    <w:rPr>
                      <w:rFonts w:hint="eastAsia"/>
                      <w:bCs/>
                      <w:color w:val="auto"/>
                      <w:kern w:val="0"/>
                      <w:szCs w:val="21"/>
                      <w:highlight w:val="none"/>
                      <w:lang w:bidi="ar"/>
                    </w:rPr>
                    <w:t>27</w:t>
                  </w:r>
                </w:p>
              </w:tc>
              <w:tc>
                <w:tcPr>
                  <w:tcW w:w="316" w:type="pct"/>
                  <w:tcBorders>
                    <w:tl2br w:val="nil"/>
                    <w:tr2bl w:val="nil"/>
                  </w:tcBorders>
                  <w:vAlign w:val="center"/>
                </w:tcPr>
                <w:p w14:paraId="5E10FD18">
                  <w:pPr>
                    <w:widowControl/>
                    <w:jc w:val="center"/>
                    <w:textAlignment w:val="center"/>
                    <w:rPr>
                      <w:bCs/>
                      <w:color w:val="auto"/>
                      <w:kern w:val="0"/>
                      <w:szCs w:val="21"/>
                      <w:highlight w:val="none"/>
                      <w:lang w:bidi="ar"/>
                    </w:rPr>
                  </w:pPr>
                  <w:r>
                    <w:rPr>
                      <w:rFonts w:hint="eastAsia"/>
                      <w:bCs/>
                      <w:color w:val="auto"/>
                      <w:kern w:val="0"/>
                      <w:szCs w:val="21"/>
                      <w:highlight w:val="none"/>
                      <w:lang w:bidi="ar"/>
                    </w:rPr>
                    <w:t>J27</w:t>
                  </w:r>
                </w:p>
              </w:tc>
              <w:tc>
                <w:tcPr>
                  <w:tcW w:w="612" w:type="pct"/>
                  <w:tcBorders>
                    <w:tl2br w:val="nil"/>
                    <w:tr2bl w:val="nil"/>
                  </w:tcBorders>
                  <w:vAlign w:val="center"/>
                </w:tcPr>
                <w:p w14:paraId="2DCC044E">
                  <w:pPr>
                    <w:widowControl/>
                    <w:jc w:val="center"/>
                    <w:textAlignment w:val="center"/>
                    <w:rPr>
                      <w:bCs/>
                      <w:color w:val="auto"/>
                      <w:kern w:val="0"/>
                      <w:szCs w:val="21"/>
                      <w:highlight w:val="none"/>
                      <w:lang w:bidi="ar"/>
                    </w:rPr>
                  </w:pPr>
                  <w:r>
                    <w:rPr>
                      <w:rFonts w:hint="eastAsia"/>
                      <w:bCs/>
                      <w:color w:val="auto"/>
                      <w:kern w:val="0"/>
                      <w:szCs w:val="21"/>
                      <w:highlight w:val="none"/>
                      <w:lang w:bidi="ar"/>
                    </w:rPr>
                    <w:t>蒸煮罐</w:t>
                  </w:r>
                </w:p>
              </w:tc>
              <w:tc>
                <w:tcPr>
                  <w:tcW w:w="527" w:type="pct"/>
                  <w:tcBorders>
                    <w:tl2br w:val="nil"/>
                    <w:tr2bl w:val="nil"/>
                  </w:tcBorders>
                  <w:vAlign w:val="center"/>
                </w:tcPr>
                <w:p w14:paraId="5FF9F809">
                  <w:pPr>
                    <w:widowControl/>
                    <w:jc w:val="center"/>
                    <w:textAlignment w:val="center"/>
                    <w:rPr>
                      <w:bCs/>
                      <w:color w:val="auto"/>
                      <w:kern w:val="0"/>
                      <w:szCs w:val="21"/>
                      <w:highlight w:val="none"/>
                      <w:lang w:bidi="ar"/>
                    </w:rPr>
                  </w:pPr>
                  <w:r>
                    <w:rPr>
                      <w:rFonts w:hint="eastAsia"/>
                      <w:bCs/>
                      <w:color w:val="auto"/>
                      <w:kern w:val="0"/>
                      <w:szCs w:val="21"/>
                      <w:highlight w:val="none"/>
                      <w:lang w:bidi="ar"/>
                    </w:rPr>
                    <w:t>ZG120</w:t>
                  </w:r>
                </w:p>
              </w:tc>
              <w:tc>
                <w:tcPr>
                  <w:tcW w:w="408" w:type="pct"/>
                  <w:tcBorders>
                    <w:tl2br w:val="nil"/>
                    <w:tr2bl w:val="nil"/>
                  </w:tcBorders>
                  <w:vAlign w:val="center"/>
                </w:tcPr>
                <w:p w14:paraId="12B0D05B">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ECACA91">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467F8D02">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C4CAB5A">
                  <w:pPr>
                    <w:rPr>
                      <w:rStyle w:val="87"/>
                      <w:rFonts w:ascii="Times New Roman"/>
                      <w:color w:val="auto"/>
                      <w:sz w:val="21"/>
                      <w:szCs w:val="21"/>
                      <w:highlight w:val="none"/>
                    </w:rPr>
                  </w:pPr>
                  <w:r>
                    <w:rPr>
                      <w:rStyle w:val="87"/>
                      <w:rFonts w:ascii="Times New Roman"/>
                      <w:color w:val="auto"/>
                      <w:sz w:val="21"/>
                      <w:szCs w:val="21"/>
                      <w:highlight w:val="none"/>
                    </w:rPr>
                    <w:t>分水组合柜排出的废水中含有溶剂时</w:t>
                  </w:r>
                  <w:r>
                    <w:rPr>
                      <w:rStyle w:val="87"/>
                      <w:rFonts w:hint="eastAsia" w:ascii="Times New Roman"/>
                      <w:color w:val="auto"/>
                      <w:sz w:val="21"/>
                      <w:szCs w:val="21"/>
                      <w:highlight w:val="none"/>
                    </w:rPr>
                    <w:t>，</w:t>
                  </w:r>
                  <w:r>
                    <w:rPr>
                      <w:rStyle w:val="87"/>
                      <w:rFonts w:ascii="Times New Roman"/>
                      <w:color w:val="auto"/>
                      <w:sz w:val="21"/>
                      <w:szCs w:val="21"/>
                      <w:highlight w:val="none"/>
                    </w:rPr>
                    <w:t>利用该设备将溶剂蒸出来回收，材料</w:t>
                  </w:r>
                  <w:r>
                    <w:rPr>
                      <w:rStyle w:val="87"/>
                      <w:rFonts w:hint="eastAsia" w:ascii="Times New Roman"/>
                      <w:color w:val="auto"/>
                      <w:sz w:val="21"/>
                      <w:szCs w:val="21"/>
                      <w:highlight w:val="none"/>
                    </w:rPr>
                    <w:t>：</w:t>
                  </w:r>
                  <w:r>
                    <w:rPr>
                      <w:rStyle w:val="87"/>
                      <w:rFonts w:ascii="Times New Roman"/>
                      <w:color w:val="auto"/>
                      <w:sz w:val="21"/>
                      <w:szCs w:val="21"/>
                      <w:highlight w:val="none"/>
                    </w:rPr>
                    <w:t>不锈钢，温度</w:t>
                  </w:r>
                  <w:r>
                    <w:rPr>
                      <w:rStyle w:val="87"/>
                      <w:rFonts w:hint="eastAsia" w:ascii="Times New Roman"/>
                      <w:color w:val="auto"/>
                      <w:sz w:val="21"/>
                      <w:szCs w:val="21"/>
                      <w:highlight w:val="none"/>
                    </w:rPr>
                    <w:t>：</w:t>
                  </w:r>
                  <w:r>
                    <w:rPr>
                      <w:rStyle w:val="87"/>
                      <w:rFonts w:ascii="Times New Roman"/>
                      <w:color w:val="auto"/>
                      <w:sz w:val="21"/>
                      <w:szCs w:val="21"/>
                      <w:highlight w:val="none"/>
                    </w:rPr>
                    <w:t>85～95℃。压力</w:t>
                  </w:r>
                  <w:r>
                    <w:rPr>
                      <w:rStyle w:val="87"/>
                      <w:rFonts w:hint="eastAsia" w:ascii="Times New Roman"/>
                      <w:color w:val="auto"/>
                      <w:sz w:val="21"/>
                      <w:szCs w:val="21"/>
                      <w:highlight w:val="none"/>
                    </w:rPr>
                    <w:t>：</w:t>
                  </w:r>
                  <w:r>
                    <w:rPr>
                      <w:rStyle w:val="87"/>
                      <w:rFonts w:ascii="Times New Roman"/>
                      <w:color w:val="auto"/>
                      <w:sz w:val="21"/>
                      <w:szCs w:val="21"/>
                      <w:highlight w:val="none"/>
                    </w:rPr>
                    <w:t>常压。板厚度4mm。</w:t>
                  </w:r>
                </w:p>
              </w:tc>
            </w:tr>
            <w:tr w14:paraId="363214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E93F0A1">
                  <w:pPr>
                    <w:widowControl/>
                    <w:jc w:val="center"/>
                    <w:textAlignment w:val="center"/>
                    <w:rPr>
                      <w:bCs/>
                      <w:color w:val="auto"/>
                      <w:kern w:val="0"/>
                      <w:szCs w:val="21"/>
                      <w:highlight w:val="none"/>
                      <w:lang w:bidi="ar"/>
                    </w:rPr>
                  </w:pPr>
                  <w:r>
                    <w:rPr>
                      <w:rFonts w:hint="eastAsia"/>
                      <w:bCs/>
                      <w:color w:val="auto"/>
                      <w:kern w:val="0"/>
                      <w:szCs w:val="21"/>
                      <w:highlight w:val="none"/>
                      <w:lang w:bidi="ar"/>
                    </w:rPr>
                    <w:t>28</w:t>
                  </w:r>
                </w:p>
              </w:tc>
              <w:tc>
                <w:tcPr>
                  <w:tcW w:w="316" w:type="pct"/>
                  <w:tcBorders>
                    <w:tl2br w:val="nil"/>
                    <w:tr2bl w:val="nil"/>
                  </w:tcBorders>
                  <w:vAlign w:val="center"/>
                </w:tcPr>
                <w:p w14:paraId="16131E3C">
                  <w:pPr>
                    <w:widowControl/>
                    <w:jc w:val="center"/>
                    <w:textAlignment w:val="center"/>
                    <w:rPr>
                      <w:bCs/>
                      <w:color w:val="auto"/>
                      <w:kern w:val="0"/>
                      <w:szCs w:val="21"/>
                      <w:highlight w:val="none"/>
                      <w:lang w:bidi="ar"/>
                    </w:rPr>
                  </w:pPr>
                  <w:r>
                    <w:rPr>
                      <w:rFonts w:hint="eastAsia"/>
                      <w:bCs/>
                      <w:color w:val="auto"/>
                      <w:kern w:val="0"/>
                      <w:szCs w:val="21"/>
                      <w:highlight w:val="none"/>
                      <w:lang w:bidi="ar"/>
                    </w:rPr>
                    <w:t>J28</w:t>
                  </w:r>
                </w:p>
              </w:tc>
              <w:tc>
                <w:tcPr>
                  <w:tcW w:w="612" w:type="pct"/>
                  <w:tcBorders>
                    <w:tl2br w:val="nil"/>
                    <w:tr2bl w:val="nil"/>
                  </w:tcBorders>
                  <w:vAlign w:val="center"/>
                </w:tcPr>
                <w:p w14:paraId="3B9EF118">
                  <w:pPr>
                    <w:widowControl/>
                    <w:jc w:val="center"/>
                    <w:textAlignment w:val="center"/>
                    <w:rPr>
                      <w:bCs/>
                      <w:color w:val="auto"/>
                      <w:kern w:val="0"/>
                      <w:szCs w:val="21"/>
                      <w:highlight w:val="none"/>
                      <w:lang w:bidi="ar"/>
                    </w:rPr>
                  </w:pPr>
                  <w:r>
                    <w:rPr>
                      <w:rFonts w:hint="eastAsia"/>
                      <w:bCs/>
                      <w:color w:val="auto"/>
                      <w:kern w:val="0"/>
                      <w:szCs w:val="21"/>
                      <w:highlight w:val="none"/>
                      <w:lang w:bidi="ar"/>
                    </w:rPr>
                    <w:t>石蜡吸收塔</w:t>
                  </w:r>
                </w:p>
              </w:tc>
              <w:tc>
                <w:tcPr>
                  <w:tcW w:w="527" w:type="pct"/>
                  <w:tcBorders>
                    <w:tl2br w:val="nil"/>
                    <w:tr2bl w:val="nil"/>
                  </w:tcBorders>
                  <w:vAlign w:val="center"/>
                </w:tcPr>
                <w:p w14:paraId="0B2D867A">
                  <w:pPr>
                    <w:widowControl/>
                    <w:jc w:val="center"/>
                    <w:textAlignment w:val="center"/>
                    <w:rPr>
                      <w:bCs/>
                      <w:color w:val="auto"/>
                      <w:kern w:val="0"/>
                      <w:szCs w:val="21"/>
                      <w:highlight w:val="none"/>
                      <w:lang w:bidi="ar"/>
                    </w:rPr>
                  </w:pPr>
                  <w:r>
                    <w:rPr>
                      <w:rFonts w:hint="eastAsia"/>
                      <w:bCs/>
                      <w:color w:val="auto"/>
                      <w:kern w:val="0"/>
                      <w:szCs w:val="21"/>
                      <w:highlight w:val="none"/>
                      <w:lang w:bidi="ar"/>
                    </w:rPr>
                    <w:t>XST32</w:t>
                  </w:r>
                </w:p>
              </w:tc>
              <w:tc>
                <w:tcPr>
                  <w:tcW w:w="408" w:type="pct"/>
                  <w:tcBorders>
                    <w:tl2br w:val="nil"/>
                    <w:tr2bl w:val="nil"/>
                  </w:tcBorders>
                  <w:vAlign w:val="center"/>
                </w:tcPr>
                <w:p w14:paraId="13F16634">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5A145F6">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B4621CF">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01C56249">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填料</w:t>
                  </w:r>
                  <w:r>
                    <w:rPr>
                      <w:rStyle w:val="87"/>
                      <w:rFonts w:hint="eastAsia" w:ascii="Times New Roman"/>
                      <w:color w:val="auto"/>
                      <w:sz w:val="21"/>
                      <w:szCs w:val="21"/>
                      <w:highlight w:val="none"/>
                    </w:rPr>
                    <w:t>：</w:t>
                  </w:r>
                  <w:r>
                    <w:rPr>
                      <w:rStyle w:val="87"/>
                      <w:rFonts w:ascii="Times New Roman"/>
                      <w:color w:val="auto"/>
                      <w:sz w:val="21"/>
                      <w:szCs w:val="21"/>
                      <w:highlight w:val="none"/>
                    </w:rPr>
                    <w:t>不锈钢填料，壳体碳</w:t>
                  </w:r>
                  <w:r>
                    <w:rPr>
                      <w:rStyle w:val="87"/>
                      <w:rFonts w:hint="eastAsia" w:ascii="Times New Roman"/>
                      <w:color w:val="auto"/>
                      <w:sz w:val="21"/>
                      <w:szCs w:val="21"/>
                      <w:highlight w:val="none"/>
                    </w:rPr>
                    <w:t>钢</w:t>
                  </w:r>
                  <w:r>
                    <w:rPr>
                      <w:rFonts w:hint="eastAsia"/>
                      <w:color w:val="auto"/>
                      <w:lang w:eastAsia="zh-CN"/>
                    </w:rPr>
                    <w:t>。</w:t>
                  </w:r>
                </w:p>
              </w:tc>
            </w:tr>
            <w:tr w14:paraId="1C2085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B4ABB04">
                  <w:pPr>
                    <w:widowControl/>
                    <w:jc w:val="center"/>
                    <w:textAlignment w:val="center"/>
                    <w:rPr>
                      <w:bCs/>
                      <w:color w:val="auto"/>
                      <w:kern w:val="0"/>
                      <w:szCs w:val="21"/>
                      <w:highlight w:val="none"/>
                      <w:lang w:bidi="ar"/>
                    </w:rPr>
                  </w:pPr>
                  <w:r>
                    <w:rPr>
                      <w:rFonts w:hint="eastAsia"/>
                      <w:bCs/>
                      <w:color w:val="auto"/>
                      <w:kern w:val="0"/>
                      <w:szCs w:val="21"/>
                      <w:highlight w:val="none"/>
                      <w:lang w:bidi="ar"/>
                    </w:rPr>
                    <w:t>29</w:t>
                  </w:r>
                </w:p>
              </w:tc>
              <w:tc>
                <w:tcPr>
                  <w:tcW w:w="316" w:type="pct"/>
                  <w:tcBorders>
                    <w:tl2br w:val="nil"/>
                    <w:tr2bl w:val="nil"/>
                  </w:tcBorders>
                  <w:vAlign w:val="center"/>
                </w:tcPr>
                <w:p w14:paraId="3B90D587">
                  <w:pPr>
                    <w:widowControl/>
                    <w:jc w:val="center"/>
                    <w:textAlignment w:val="center"/>
                    <w:rPr>
                      <w:bCs/>
                      <w:color w:val="auto"/>
                      <w:kern w:val="0"/>
                      <w:szCs w:val="21"/>
                      <w:highlight w:val="none"/>
                      <w:lang w:bidi="ar"/>
                    </w:rPr>
                  </w:pPr>
                  <w:r>
                    <w:rPr>
                      <w:rFonts w:hint="eastAsia"/>
                      <w:bCs/>
                      <w:color w:val="auto"/>
                      <w:kern w:val="0"/>
                      <w:szCs w:val="21"/>
                      <w:highlight w:val="none"/>
                      <w:lang w:bidi="ar"/>
                    </w:rPr>
                    <w:t>J29</w:t>
                  </w:r>
                </w:p>
              </w:tc>
              <w:tc>
                <w:tcPr>
                  <w:tcW w:w="612" w:type="pct"/>
                  <w:tcBorders>
                    <w:tl2br w:val="nil"/>
                    <w:tr2bl w:val="nil"/>
                  </w:tcBorders>
                  <w:vAlign w:val="center"/>
                </w:tcPr>
                <w:p w14:paraId="270A6DA1">
                  <w:pPr>
                    <w:widowControl/>
                    <w:jc w:val="center"/>
                    <w:textAlignment w:val="center"/>
                    <w:rPr>
                      <w:bCs/>
                      <w:color w:val="auto"/>
                      <w:kern w:val="0"/>
                      <w:szCs w:val="21"/>
                      <w:highlight w:val="none"/>
                      <w:lang w:bidi="ar"/>
                    </w:rPr>
                  </w:pPr>
                  <w:r>
                    <w:rPr>
                      <w:rFonts w:hint="eastAsia"/>
                      <w:bCs/>
                      <w:color w:val="auto"/>
                      <w:kern w:val="0"/>
                      <w:szCs w:val="21"/>
                      <w:highlight w:val="none"/>
                      <w:lang w:bidi="ar"/>
                    </w:rPr>
                    <w:t>石蜡解析塔</w:t>
                  </w:r>
                </w:p>
              </w:tc>
              <w:tc>
                <w:tcPr>
                  <w:tcW w:w="527" w:type="pct"/>
                  <w:tcBorders>
                    <w:tl2br w:val="nil"/>
                    <w:tr2bl w:val="nil"/>
                  </w:tcBorders>
                  <w:vAlign w:val="center"/>
                </w:tcPr>
                <w:p w14:paraId="16779DBA">
                  <w:pPr>
                    <w:widowControl/>
                    <w:jc w:val="center"/>
                    <w:textAlignment w:val="center"/>
                    <w:rPr>
                      <w:bCs/>
                      <w:color w:val="auto"/>
                      <w:kern w:val="0"/>
                      <w:szCs w:val="21"/>
                      <w:highlight w:val="none"/>
                      <w:lang w:bidi="ar"/>
                    </w:rPr>
                  </w:pPr>
                  <w:r>
                    <w:rPr>
                      <w:rFonts w:hint="eastAsia"/>
                      <w:bCs/>
                      <w:color w:val="auto"/>
                      <w:kern w:val="0"/>
                      <w:szCs w:val="21"/>
                      <w:highlight w:val="none"/>
                      <w:lang w:bidi="ar"/>
                    </w:rPr>
                    <w:t>JXT32</w:t>
                  </w:r>
                </w:p>
              </w:tc>
              <w:tc>
                <w:tcPr>
                  <w:tcW w:w="408" w:type="pct"/>
                  <w:tcBorders>
                    <w:tl2br w:val="nil"/>
                    <w:tr2bl w:val="nil"/>
                  </w:tcBorders>
                  <w:vAlign w:val="center"/>
                </w:tcPr>
                <w:p w14:paraId="198D7654">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F2D0C6A">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BB2AC28">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0190B8A7">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填料</w:t>
                  </w:r>
                  <w:r>
                    <w:rPr>
                      <w:rStyle w:val="87"/>
                      <w:rFonts w:hint="eastAsia" w:ascii="Times New Roman"/>
                      <w:color w:val="auto"/>
                      <w:sz w:val="21"/>
                      <w:szCs w:val="21"/>
                      <w:highlight w:val="none"/>
                    </w:rPr>
                    <w:t>：</w:t>
                  </w:r>
                  <w:r>
                    <w:rPr>
                      <w:rStyle w:val="87"/>
                      <w:rFonts w:ascii="Times New Roman"/>
                      <w:color w:val="auto"/>
                      <w:sz w:val="21"/>
                      <w:szCs w:val="21"/>
                      <w:highlight w:val="none"/>
                    </w:rPr>
                    <w:t>不锈钢填料，壳体碳</w:t>
                  </w:r>
                  <w:r>
                    <w:rPr>
                      <w:rStyle w:val="87"/>
                      <w:rFonts w:hint="eastAsia" w:ascii="Times New Roman"/>
                      <w:color w:val="auto"/>
                      <w:sz w:val="21"/>
                      <w:szCs w:val="21"/>
                      <w:highlight w:val="none"/>
                    </w:rPr>
                    <w:t>钢</w:t>
                  </w:r>
                  <w:r>
                    <w:rPr>
                      <w:rFonts w:hint="eastAsia"/>
                      <w:color w:val="auto"/>
                      <w:lang w:eastAsia="zh-CN"/>
                    </w:rPr>
                    <w:t>。</w:t>
                  </w:r>
                </w:p>
              </w:tc>
            </w:tr>
            <w:tr w14:paraId="452D82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BCBA6B6">
                  <w:pPr>
                    <w:widowControl/>
                    <w:jc w:val="center"/>
                    <w:textAlignment w:val="center"/>
                    <w:rPr>
                      <w:bCs/>
                      <w:color w:val="auto"/>
                      <w:kern w:val="0"/>
                      <w:szCs w:val="21"/>
                      <w:highlight w:val="none"/>
                      <w:lang w:bidi="ar"/>
                    </w:rPr>
                  </w:pPr>
                  <w:r>
                    <w:rPr>
                      <w:rFonts w:hint="eastAsia"/>
                      <w:bCs/>
                      <w:color w:val="auto"/>
                      <w:kern w:val="0"/>
                      <w:szCs w:val="21"/>
                      <w:highlight w:val="none"/>
                      <w:lang w:bidi="ar"/>
                    </w:rPr>
                    <w:t>30</w:t>
                  </w:r>
                </w:p>
              </w:tc>
              <w:tc>
                <w:tcPr>
                  <w:tcW w:w="316" w:type="pct"/>
                  <w:tcBorders>
                    <w:tl2br w:val="nil"/>
                    <w:tr2bl w:val="nil"/>
                  </w:tcBorders>
                  <w:vAlign w:val="center"/>
                </w:tcPr>
                <w:p w14:paraId="427124D3">
                  <w:pPr>
                    <w:widowControl/>
                    <w:jc w:val="center"/>
                    <w:textAlignment w:val="center"/>
                    <w:rPr>
                      <w:bCs/>
                      <w:color w:val="auto"/>
                      <w:kern w:val="0"/>
                      <w:szCs w:val="21"/>
                      <w:highlight w:val="none"/>
                      <w:lang w:bidi="ar"/>
                    </w:rPr>
                  </w:pPr>
                  <w:r>
                    <w:rPr>
                      <w:rFonts w:hint="eastAsia"/>
                      <w:bCs/>
                      <w:color w:val="auto"/>
                      <w:kern w:val="0"/>
                      <w:szCs w:val="21"/>
                      <w:highlight w:val="none"/>
                      <w:lang w:bidi="ar"/>
                    </w:rPr>
                    <w:t>J30</w:t>
                  </w:r>
                </w:p>
              </w:tc>
              <w:tc>
                <w:tcPr>
                  <w:tcW w:w="612" w:type="pct"/>
                  <w:tcBorders>
                    <w:tl2br w:val="nil"/>
                    <w:tr2bl w:val="nil"/>
                  </w:tcBorders>
                  <w:vAlign w:val="center"/>
                </w:tcPr>
                <w:p w14:paraId="1A857D02">
                  <w:pPr>
                    <w:widowControl/>
                    <w:jc w:val="center"/>
                    <w:textAlignment w:val="center"/>
                    <w:rPr>
                      <w:bCs/>
                      <w:color w:val="auto"/>
                      <w:kern w:val="0"/>
                      <w:szCs w:val="21"/>
                      <w:highlight w:val="none"/>
                      <w:lang w:bidi="ar"/>
                    </w:rPr>
                  </w:pPr>
                  <w:r>
                    <w:rPr>
                      <w:rFonts w:hint="eastAsia"/>
                      <w:bCs/>
                      <w:color w:val="auto"/>
                      <w:kern w:val="0"/>
                      <w:szCs w:val="21"/>
                      <w:highlight w:val="none"/>
                      <w:lang w:bidi="ar"/>
                    </w:rPr>
                    <w:t>石蜡换热器</w:t>
                  </w:r>
                </w:p>
              </w:tc>
              <w:tc>
                <w:tcPr>
                  <w:tcW w:w="527" w:type="pct"/>
                  <w:tcBorders>
                    <w:tl2br w:val="nil"/>
                    <w:tr2bl w:val="nil"/>
                  </w:tcBorders>
                  <w:vAlign w:val="center"/>
                </w:tcPr>
                <w:p w14:paraId="3DA20A58">
                  <w:pPr>
                    <w:widowControl/>
                    <w:jc w:val="center"/>
                    <w:textAlignment w:val="center"/>
                    <w:rPr>
                      <w:bCs/>
                      <w:color w:val="auto"/>
                      <w:kern w:val="0"/>
                      <w:szCs w:val="21"/>
                      <w:highlight w:val="none"/>
                      <w:lang w:bidi="ar"/>
                    </w:rPr>
                  </w:pPr>
                  <w:r>
                    <w:rPr>
                      <w:rFonts w:hint="eastAsia"/>
                      <w:bCs/>
                      <w:color w:val="auto"/>
                      <w:kern w:val="0"/>
                      <w:szCs w:val="21"/>
                      <w:highlight w:val="none"/>
                      <w:lang w:bidi="ar"/>
                    </w:rPr>
                    <w:t>BR30</w:t>
                  </w:r>
                </w:p>
              </w:tc>
              <w:tc>
                <w:tcPr>
                  <w:tcW w:w="408" w:type="pct"/>
                  <w:tcBorders>
                    <w:tl2br w:val="nil"/>
                    <w:tr2bl w:val="nil"/>
                  </w:tcBorders>
                  <w:vAlign w:val="center"/>
                </w:tcPr>
                <w:p w14:paraId="68C4EFB7">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3C1F342">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1F7A8D3E">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3385C41">
                  <w:pPr>
                    <w:rPr>
                      <w:rStyle w:val="87"/>
                      <w:rFonts w:ascii="Times New Roman"/>
                      <w:color w:val="auto"/>
                      <w:sz w:val="21"/>
                      <w:szCs w:val="21"/>
                      <w:highlight w:val="none"/>
                    </w:rPr>
                  </w:pPr>
                  <w:r>
                    <w:rPr>
                      <w:rStyle w:val="87"/>
                      <w:rFonts w:ascii="Times New Roman"/>
                      <w:color w:val="auto"/>
                      <w:sz w:val="21"/>
                      <w:szCs w:val="21"/>
                      <w:highlight w:val="none"/>
                    </w:rPr>
                    <w:t>螺旋板换热器、解析后的热石蜡与吸收溶剂的冷石蜡进行换热。材质Q235</w:t>
                  </w:r>
                  <w:r>
                    <w:rPr>
                      <w:rStyle w:val="87"/>
                      <w:rFonts w:hint="eastAsia"/>
                      <w:color w:val="auto"/>
                      <w:sz w:val="21"/>
                      <w:szCs w:val="21"/>
                      <w:highlight w:val="none"/>
                    </w:rPr>
                    <w:t>。</w:t>
                  </w:r>
                </w:p>
              </w:tc>
            </w:tr>
            <w:tr w14:paraId="57B45B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3FCE714">
                  <w:pPr>
                    <w:widowControl/>
                    <w:jc w:val="center"/>
                    <w:textAlignment w:val="center"/>
                    <w:rPr>
                      <w:bCs/>
                      <w:color w:val="auto"/>
                      <w:kern w:val="0"/>
                      <w:szCs w:val="21"/>
                      <w:highlight w:val="none"/>
                      <w:lang w:bidi="ar"/>
                    </w:rPr>
                  </w:pPr>
                  <w:r>
                    <w:rPr>
                      <w:rFonts w:hint="eastAsia"/>
                      <w:bCs/>
                      <w:color w:val="auto"/>
                      <w:kern w:val="0"/>
                      <w:szCs w:val="21"/>
                      <w:highlight w:val="none"/>
                      <w:lang w:bidi="ar"/>
                    </w:rPr>
                    <w:t>31</w:t>
                  </w:r>
                </w:p>
              </w:tc>
              <w:tc>
                <w:tcPr>
                  <w:tcW w:w="316" w:type="pct"/>
                  <w:tcBorders>
                    <w:tl2br w:val="nil"/>
                    <w:tr2bl w:val="nil"/>
                  </w:tcBorders>
                  <w:vAlign w:val="center"/>
                </w:tcPr>
                <w:p w14:paraId="714E439C">
                  <w:pPr>
                    <w:widowControl/>
                    <w:jc w:val="center"/>
                    <w:textAlignment w:val="center"/>
                    <w:rPr>
                      <w:bCs/>
                      <w:color w:val="auto"/>
                      <w:kern w:val="0"/>
                      <w:szCs w:val="21"/>
                      <w:highlight w:val="none"/>
                      <w:lang w:bidi="ar"/>
                    </w:rPr>
                  </w:pPr>
                  <w:r>
                    <w:rPr>
                      <w:rFonts w:hint="eastAsia"/>
                      <w:bCs/>
                      <w:color w:val="auto"/>
                      <w:kern w:val="0"/>
                      <w:szCs w:val="21"/>
                      <w:highlight w:val="none"/>
                      <w:lang w:bidi="ar"/>
                    </w:rPr>
                    <w:t>J31</w:t>
                  </w:r>
                </w:p>
              </w:tc>
              <w:tc>
                <w:tcPr>
                  <w:tcW w:w="612" w:type="pct"/>
                  <w:tcBorders>
                    <w:tl2br w:val="nil"/>
                    <w:tr2bl w:val="nil"/>
                  </w:tcBorders>
                  <w:vAlign w:val="center"/>
                </w:tcPr>
                <w:p w14:paraId="4221953D">
                  <w:pPr>
                    <w:widowControl/>
                    <w:jc w:val="center"/>
                    <w:textAlignment w:val="center"/>
                    <w:rPr>
                      <w:bCs/>
                      <w:color w:val="auto"/>
                      <w:kern w:val="0"/>
                      <w:szCs w:val="21"/>
                      <w:highlight w:val="none"/>
                      <w:lang w:bidi="ar"/>
                    </w:rPr>
                  </w:pPr>
                  <w:r>
                    <w:rPr>
                      <w:rFonts w:hint="eastAsia"/>
                      <w:bCs/>
                      <w:color w:val="auto"/>
                      <w:kern w:val="0"/>
                      <w:szCs w:val="21"/>
                      <w:highlight w:val="none"/>
                      <w:lang w:bidi="ar"/>
                    </w:rPr>
                    <w:t>石蜡冷却器</w:t>
                  </w:r>
                </w:p>
              </w:tc>
              <w:tc>
                <w:tcPr>
                  <w:tcW w:w="527" w:type="pct"/>
                  <w:tcBorders>
                    <w:tl2br w:val="nil"/>
                    <w:tr2bl w:val="nil"/>
                  </w:tcBorders>
                  <w:vAlign w:val="center"/>
                </w:tcPr>
                <w:p w14:paraId="38FEC644">
                  <w:pPr>
                    <w:widowControl/>
                    <w:jc w:val="center"/>
                    <w:textAlignment w:val="center"/>
                    <w:rPr>
                      <w:bCs/>
                      <w:color w:val="auto"/>
                      <w:kern w:val="0"/>
                      <w:szCs w:val="21"/>
                      <w:highlight w:val="none"/>
                      <w:lang w:bidi="ar"/>
                    </w:rPr>
                  </w:pPr>
                  <w:r>
                    <w:rPr>
                      <w:rFonts w:hint="eastAsia"/>
                      <w:bCs/>
                      <w:color w:val="auto"/>
                      <w:kern w:val="0"/>
                      <w:szCs w:val="21"/>
                      <w:highlight w:val="none"/>
                      <w:lang w:bidi="ar"/>
                    </w:rPr>
                    <w:t>BR30</w:t>
                  </w:r>
                </w:p>
              </w:tc>
              <w:tc>
                <w:tcPr>
                  <w:tcW w:w="408" w:type="pct"/>
                  <w:tcBorders>
                    <w:tl2br w:val="nil"/>
                    <w:tr2bl w:val="nil"/>
                  </w:tcBorders>
                  <w:vAlign w:val="center"/>
                </w:tcPr>
                <w:p w14:paraId="0F2BBE35">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70ACE9ED">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5F65DA0">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20A406C7">
                  <w:pPr>
                    <w:rPr>
                      <w:rStyle w:val="87"/>
                      <w:rFonts w:ascii="Times New Roman"/>
                      <w:color w:val="auto"/>
                      <w:sz w:val="21"/>
                      <w:szCs w:val="21"/>
                      <w:highlight w:val="none"/>
                    </w:rPr>
                  </w:pPr>
                  <w:r>
                    <w:rPr>
                      <w:rStyle w:val="87"/>
                      <w:rFonts w:ascii="Times New Roman"/>
                      <w:color w:val="auto"/>
                      <w:sz w:val="21"/>
                      <w:szCs w:val="21"/>
                      <w:highlight w:val="none"/>
                    </w:rPr>
                    <w:t>螺旋板换热器、解析后经过换热的石蜡再通过该设备，通入冷却水冷却到≤30℃去吸收塔吸收溶剂气体</w:t>
                  </w:r>
                  <w:r>
                    <w:rPr>
                      <w:rStyle w:val="87"/>
                      <w:rFonts w:hint="eastAsia"/>
                      <w:color w:val="auto"/>
                      <w:sz w:val="21"/>
                      <w:szCs w:val="21"/>
                      <w:highlight w:val="none"/>
                    </w:rPr>
                    <w:t>。</w:t>
                  </w:r>
                  <w:r>
                    <w:rPr>
                      <w:rStyle w:val="87"/>
                      <w:rFonts w:ascii="Times New Roman"/>
                      <w:color w:val="auto"/>
                      <w:sz w:val="21"/>
                      <w:szCs w:val="21"/>
                      <w:highlight w:val="none"/>
                    </w:rPr>
                    <w:t>壳体材料</w:t>
                  </w:r>
                  <w:r>
                    <w:rPr>
                      <w:rStyle w:val="87"/>
                      <w:rFonts w:hint="eastAsia" w:ascii="Times New Roman"/>
                      <w:color w:val="auto"/>
                      <w:sz w:val="21"/>
                      <w:szCs w:val="21"/>
                      <w:highlight w:val="none"/>
                    </w:rPr>
                    <w:t>：</w:t>
                  </w:r>
                  <w:r>
                    <w:rPr>
                      <w:rStyle w:val="87"/>
                      <w:rFonts w:ascii="Times New Roman"/>
                      <w:color w:val="auto"/>
                      <w:sz w:val="21"/>
                      <w:szCs w:val="21"/>
                      <w:highlight w:val="none"/>
                    </w:rPr>
                    <w:t>Q235-A。</w:t>
                  </w:r>
                </w:p>
              </w:tc>
            </w:tr>
            <w:tr w14:paraId="26CB59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9BC88F4">
                  <w:pPr>
                    <w:widowControl/>
                    <w:jc w:val="center"/>
                    <w:textAlignment w:val="center"/>
                    <w:rPr>
                      <w:bCs/>
                      <w:color w:val="auto"/>
                      <w:kern w:val="0"/>
                      <w:szCs w:val="21"/>
                      <w:highlight w:val="none"/>
                      <w:lang w:bidi="ar"/>
                    </w:rPr>
                  </w:pPr>
                  <w:r>
                    <w:rPr>
                      <w:rFonts w:hint="eastAsia"/>
                      <w:bCs/>
                      <w:color w:val="auto"/>
                      <w:kern w:val="0"/>
                      <w:szCs w:val="21"/>
                      <w:highlight w:val="none"/>
                      <w:lang w:bidi="ar"/>
                    </w:rPr>
                    <w:t>32</w:t>
                  </w:r>
                </w:p>
              </w:tc>
              <w:tc>
                <w:tcPr>
                  <w:tcW w:w="316" w:type="pct"/>
                  <w:tcBorders>
                    <w:tl2br w:val="nil"/>
                    <w:tr2bl w:val="nil"/>
                  </w:tcBorders>
                  <w:vAlign w:val="center"/>
                </w:tcPr>
                <w:p w14:paraId="06786DE8">
                  <w:pPr>
                    <w:widowControl/>
                    <w:jc w:val="center"/>
                    <w:textAlignment w:val="center"/>
                    <w:rPr>
                      <w:bCs/>
                      <w:color w:val="auto"/>
                      <w:kern w:val="0"/>
                      <w:szCs w:val="21"/>
                      <w:highlight w:val="none"/>
                      <w:lang w:bidi="ar"/>
                    </w:rPr>
                  </w:pPr>
                  <w:r>
                    <w:rPr>
                      <w:rFonts w:hint="eastAsia"/>
                      <w:bCs/>
                      <w:color w:val="auto"/>
                      <w:kern w:val="0"/>
                      <w:szCs w:val="21"/>
                      <w:highlight w:val="none"/>
                      <w:lang w:bidi="ar"/>
                    </w:rPr>
                    <w:t>J32</w:t>
                  </w:r>
                </w:p>
              </w:tc>
              <w:tc>
                <w:tcPr>
                  <w:tcW w:w="612" w:type="pct"/>
                  <w:tcBorders>
                    <w:tl2br w:val="nil"/>
                    <w:tr2bl w:val="nil"/>
                  </w:tcBorders>
                  <w:vAlign w:val="center"/>
                </w:tcPr>
                <w:p w14:paraId="2B6FA17A">
                  <w:pPr>
                    <w:widowControl/>
                    <w:jc w:val="center"/>
                    <w:textAlignment w:val="center"/>
                    <w:rPr>
                      <w:bCs/>
                      <w:color w:val="auto"/>
                      <w:kern w:val="0"/>
                      <w:szCs w:val="21"/>
                      <w:highlight w:val="none"/>
                      <w:lang w:bidi="ar"/>
                    </w:rPr>
                  </w:pPr>
                  <w:r>
                    <w:rPr>
                      <w:rFonts w:hint="eastAsia"/>
                      <w:bCs/>
                      <w:color w:val="auto"/>
                      <w:kern w:val="0"/>
                      <w:szCs w:val="21"/>
                      <w:highlight w:val="none"/>
                      <w:lang w:bidi="ar"/>
                    </w:rPr>
                    <w:t>石蜡加热器</w:t>
                  </w:r>
                </w:p>
              </w:tc>
              <w:tc>
                <w:tcPr>
                  <w:tcW w:w="527" w:type="pct"/>
                  <w:tcBorders>
                    <w:tl2br w:val="nil"/>
                    <w:tr2bl w:val="nil"/>
                  </w:tcBorders>
                  <w:vAlign w:val="center"/>
                </w:tcPr>
                <w:p w14:paraId="438712E7">
                  <w:pPr>
                    <w:widowControl/>
                    <w:jc w:val="center"/>
                    <w:textAlignment w:val="center"/>
                    <w:rPr>
                      <w:bCs/>
                      <w:color w:val="auto"/>
                      <w:kern w:val="0"/>
                      <w:szCs w:val="21"/>
                      <w:highlight w:val="none"/>
                      <w:lang w:bidi="ar"/>
                    </w:rPr>
                  </w:pPr>
                  <w:r>
                    <w:rPr>
                      <w:rFonts w:hint="eastAsia"/>
                      <w:bCs/>
                      <w:color w:val="auto"/>
                      <w:kern w:val="0"/>
                      <w:szCs w:val="21"/>
                      <w:highlight w:val="none"/>
                      <w:lang w:bidi="ar"/>
                    </w:rPr>
                    <w:t>RJQ200</w:t>
                  </w:r>
                </w:p>
              </w:tc>
              <w:tc>
                <w:tcPr>
                  <w:tcW w:w="408" w:type="pct"/>
                  <w:tcBorders>
                    <w:tl2br w:val="nil"/>
                    <w:tr2bl w:val="nil"/>
                  </w:tcBorders>
                  <w:vAlign w:val="center"/>
                </w:tcPr>
                <w:p w14:paraId="5585B626">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64278F1">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3B5C8AD">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759AA5A8">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通过油换热器,被加热的含有溶剂的石蜡再加热到≥110℃去解析塔，换热器材质</w:t>
                  </w:r>
                  <w:r>
                    <w:rPr>
                      <w:rStyle w:val="87"/>
                      <w:rFonts w:hint="eastAsia" w:ascii="Times New Roman"/>
                      <w:color w:val="auto"/>
                      <w:sz w:val="21"/>
                      <w:szCs w:val="21"/>
                      <w:highlight w:val="none"/>
                    </w:rPr>
                    <w:t>：</w:t>
                  </w:r>
                  <w:r>
                    <w:rPr>
                      <w:rStyle w:val="87"/>
                      <w:rFonts w:ascii="Times New Roman"/>
                      <w:color w:val="auto"/>
                      <w:sz w:val="21"/>
                      <w:szCs w:val="21"/>
                      <w:highlight w:val="none"/>
                    </w:rPr>
                    <w:t>碳钢</w:t>
                  </w:r>
                  <w:r>
                    <w:rPr>
                      <w:rFonts w:hint="eastAsia"/>
                      <w:color w:val="auto"/>
                      <w:lang w:eastAsia="zh-CN"/>
                    </w:rPr>
                    <w:t>。</w:t>
                  </w:r>
                </w:p>
              </w:tc>
            </w:tr>
            <w:tr w14:paraId="61917E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64662C5">
                  <w:pPr>
                    <w:widowControl/>
                    <w:jc w:val="center"/>
                    <w:textAlignment w:val="center"/>
                    <w:rPr>
                      <w:bCs/>
                      <w:color w:val="auto"/>
                      <w:kern w:val="0"/>
                      <w:szCs w:val="21"/>
                      <w:highlight w:val="none"/>
                      <w:lang w:bidi="ar"/>
                    </w:rPr>
                  </w:pPr>
                  <w:r>
                    <w:rPr>
                      <w:rFonts w:hint="eastAsia"/>
                      <w:bCs/>
                      <w:color w:val="auto"/>
                      <w:kern w:val="0"/>
                      <w:szCs w:val="21"/>
                      <w:highlight w:val="none"/>
                      <w:lang w:bidi="ar"/>
                    </w:rPr>
                    <w:t>33</w:t>
                  </w:r>
                </w:p>
              </w:tc>
              <w:tc>
                <w:tcPr>
                  <w:tcW w:w="316" w:type="pct"/>
                  <w:tcBorders>
                    <w:tl2br w:val="nil"/>
                    <w:tr2bl w:val="nil"/>
                  </w:tcBorders>
                  <w:vAlign w:val="center"/>
                </w:tcPr>
                <w:p w14:paraId="43841838">
                  <w:pPr>
                    <w:widowControl/>
                    <w:jc w:val="center"/>
                    <w:textAlignment w:val="center"/>
                    <w:rPr>
                      <w:bCs/>
                      <w:color w:val="auto"/>
                      <w:kern w:val="0"/>
                      <w:szCs w:val="21"/>
                      <w:highlight w:val="none"/>
                      <w:lang w:bidi="ar"/>
                    </w:rPr>
                  </w:pPr>
                  <w:r>
                    <w:rPr>
                      <w:rFonts w:hint="eastAsia"/>
                      <w:bCs/>
                      <w:color w:val="auto"/>
                      <w:kern w:val="0"/>
                      <w:szCs w:val="21"/>
                      <w:highlight w:val="none"/>
                      <w:lang w:bidi="ar"/>
                    </w:rPr>
                    <w:t>J33</w:t>
                  </w:r>
                </w:p>
              </w:tc>
              <w:tc>
                <w:tcPr>
                  <w:tcW w:w="612" w:type="pct"/>
                  <w:tcBorders>
                    <w:tl2br w:val="nil"/>
                    <w:tr2bl w:val="nil"/>
                  </w:tcBorders>
                  <w:vAlign w:val="center"/>
                </w:tcPr>
                <w:p w14:paraId="1ACD39E4">
                  <w:pPr>
                    <w:widowControl/>
                    <w:jc w:val="center"/>
                    <w:textAlignment w:val="center"/>
                    <w:rPr>
                      <w:bCs/>
                      <w:color w:val="auto"/>
                      <w:kern w:val="0"/>
                      <w:szCs w:val="21"/>
                      <w:highlight w:val="none"/>
                      <w:lang w:bidi="ar"/>
                    </w:rPr>
                  </w:pPr>
                  <w:r>
                    <w:rPr>
                      <w:rFonts w:hint="eastAsia"/>
                      <w:bCs/>
                      <w:color w:val="auto"/>
                      <w:kern w:val="0"/>
                      <w:szCs w:val="21"/>
                      <w:highlight w:val="none"/>
                      <w:lang w:bidi="ar"/>
                    </w:rPr>
                    <w:t>分汽包</w:t>
                  </w:r>
                </w:p>
              </w:tc>
              <w:tc>
                <w:tcPr>
                  <w:tcW w:w="527" w:type="pct"/>
                  <w:tcBorders>
                    <w:tl2br w:val="nil"/>
                    <w:tr2bl w:val="nil"/>
                  </w:tcBorders>
                  <w:vAlign w:val="center"/>
                </w:tcPr>
                <w:p w14:paraId="0A2F1C23">
                  <w:pPr>
                    <w:widowControl/>
                    <w:jc w:val="center"/>
                    <w:textAlignment w:val="center"/>
                    <w:rPr>
                      <w:bCs/>
                      <w:color w:val="auto"/>
                      <w:kern w:val="0"/>
                      <w:szCs w:val="21"/>
                      <w:highlight w:val="none"/>
                      <w:lang w:bidi="ar"/>
                    </w:rPr>
                  </w:pPr>
                  <w:r>
                    <w:rPr>
                      <w:rFonts w:hint="eastAsia"/>
                      <w:bCs/>
                      <w:color w:val="auto"/>
                      <w:kern w:val="0"/>
                      <w:szCs w:val="21"/>
                      <w:highlight w:val="none"/>
                      <w:lang w:bidi="ar"/>
                    </w:rPr>
                    <w:t>FQB40</w:t>
                  </w:r>
                </w:p>
              </w:tc>
              <w:tc>
                <w:tcPr>
                  <w:tcW w:w="408" w:type="pct"/>
                  <w:tcBorders>
                    <w:tl2br w:val="nil"/>
                    <w:tr2bl w:val="nil"/>
                  </w:tcBorders>
                  <w:vAlign w:val="center"/>
                </w:tcPr>
                <w:p w14:paraId="004AC690">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09F2D5C6">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68C4FAD">
                  <w:pPr>
                    <w:widowControl/>
                    <w:jc w:val="center"/>
                    <w:textAlignment w:val="center"/>
                    <w:rPr>
                      <w:bCs/>
                      <w:color w:val="auto"/>
                      <w:kern w:val="0"/>
                      <w:szCs w:val="21"/>
                      <w:highlight w:val="none"/>
                      <w:lang w:bidi="ar"/>
                    </w:rPr>
                  </w:pPr>
                  <w:r>
                    <w:rPr>
                      <w:rFonts w:hint="eastAsia"/>
                      <w:bCs/>
                      <w:color w:val="auto"/>
                      <w:kern w:val="0"/>
                      <w:szCs w:val="21"/>
                      <w:highlight w:val="none"/>
                      <w:lang w:bidi="ar"/>
                    </w:rPr>
                    <w:t>泰安山口锅炉厂</w:t>
                  </w:r>
                </w:p>
              </w:tc>
              <w:tc>
                <w:tcPr>
                  <w:tcW w:w="1763" w:type="pct"/>
                  <w:tcBorders>
                    <w:tl2br w:val="nil"/>
                    <w:tr2bl w:val="nil"/>
                  </w:tcBorders>
                  <w:vAlign w:val="center"/>
                </w:tcPr>
                <w:p w14:paraId="4678393F">
                  <w:pPr>
                    <w:rPr>
                      <w:rStyle w:val="87"/>
                      <w:rFonts w:hint="eastAsia" w:ascii="Times New Roman" w:eastAsia="宋体"/>
                      <w:color w:val="auto"/>
                      <w:sz w:val="21"/>
                      <w:szCs w:val="21"/>
                      <w:highlight w:val="none"/>
                      <w:lang w:eastAsia="zh-CN"/>
                    </w:rPr>
                  </w:pPr>
                  <w:r>
                    <w:rPr>
                      <w:rStyle w:val="87"/>
                      <w:rFonts w:ascii="Times New Roman"/>
                      <w:color w:val="auto"/>
                      <w:sz w:val="21"/>
                      <w:szCs w:val="21"/>
                      <w:highlight w:val="none"/>
                    </w:rPr>
                    <w:t>压力容器。材质：碳钢</w:t>
                  </w:r>
                  <w:r>
                    <w:rPr>
                      <w:rFonts w:hint="eastAsia"/>
                      <w:color w:val="auto"/>
                      <w:lang w:eastAsia="zh-CN"/>
                    </w:rPr>
                    <w:t>。</w:t>
                  </w:r>
                </w:p>
              </w:tc>
            </w:tr>
            <w:tr w14:paraId="1F1CB7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DCAFC81">
                  <w:pPr>
                    <w:widowControl/>
                    <w:jc w:val="center"/>
                    <w:textAlignment w:val="center"/>
                    <w:rPr>
                      <w:bCs/>
                      <w:color w:val="auto"/>
                      <w:kern w:val="0"/>
                      <w:szCs w:val="21"/>
                      <w:highlight w:val="none"/>
                      <w:lang w:bidi="ar"/>
                    </w:rPr>
                  </w:pPr>
                  <w:r>
                    <w:rPr>
                      <w:rFonts w:hint="eastAsia"/>
                      <w:bCs/>
                      <w:color w:val="auto"/>
                      <w:kern w:val="0"/>
                      <w:szCs w:val="21"/>
                      <w:highlight w:val="none"/>
                      <w:lang w:bidi="ar"/>
                    </w:rPr>
                    <w:t>34</w:t>
                  </w:r>
                </w:p>
              </w:tc>
              <w:tc>
                <w:tcPr>
                  <w:tcW w:w="316" w:type="pct"/>
                  <w:tcBorders>
                    <w:tl2br w:val="nil"/>
                    <w:tr2bl w:val="nil"/>
                  </w:tcBorders>
                  <w:vAlign w:val="center"/>
                </w:tcPr>
                <w:p w14:paraId="6CC943E2">
                  <w:pPr>
                    <w:widowControl/>
                    <w:jc w:val="center"/>
                    <w:textAlignment w:val="center"/>
                    <w:rPr>
                      <w:bCs/>
                      <w:color w:val="auto"/>
                      <w:kern w:val="0"/>
                      <w:szCs w:val="21"/>
                      <w:highlight w:val="none"/>
                      <w:lang w:bidi="ar"/>
                    </w:rPr>
                  </w:pPr>
                  <w:r>
                    <w:rPr>
                      <w:rFonts w:hint="eastAsia"/>
                      <w:bCs/>
                      <w:color w:val="auto"/>
                      <w:kern w:val="0"/>
                      <w:szCs w:val="21"/>
                      <w:highlight w:val="none"/>
                      <w:lang w:bidi="ar"/>
                    </w:rPr>
                    <w:t>J34</w:t>
                  </w:r>
                </w:p>
              </w:tc>
              <w:tc>
                <w:tcPr>
                  <w:tcW w:w="612" w:type="pct"/>
                  <w:tcBorders>
                    <w:tl2br w:val="nil"/>
                    <w:tr2bl w:val="nil"/>
                  </w:tcBorders>
                  <w:vAlign w:val="center"/>
                </w:tcPr>
                <w:p w14:paraId="2D1DF244">
                  <w:pPr>
                    <w:widowControl/>
                    <w:jc w:val="center"/>
                    <w:textAlignment w:val="center"/>
                    <w:rPr>
                      <w:bCs/>
                      <w:color w:val="auto"/>
                      <w:kern w:val="0"/>
                      <w:szCs w:val="21"/>
                      <w:highlight w:val="none"/>
                      <w:lang w:bidi="ar"/>
                    </w:rPr>
                  </w:pPr>
                  <w:r>
                    <w:rPr>
                      <w:rFonts w:hint="eastAsia"/>
                      <w:bCs/>
                      <w:color w:val="auto"/>
                      <w:kern w:val="0"/>
                      <w:szCs w:val="21"/>
                      <w:highlight w:val="none"/>
                      <w:lang w:bidi="ar"/>
                    </w:rPr>
                    <w:t>蒸汽过热器</w:t>
                  </w:r>
                </w:p>
              </w:tc>
              <w:tc>
                <w:tcPr>
                  <w:tcW w:w="527" w:type="pct"/>
                  <w:tcBorders>
                    <w:tl2br w:val="nil"/>
                    <w:tr2bl w:val="nil"/>
                  </w:tcBorders>
                  <w:vAlign w:val="center"/>
                </w:tcPr>
                <w:p w14:paraId="0E7CCF32">
                  <w:pPr>
                    <w:widowControl/>
                    <w:jc w:val="center"/>
                    <w:textAlignment w:val="center"/>
                    <w:rPr>
                      <w:bCs/>
                      <w:color w:val="auto"/>
                      <w:kern w:val="0"/>
                      <w:szCs w:val="21"/>
                      <w:highlight w:val="none"/>
                      <w:lang w:bidi="ar"/>
                    </w:rPr>
                  </w:pPr>
                  <w:r>
                    <w:rPr>
                      <w:rFonts w:hint="eastAsia"/>
                      <w:bCs/>
                      <w:color w:val="auto"/>
                      <w:kern w:val="0"/>
                      <w:szCs w:val="21"/>
                      <w:highlight w:val="none"/>
                      <w:lang w:bidi="ar"/>
                    </w:rPr>
                    <w:t>GRQ30</w:t>
                  </w:r>
                </w:p>
              </w:tc>
              <w:tc>
                <w:tcPr>
                  <w:tcW w:w="408" w:type="pct"/>
                  <w:tcBorders>
                    <w:tl2br w:val="nil"/>
                    <w:tr2bl w:val="nil"/>
                  </w:tcBorders>
                  <w:vAlign w:val="center"/>
                </w:tcPr>
                <w:p w14:paraId="6DBA7B6E">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5618B1E0">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2F435D32">
                  <w:pPr>
                    <w:widowControl/>
                    <w:jc w:val="center"/>
                    <w:textAlignment w:val="center"/>
                    <w:rPr>
                      <w:bCs/>
                      <w:color w:val="auto"/>
                      <w:kern w:val="0"/>
                      <w:szCs w:val="21"/>
                      <w:highlight w:val="none"/>
                      <w:lang w:bidi="ar"/>
                    </w:rPr>
                  </w:pPr>
                  <w:r>
                    <w:rPr>
                      <w:rFonts w:hint="eastAsia"/>
                      <w:bCs/>
                      <w:color w:val="auto"/>
                      <w:kern w:val="0"/>
                      <w:szCs w:val="21"/>
                      <w:highlight w:val="none"/>
                      <w:lang w:bidi="ar"/>
                    </w:rPr>
                    <w:t>泰安昊正能源装备</w:t>
                  </w:r>
                </w:p>
              </w:tc>
              <w:tc>
                <w:tcPr>
                  <w:tcW w:w="1763" w:type="pct"/>
                  <w:tcBorders>
                    <w:tl2br w:val="nil"/>
                    <w:tr2bl w:val="nil"/>
                  </w:tcBorders>
                  <w:vAlign w:val="center"/>
                </w:tcPr>
                <w:p w14:paraId="4604AFDA">
                  <w:pPr>
                    <w:rPr>
                      <w:rStyle w:val="87"/>
                      <w:rFonts w:ascii="Times New Roman"/>
                      <w:color w:val="auto"/>
                      <w:sz w:val="21"/>
                      <w:szCs w:val="21"/>
                      <w:highlight w:val="none"/>
                    </w:rPr>
                  </w:pPr>
                  <w:r>
                    <w:rPr>
                      <w:rStyle w:val="87"/>
                      <w:rFonts w:ascii="Times New Roman"/>
                      <w:color w:val="auto"/>
                      <w:sz w:val="21"/>
                      <w:szCs w:val="21"/>
                      <w:highlight w:val="none"/>
                    </w:rPr>
                    <w:t>高压蒸汽加热低压直接蒸汽使蒸汽过热。壳体材质</w:t>
                  </w:r>
                  <w:r>
                    <w:rPr>
                      <w:rStyle w:val="87"/>
                      <w:rFonts w:hint="eastAsia" w:ascii="Times New Roman"/>
                      <w:color w:val="auto"/>
                      <w:sz w:val="21"/>
                      <w:szCs w:val="21"/>
                      <w:highlight w:val="none"/>
                    </w:rPr>
                    <w:t>：</w:t>
                  </w:r>
                  <w:r>
                    <w:rPr>
                      <w:rStyle w:val="87"/>
                      <w:rFonts w:ascii="Times New Roman"/>
                      <w:color w:val="auto"/>
                      <w:sz w:val="21"/>
                      <w:szCs w:val="21"/>
                      <w:highlight w:val="none"/>
                    </w:rPr>
                    <w:t>Q235-B，列管</w:t>
                  </w:r>
                  <w:r>
                    <w:rPr>
                      <w:rStyle w:val="87"/>
                      <w:rFonts w:hint="eastAsia" w:ascii="Times New Roman"/>
                      <w:color w:val="auto"/>
                      <w:sz w:val="21"/>
                      <w:szCs w:val="21"/>
                      <w:highlight w:val="none"/>
                    </w:rPr>
                    <w:t>：</w:t>
                  </w:r>
                  <w:r>
                    <w:rPr>
                      <w:rStyle w:val="87"/>
                      <w:rFonts w:ascii="Times New Roman"/>
                      <w:color w:val="auto"/>
                      <w:sz w:val="21"/>
                      <w:szCs w:val="21"/>
                      <w:highlight w:val="none"/>
                    </w:rPr>
                    <w:t>Ф25×2.5无缝钢管。压力</w:t>
                  </w:r>
                  <w:r>
                    <w:rPr>
                      <w:rStyle w:val="87"/>
                      <w:rFonts w:hint="eastAsia"/>
                      <w:color w:val="auto"/>
                      <w:sz w:val="21"/>
                      <w:szCs w:val="21"/>
                      <w:highlight w:val="none"/>
                    </w:rPr>
                    <w:t>：</w:t>
                  </w:r>
                  <w:r>
                    <w:rPr>
                      <w:rStyle w:val="87"/>
                      <w:rFonts w:ascii="Times New Roman"/>
                      <w:color w:val="auto"/>
                      <w:sz w:val="21"/>
                      <w:szCs w:val="21"/>
                      <w:highlight w:val="none"/>
                    </w:rPr>
                    <w:t xml:space="preserve">0.6Mpa。  </w:t>
                  </w:r>
                </w:p>
              </w:tc>
            </w:tr>
            <w:tr w14:paraId="179A5E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5F3B7005">
                  <w:pPr>
                    <w:widowControl/>
                    <w:jc w:val="center"/>
                    <w:textAlignment w:val="center"/>
                    <w:rPr>
                      <w:bCs/>
                      <w:color w:val="auto"/>
                      <w:kern w:val="0"/>
                      <w:szCs w:val="21"/>
                      <w:highlight w:val="none"/>
                      <w:lang w:bidi="ar"/>
                    </w:rPr>
                  </w:pPr>
                  <w:r>
                    <w:rPr>
                      <w:rFonts w:hint="eastAsia"/>
                      <w:bCs/>
                      <w:color w:val="auto"/>
                      <w:kern w:val="0"/>
                      <w:szCs w:val="21"/>
                      <w:highlight w:val="none"/>
                      <w:lang w:bidi="ar"/>
                    </w:rPr>
                    <w:t>35</w:t>
                  </w:r>
                </w:p>
              </w:tc>
              <w:tc>
                <w:tcPr>
                  <w:tcW w:w="316" w:type="pct"/>
                  <w:tcBorders>
                    <w:tl2br w:val="nil"/>
                    <w:tr2bl w:val="nil"/>
                  </w:tcBorders>
                  <w:vAlign w:val="center"/>
                </w:tcPr>
                <w:p w14:paraId="4FD1E20E">
                  <w:pPr>
                    <w:widowControl/>
                    <w:jc w:val="center"/>
                    <w:textAlignment w:val="center"/>
                    <w:rPr>
                      <w:bCs/>
                      <w:color w:val="auto"/>
                      <w:kern w:val="0"/>
                      <w:szCs w:val="21"/>
                      <w:highlight w:val="none"/>
                      <w:lang w:bidi="ar"/>
                    </w:rPr>
                  </w:pPr>
                  <w:r>
                    <w:rPr>
                      <w:rFonts w:hint="eastAsia"/>
                      <w:bCs/>
                      <w:color w:val="auto"/>
                      <w:kern w:val="0"/>
                      <w:szCs w:val="21"/>
                      <w:highlight w:val="none"/>
                      <w:lang w:bidi="ar"/>
                    </w:rPr>
                    <w:t>J35</w:t>
                  </w:r>
                </w:p>
              </w:tc>
              <w:tc>
                <w:tcPr>
                  <w:tcW w:w="612" w:type="pct"/>
                  <w:tcBorders>
                    <w:tl2br w:val="nil"/>
                    <w:tr2bl w:val="nil"/>
                  </w:tcBorders>
                  <w:vAlign w:val="center"/>
                </w:tcPr>
                <w:p w14:paraId="626CA9B3">
                  <w:pPr>
                    <w:widowControl/>
                    <w:jc w:val="center"/>
                    <w:textAlignment w:val="center"/>
                    <w:rPr>
                      <w:bCs/>
                      <w:color w:val="auto"/>
                      <w:kern w:val="0"/>
                      <w:szCs w:val="21"/>
                      <w:highlight w:val="none"/>
                      <w:lang w:bidi="ar"/>
                    </w:rPr>
                  </w:pPr>
                  <w:r>
                    <w:rPr>
                      <w:rFonts w:hint="eastAsia"/>
                      <w:bCs/>
                      <w:color w:val="auto"/>
                      <w:kern w:val="0"/>
                      <w:szCs w:val="21"/>
                      <w:highlight w:val="none"/>
                      <w:lang w:bidi="ar"/>
                    </w:rPr>
                    <w:t>尾气风机</w:t>
                  </w:r>
                </w:p>
              </w:tc>
              <w:tc>
                <w:tcPr>
                  <w:tcW w:w="527" w:type="pct"/>
                  <w:tcBorders>
                    <w:tl2br w:val="nil"/>
                    <w:tr2bl w:val="nil"/>
                  </w:tcBorders>
                  <w:vAlign w:val="center"/>
                </w:tcPr>
                <w:p w14:paraId="203C74FE">
                  <w:pPr>
                    <w:widowControl/>
                    <w:jc w:val="center"/>
                    <w:textAlignment w:val="center"/>
                    <w:rPr>
                      <w:bCs/>
                      <w:color w:val="auto"/>
                      <w:kern w:val="0"/>
                      <w:szCs w:val="21"/>
                      <w:highlight w:val="none"/>
                      <w:lang w:bidi="ar"/>
                    </w:rPr>
                  </w:pPr>
                  <w:r>
                    <w:rPr>
                      <w:rFonts w:hint="eastAsia"/>
                      <w:bCs/>
                      <w:color w:val="auto"/>
                      <w:kern w:val="0"/>
                      <w:szCs w:val="21"/>
                      <w:highlight w:val="none"/>
                      <w:lang w:bidi="ar"/>
                    </w:rPr>
                    <w:t>BG-11-3D</w:t>
                  </w:r>
                </w:p>
              </w:tc>
              <w:tc>
                <w:tcPr>
                  <w:tcW w:w="408" w:type="pct"/>
                  <w:tcBorders>
                    <w:tl2br w:val="nil"/>
                    <w:tr2bl w:val="nil"/>
                  </w:tcBorders>
                  <w:vAlign w:val="center"/>
                </w:tcPr>
                <w:p w14:paraId="1EE76139">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670A9C1">
                  <w:pPr>
                    <w:widowControl/>
                    <w:jc w:val="center"/>
                    <w:textAlignment w:val="center"/>
                    <w:rPr>
                      <w:bCs/>
                      <w:color w:val="auto"/>
                      <w:kern w:val="0"/>
                      <w:szCs w:val="21"/>
                      <w:highlight w:val="none"/>
                      <w:lang w:bidi="ar"/>
                    </w:rPr>
                  </w:pPr>
                  <w:r>
                    <w:rPr>
                      <w:rFonts w:hint="eastAsia"/>
                      <w:bCs/>
                      <w:color w:val="auto"/>
                      <w:kern w:val="0"/>
                      <w:szCs w:val="21"/>
                      <w:highlight w:val="none"/>
                      <w:lang w:bidi="ar"/>
                    </w:rPr>
                    <w:t>1.1</w:t>
                  </w:r>
                </w:p>
              </w:tc>
              <w:tc>
                <w:tcPr>
                  <w:tcW w:w="636" w:type="pct"/>
                  <w:gridSpan w:val="2"/>
                  <w:tcBorders>
                    <w:tl2br w:val="nil"/>
                    <w:tr2bl w:val="nil"/>
                  </w:tcBorders>
                  <w:vAlign w:val="center"/>
                </w:tcPr>
                <w:p w14:paraId="0246E9DE">
                  <w:pPr>
                    <w:widowControl/>
                    <w:jc w:val="center"/>
                    <w:textAlignment w:val="center"/>
                    <w:rPr>
                      <w:bCs/>
                      <w:color w:val="auto"/>
                      <w:kern w:val="0"/>
                      <w:szCs w:val="21"/>
                      <w:highlight w:val="none"/>
                      <w:lang w:bidi="ar"/>
                    </w:rPr>
                  </w:pPr>
                  <w:r>
                    <w:rPr>
                      <w:rFonts w:hint="eastAsia"/>
                      <w:bCs/>
                      <w:color w:val="auto"/>
                      <w:kern w:val="0"/>
                      <w:szCs w:val="21"/>
                      <w:highlight w:val="none"/>
                      <w:lang w:bidi="ar"/>
                    </w:rPr>
                    <w:t>济南风机厂</w:t>
                  </w:r>
                </w:p>
              </w:tc>
              <w:tc>
                <w:tcPr>
                  <w:tcW w:w="1763" w:type="pct"/>
                  <w:tcBorders>
                    <w:tl2br w:val="nil"/>
                    <w:tr2bl w:val="nil"/>
                  </w:tcBorders>
                  <w:vAlign w:val="center"/>
                </w:tcPr>
                <w:p w14:paraId="371B7605">
                  <w:pPr>
                    <w:rPr>
                      <w:rStyle w:val="87"/>
                      <w:rFonts w:ascii="Times New Roman"/>
                      <w:color w:val="auto"/>
                      <w:sz w:val="21"/>
                      <w:szCs w:val="21"/>
                      <w:highlight w:val="none"/>
                    </w:rPr>
                  </w:pPr>
                  <w:r>
                    <w:rPr>
                      <w:rStyle w:val="87"/>
                      <w:rFonts w:ascii="Times New Roman"/>
                      <w:color w:val="auto"/>
                      <w:sz w:val="21"/>
                      <w:szCs w:val="21"/>
                      <w:highlight w:val="none"/>
                    </w:rPr>
                    <w:t>结构：铝合金叶轮防爆风机，变频调速。用途：维持车间设备微负压运行。</w:t>
                  </w:r>
                </w:p>
              </w:tc>
            </w:tr>
            <w:tr w14:paraId="59C357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DA757ED">
                  <w:pPr>
                    <w:widowControl/>
                    <w:jc w:val="center"/>
                    <w:textAlignment w:val="center"/>
                    <w:rPr>
                      <w:bCs/>
                      <w:color w:val="auto"/>
                      <w:kern w:val="0"/>
                      <w:szCs w:val="21"/>
                      <w:highlight w:val="none"/>
                      <w:lang w:bidi="ar"/>
                    </w:rPr>
                  </w:pPr>
                  <w:r>
                    <w:rPr>
                      <w:rFonts w:hint="eastAsia"/>
                      <w:bCs/>
                      <w:color w:val="auto"/>
                      <w:kern w:val="0"/>
                      <w:szCs w:val="21"/>
                      <w:highlight w:val="none"/>
                      <w:lang w:bidi="ar"/>
                    </w:rPr>
                    <w:t>36</w:t>
                  </w:r>
                </w:p>
              </w:tc>
              <w:tc>
                <w:tcPr>
                  <w:tcW w:w="316" w:type="pct"/>
                  <w:tcBorders>
                    <w:tl2br w:val="nil"/>
                    <w:tr2bl w:val="nil"/>
                  </w:tcBorders>
                  <w:vAlign w:val="center"/>
                </w:tcPr>
                <w:p w14:paraId="5C391819">
                  <w:pPr>
                    <w:widowControl/>
                    <w:jc w:val="center"/>
                    <w:textAlignment w:val="center"/>
                    <w:rPr>
                      <w:bCs/>
                      <w:color w:val="auto"/>
                      <w:kern w:val="0"/>
                      <w:szCs w:val="21"/>
                      <w:highlight w:val="none"/>
                      <w:lang w:bidi="ar"/>
                    </w:rPr>
                  </w:pPr>
                  <w:r>
                    <w:rPr>
                      <w:rFonts w:hint="eastAsia"/>
                      <w:bCs/>
                      <w:color w:val="auto"/>
                      <w:kern w:val="0"/>
                      <w:szCs w:val="21"/>
                      <w:highlight w:val="none"/>
                      <w:lang w:bidi="ar"/>
                    </w:rPr>
                    <w:t>J36</w:t>
                  </w:r>
                </w:p>
              </w:tc>
              <w:tc>
                <w:tcPr>
                  <w:tcW w:w="612" w:type="pct"/>
                  <w:tcBorders>
                    <w:tl2br w:val="nil"/>
                    <w:tr2bl w:val="nil"/>
                  </w:tcBorders>
                  <w:vAlign w:val="center"/>
                </w:tcPr>
                <w:p w14:paraId="16CAA6EA">
                  <w:pPr>
                    <w:widowControl/>
                    <w:jc w:val="center"/>
                    <w:textAlignment w:val="center"/>
                    <w:rPr>
                      <w:bCs/>
                      <w:color w:val="auto"/>
                      <w:kern w:val="0"/>
                      <w:szCs w:val="21"/>
                      <w:highlight w:val="none"/>
                      <w:lang w:bidi="ar"/>
                    </w:rPr>
                  </w:pPr>
                  <w:r>
                    <w:rPr>
                      <w:rFonts w:hint="eastAsia"/>
                      <w:bCs/>
                      <w:color w:val="auto"/>
                      <w:kern w:val="0"/>
                      <w:szCs w:val="21"/>
                      <w:highlight w:val="none"/>
                      <w:lang w:bidi="ar"/>
                    </w:rPr>
                    <w:t>蒸发真空泵</w:t>
                  </w:r>
                </w:p>
              </w:tc>
              <w:tc>
                <w:tcPr>
                  <w:tcW w:w="527" w:type="pct"/>
                  <w:tcBorders>
                    <w:tl2br w:val="nil"/>
                    <w:tr2bl w:val="nil"/>
                  </w:tcBorders>
                  <w:vAlign w:val="center"/>
                </w:tcPr>
                <w:p w14:paraId="391ACE22">
                  <w:pPr>
                    <w:widowControl/>
                    <w:jc w:val="center"/>
                    <w:textAlignment w:val="center"/>
                    <w:rPr>
                      <w:bCs/>
                      <w:color w:val="auto"/>
                      <w:kern w:val="0"/>
                      <w:szCs w:val="21"/>
                      <w:highlight w:val="none"/>
                      <w:lang w:bidi="ar"/>
                    </w:rPr>
                  </w:pPr>
                  <w:r>
                    <w:rPr>
                      <w:rFonts w:hint="eastAsia"/>
                      <w:bCs/>
                      <w:color w:val="auto"/>
                      <w:kern w:val="0"/>
                      <w:szCs w:val="21"/>
                      <w:highlight w:val="none"/>
                      <w:lang w:bidi="ar"/>
                    </w:rPr>
                    <w:t>1ZP60-200</w:t>
                  </w:r>
                </w:p>
              </w:tc>
              <w:tc>
                <w:tcPr>
                  <w:tcW w:w="408" w:type="pct"/>
                  <w:tcBorders>
                    <w:tl2br w:val="nil"/>
                    <w:tr2bl w:val="nil"/>
                  </w:tcBorders>
                  <w:vAlign w:val="center"/>
                </w:tcPr>
                <w:p w14:paraId="115C01B0">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B26F704">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5FAA33DE">
                  <w:pPr>
                    <w:widowControl/>
                    <w:jc w:val="center"/>
                    <w:textAlignment w:val="center"/>
                    <w:rPr>
                      <w:bCs/>
                      <w:color w:val="auto"/>
                      <w:kern w:val="0"/>
                      <w:szCs w:val="21"/>
                      <w:highlight w:val="none"/>
                      <w:lang w:bidi="ar"/>
                    </w:rPr>
                  </w:pPr>
                  <w:r>
                    <w:rPr>
                      <w:rFonts w:hint="eastAsia"/>
                      <w:bCs/>
                      <w:color w:val="auto"/>
                      <w:kern w:val="0"/>
                      <w:szCs w:val="21"/>
                      <w:highlight w:val="none"/>
                      <w:lang w:bidi="ar"/>
                    </w:rPr>
                    <w:t>西安向阳</w:t>
                  </w:r>
                </w:p>
                <w:p w14:paraId="4446F506">
                  <w:pPr>
                    <w:widowControl/>
                    <w:jc w:val="center"/>
                    <w:textAlignment w:val="center"/>
                    <w:rPr>
                      <w:bCs/>
                      <w:color w:val="auto"/>
                      <w:kern w:val="0"/>
                      <w:szCs w:val="21"/>
                      <w:highlight w:val="none"/>
                      <w:lang w:bidi="ar"/>
                    </w:rPr>
                  </w:pPr>
                  <w:r>
                    <w:rPr>
                      <w:rFonts w:hint="eastAsia"/>
                      <w:bCs/>
                      <w:color w:val="auto"/>
                      <w:kern w:val="0"/>
                      <w:szCs w:val="21"/>
                      <w:highlight w:val="none"/>
                      <w:lang w:bidi="ar"/>
                    </w:rPr>
                    <w:t>或等同</w:t>
                  </w:r>
                </w:p>
              </w:tc>
              <w:tc>
                <w:tcPr>
                  <w:tcW w:w="1763" w:type="pct"/>
                  <w:tcBorders>
                    <w:tl2br w:val="nil"/>
                    <w:tr2bl w:val="nil"/>
                  </w:tcBorders>
                  <w:vAlign w:val="center"/>
                </w:tcPr>
                <w:p w14:paraId="620DD523">
                  <w:pPr>
                    <w:rPr>
                      <w:rStyle w:val="87"/>
                      <w:rFonts w:ascii="Times New Roman"/>
                      <w:color w:val="auto"/>
                      <w:sz w:val="21"/>
                      <w:szCs w:val="21"/>
                      <w:highlight w:val="none"/>
                    </w:rPr>
                  </w:pPr>
                  <w:r>
                    <w:rPr>
                      <w:rStyle w:val="87"/>
                      <w:rFonts w:ascii="Times New Roman"/>
                      <w:color w:val="auto"/>
                      <w:sz w:val="21"/>
                      <w:szCs w:val="21"/>
                      <w:highlight w:val="none"/>
                    </w:rPr>
                    <w:t>用途：维持蒸发系统负压，材质：不锈钢喷嘴。</w:t>
                  </w:r>
                </w:p>
              </w:tc>
            </w:tr>
            <w:tr w14:paraId="7F83E4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CD7BDE2">
                  <w:pPr>
                    <w:widowControl/>
                    <w:jc w:val="center"/>
                    <w:textAlignment w:val="center"/>
                    <w:rPr>
                      <w:bCs/>
                      <w:color w:val="auto"/>
                      <w:kern w:val="0"/>
                      <w:szCs w:val="21"/>
                      <w:highlight w:val="none"/>
                      <w:lang w:bidi="ar"/>
                    </w:rPr>
                  </w:pPr>
                  <w:r>
                    <w:rPr>
                      <w:rFonts w:hint="eastAsia"/>
                      <w:bCs/>
                      <w:color w:val="auto"/>
                      <w:kern w:val="0"/>
                      <w:szCs w:val="21"/>
                      <w:highlight w:val="none"/>
                      <w:lang w:bidi="ar"/>
                    </w:rPr>
                    <w:t>37</w:t>
                  </w:r>
                </w:p>
              </w:tc>
              <w:tc>
                <w:tcPr>
                  <w:tcW w:w="316" w:type="pct"/>
                  <w:tcBorders>
                    <w:tl2br w:val="nil"/>
                    <w:tr2bl w:val="nil"/>
                  </w:tcBorders>
                  <w:vAlign w:val="center"/>
                </w:tcPr>
                <w:p w14:paraId="14AE1EA5">
                  <w:pPr>
                    <w:widowControl/>
                    <w:jc w:val="center"/>
                    <w:textAlignment w:val="center"/>
                    <w:rPr>
                      <w:bCs/>
                      <w:color w:val="auto"/>
                      <w:kern w:val="0"/>
                      <w:szCs w:val="21"/>
                      <w:highlight w:val="none"/>
                      <w:lang w:bidi="ar"/>
                    </w:rPr>
                  </w:pPr>
                  <w:r>
                    <w:rPr>
                      <w:rFonts w:hint="eastAsia"/>
                      <w:bCs/>
                      <w:color w:val="auto"/>
                      <w:kern w:val="0"/>
                      <w:szCs w:val="21"/>
                      <w:highlight w:val="none"/>
                      <w:lang w:bidi="ar"/>
                    </w:rPr>
                    <w:t>J37</w:t>
                  </w:r>
                </w:p>
              </w:tc>
              <w:tc>
                <w:tcPr>
                  <w:tcW w:w="612" w:type="pct"/>
                  <w:tcBorders>
                    <w:tl2br w:val="nil"/>
                    <w:tr2bl w:val="nil"/>
                  </w:tcBorders>
                  <w:vAlign w:val="center"/>
                </w:tcPr>
                <w:p w14:paraId="08D37201">
                  <w:pPr>
                    <w:widowControl/>
                    <w:jc w:val="center"/>
                    <w:textAlignment w:val="center"/>
                    <w:rPr>
                      <w:bCs/>
                      <w:color w:val="auto"/>
                      <w:kern w:val="0"/>
                      <w:szCs w:val="21"/>
                      <w:highlight w:val="none"/>
                      <w:lang w:bidi="ar"/>
                    </w:rPr>
                  </w:pPr>
                  <w:r>
                    <w:rPr>
                      <w:rFonts w:hint="eastAsia"/>
                      <w:bCs/>
                      <w:color w:val="auto"/>
                      <w:kern w:val="0"/>
                      <w:szCs w:val="21"/>
                      <w:highlight w:val="none"/>
                      <w:lang w:bidi="ar"/>
                    </w:rPr>
                    <w:t>混合油循环泵</w:t>
                  </w:r>
                </w:p>
              </w:tc>
              <w:tc>
                <w:tcPr>
                  <w:tcW w:w="527" w:type="pct"/>
                  <w:tcBorders>
                    <w:tl2br w:val="nil"/>
                    <w:tr2bl w:val="nil"/>
                  </w:tcBorders>
                  <w:vAlign w:val="center"/>
                </w:tcPr>
                <w:p w14:paraId="6446A149">
                  <w:pPr>
                    <w:widowControl/>
                    <w:jc w:val="center"/>
                    <w:textAlignment w:val="center"/>
                    <w:rPr>
                      <w:bCs/>
                      <w:color w:val="auto"/>
                      <w:kern w:val="0"/>
                      <w:szCs w:val="21"/>
                      <w:highlight w:val="none"/>
                      <w:lang w:bidi="ar"/>
                    </w:rPr>
                  </w:pPr>
                  <w:r>
                    <w:rPr>
                      <w:rFonts w:hint="eastAsia"/>
                      <w:bCs/>
                      <w:color w:val="auto"/>
                      <w:kern w:val="0"/>
                      <w:szCs w:val="21"/>
                      <w:highlight w:val="none"/>
                      <w:lang w:bidi="ar"/>
                    </w:rPr>
                    <w:t>DBW100-200（I）</w:t>
                  </w:r>
                </w:p>
              </w:tc>
              <w:tc>
                <w:tcPr>
                  <w:tcW w:w="408" w:type="pct"/>
                  <w:tcBorders>
                    <w:tl2br w:val="nil"/>
                    <w:tr2bl w:val="nil"/>
                  </w:tcBorders>
                  <w:vAlign w:val="center"/>
                </w:tcPr>
                <w:p w14:paraId="2BD685C1">
                  <w:pPr>
                    <w:widowControl/>
                    <w:jc w:val="center"/>
                    <w:textAlignment w:val="center"/>
                    <w:rPr>
                      <w:bCs/>
                      <w:color w:val="auto"/>
                      <w:kern w:val="0"/>
                      <w:szCs w:val="21"/>
                      <w:highlight w:val="none"/>
                      <w:lang w:bidi="ar"/>
                    </w:rPr>
                  </w:pPr>
                  <w:r>
                    <w:rPr>
                      <w:rFonts w:hint="eastAsia"/>
                      <w:bCs/>
                      <w:color w:val="auto"/>
                      <w:kern w:val="0"/>
                      <w:szCs w:val="21"/>
                      <w:highlight w:val="none"/>
                      <w:lang w:bidi="ar"/>
                    </w:rPr>
                    <w:t>8</w:t>
                  </w:r>
                </w:p>
              </w:tc>
              <w:tc>
                <w:tcPr>
                  <w:tcW w:w="549" w:type="pct"/>
                  <w:tcBorders>
                    <w:tl2br w:val="nil"/>
                    <w:tr2bl w:val="nil"/>
                  </w:tcBorders>
                  <w:vAlign w:val="center"/>
                </w:tcPr>
                <w:p w14:paraId="67272F6A">
                  <w:pPr>
                    <w:widowControl/>
                    <w:jc w:val="center"/>
                    <w:textAlignment w:val="center"/>
                    <w:rPr>
                      <w:bCs/>
                      <w:color w:val="auto"/>
                      <w:kern w:val="0"/>
                      <w:szCs w:val="21"/>
                      <w:highlight w:val="none"/>
                      <w:lang w:bidi="ar"/>
                    </w:rPr>
                  </w:pPr>
                  <w:r>
                    <w:rPr>
                      <w:rFonts w:hint="eastAsia"/>
                      <w:bCs/>
                      <w:color w:val="auto"/>
                      <w:kern w:val="0"/>
                      <w:szCs w:val="21"/>
                      <w:highlight w:val="none"/>
                      <w:lang w:bidi="ar"/>
                    </w:rPr>
                    <w:t>44</w:t>
                  </w:r>
                </w:p>
              </w:tc>
              <w:tc>
                <w:tcPr>
                  <w:tcW w:w="636" w:type="pct"/>
                  <w:gridSpan w:val="2"/>
                  <w:tcBorders>
                    <w:tl2br w:val="nil"/>
                    <w:tr2bl w:val="nil"/>
                  </w:tcBorders>
                  <w:vAlign w:val="center"/>
                </w:tcPr>
                <w:p w14:paraId="70D15C05">
                  <w:pPr>
                    <w:widowControl/>
                    <w:jc w:val="center"/>
                    <w:textAlignment w:val="center"/>
                    <w:rPr>
                      <w:bCs/>
                      <w:color w:val="auto"/>
                      <w:kern w:val="0"/>
                      <w:szCs w:val="21"/>
                      <w:highlight w:val="none"/>
                      <w:lang w:bidi="ar"/>
                    </w:rPr>
                  </w:pPr>
                  <w:r>
                    <w:rPr>
                      <w:rFonts w:hint="eastAsia"/>
                      <w:bCs/>
                      <w:color w:val="auto"/>
                      <w:kern w:val="0"/>
                      <w:szCs w:val="21"/>
                      <w:highlight w:val="none"/>
                      <w:lang w:bidi="ar"/>
                    </w:rPr>
                    <w:t>无锡新九扬或等同</w:t>
                  </w:r>
                </w:p>
              </w:tc>
              <w:tc>
                <w:tcPr>
                  <w:tcW w:w="1763" w:type="pct"/>
                  <w:tcBorders>
                    <w:tl2br w:val="nil"/>
                    <w:tr2bl w:val="nil"/>
                  </w:tcBorders>
                  <w:vAlign w:val="center"/>
                </w:tcPr>
                <w:p w14:paraId="085DFB53">
                  <w:pPr>
                    <w:rPr>
                      <w:rStyle w:val="87"/>
                      <w:rFonts w:ascii="Times New Roman"/>
                      <w:color w:val="auto"/>
                      <w:sz w:val="20"/>
                      <w:szCs w:val="21"/>
                      <w:highlight w:val="none"/>
                    </w:rPr>
                  </w:pPr>
                  <w:r>
                    <w:rPr>
                      <w:rStyle w:val="87"/>
                      <w:rFonts w:ascii="Times New Roman"/>
                      <w:color w:val="auto"/>
                      <w:sz w:val="20"/>
                      <w:szCs w:val="21"/>
                      <w:highlight w:val="none"/>
                    </w:rPr>
                    <w:t>用途：混合循环，材质：铸钢。</w:t>
                  </w:r>
                </w:p>
              </w:tc>
            </w:tr>
            <w:tr w14:paraId="69DB03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4C18089">
                  <w:pPr>
                    <w:widowControl/>
                    <w:jc w:val="center"/>
                    <w:textAlignment w:val="center"/>
                    <w:rPr>
                      <w:bCs/>
                      <w:color w:val="auto"/>
                      <w:kern w:val="0"/>
                      <w:szCs w:val="21"/>
                      <w:highlight w:val="none"/>
                      <w:lang w:bidi="ar"/>
                    </w:rPr>
                  </w:pPr>
                  <w:r>
                    <w:rPr>
                      <w:rFonts w:hint="eastAsia"/>
                      <w:bCs/>
                      <w:color w:val="auto"/>
                      <w:kern w:val="0"/>
                      <w:szCs w:val="21"/>
                      <w:highlight w:val="none"/>
                      <w:lang w:bidi="ar"/>
                    </w:rPr>
                    <w:t>38</w:t>
                  </w:r>
                </w:p>
              </w:tc>
              <w:tc>
                <w:tcPr>
                  <w:tcW w:w="316" w:type="pct"/>
                  <w:tcBorders>
                    <w:tl2br w:val="nil"/>
                    <w:tr2bl w:val="nil"/>
                  </w:tcBorders>
                  <w:vAlign w:val="center"/>
                </w:tcPr>
                <w:p w14:paraId="41602F2F">
                  <w:pPr>
                    <w:widowControl/>
                    <w:jc w:val="center"/>
                    <w:textAlignment w:val="center"/>
                    <w:rPr>
                      <w:bCs/>
                      <w:color w:val="auto"/>
                      <w:kern w:val="0"/>
                      <w:szCs w:val="21"/>
                      <w:highlight w:val="none"/>
                      <w:lang w:bidi="ar"/>
                    </w:rPr>
                  </w:pPr>
                  <w:r>
                    <w:rPr>
                      <w:rFonts w:hint="eastAsia"/>
                      <w:bCs/>
                      <w:color w:val="auto"/>
                      <w:kern w:val="0"/>
                      <w:szCs w:val="21"/>
                      <w:highlight w:val="none"/>
                      <w:lang w:bidi="ar"/>
                    </w:rPr>
                    <w:t>J38</w:t>
                  </w:r>
                </w:p>
              </w:tc>
              <w:tc>
                <w:tcPr>
                  <w:tcW w:w="612" w:type="pct"/>
                  <w:tcBorders>
                    <w:tl2br w:val="nil"/>
                    <w:tr2bl w:val="nil"/>
                  </w:tcBorders>
                  <w:vAlign w:val="center"/>
                </w:tcPr>
                <w:p w14:paraId="0DED3EF1">
                  <w:pPr>
                    <w:widowControl/>
                    <w:jc w:val="center"/>
                    <w:textAlignment w:val="center"/>
                    <w:rPr>
                      <w:bCs/>
                      <w:color w:val="auto"/>
                      <w:kern w:val="0"/>
                      <w:szCs w:val="21"/>
                      <w:highlight w:val="none"/>
                      <w:lang w:bidi="ar"/>
                    </w:rPr>
                  </w:pPr>
                  <w:r>
                    <w:rPr>
                      <w:rFonts w:hint="eastAsia"/>
                      <w:bCs/>
                      <w:color w:val="auto"/>
                      <w:kern w:val="0"/>
                      <w:szCs w:val="21"/>
                      <w:highlight w:val="none"/>
                      <w:lang w:bidi="ar"/>
                    </w:rPr>
                    <w:t>浓混合油泵</w:t>
                  </w:r>
                </w:p>
              </w:tc>
              <w:tc>
                <w:tcPr>
                  <w:tcW w:w="527" w:type="pct"/>
                  <w:tcBorders>
                    <w:tl2br w:val="nil"/>
                    <w:tr2bl w:val="nil"/>
                  </w:tcBorders>
                  <w:vAlign w:val="center"/>
                </w:tcPr>
                <w:p w14:paraId="08420834">
                  <w:pPr>
                    <w:widowControl/>
                    <w:jc w:val="center"/>
                    <w:textAlignment w:val="center"/>
                    <w:rPr>
                      <w:bCs/>
                      <w:color w:val="auto"/>
                      <w:kern w:val="0"/>
                      <w:szCs w:val="21"/>
                      <w:highlight w:val="none"/>
                      <w:lang w:bidi="ar"/>
                    </w:rPr>
                  </w:pPr>
                  <w:r>
                    <w:rPr>
                      <w:rFonts w:hint="eastAsia"/>
                      <w:bCs/>
                      <w:color w:val="auto"/>
                      <w:kern w:val="0"/>
                      <w:szCs w:val="21"/>
                      <w:highlight w:val="none"/>
                      <w:lang w:bidi="ar"/>
                    </w:rPr>
                    <w:t>DBW80-200A</w:t>
                  </w:r>
                </w:p>
              </w:tc>
              <w:tc>
                <w:tcPr>
                  <w:tcW w:w="408" w:type="pct"/>
                  <w:tcBorders>
                    <w:tl2br w:val="nil"/>
                    <w:tr2bl w:val="nil"/>
                  </w:tcBorders>
                  <w:vAlign w:val="center"/>
                </w:tcPr>
                <w:p w14:paraId="22B35A77">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299F2A60">
                  <w:pPr>
                    <w:widowControl/>
                    <w:jc w:val="center"/>
                    <w:textAlignment w:val="center"/>
                    <w:rPr>
                      <w:bCs/>
                      <w:color w:val="auto"/>
                      <w:kern w:val="0"/>
                      <w:szCs w:val="21"/>
                      <w:highlight w:val="none"/>
                      <w:lang w:bidi="ar"/>
                    </w:rPr>
                  </w:pPr>
                  <w:r>
                    <w:rPr>
                      <w:rFonts w:hint="eastAsia"/>
                      <w:bCs/>
                      <w:color w:val="auto"/>
                      <w:kern w:val="0"/>
                      <w:szCs w:val="21"/>
                      <w:highlight w:val="none"/>
                      <w:lang w:bidi="ar"/>
                    </w:rPr>
                    <w:t>11.0</w:t>
                  </w:r>
                </w:p>
              </w:tc>
              <w:tc>
                <w:tcPr>
                  <w:tcW w:w="636" w:type="pct"/>
                  <w:gridSpan w:val="2"/>
                  <w:tcBorders>
                    <w:tl2br w:val="nil"/>
                    <w:tr2bl w:val="nil"/>
                  </w:tcBorders>
                  <w:vAlign w:val="center"/>
                </w:tcPr>
                <w:p w14:paraId="01554F74">
                  <w:pPr>
                    <w:widowControl/>
                    <w:jc w:val="center"/>
                    <w:textAlignment w:val="center"/>
                    <w:rPr>
                      <w:bCs/>
                      <w:color w:val="auto"/>
                      <w:kern w:val="0"/>
                      <w:szCs w:val="21"/>
                      <w:highlight w:val="none"/>
                      <w:lang w:bidi="ar"/>
                    </w:rPr>
                  </w:pPr>
                  <w:r>
                    <w:rPr>
                      <w:rFonts w:hint="eastAsia"/>
                      <w:bCs/>
                      <w:color w:val="auto"/>
                      <w:kern w:val="0"/>
                      <w:szCs w:val="21"/>
                      <w:highlight w:val="none"/>
                      <w:lang w:bidi="ar"/>
                    </w:rPr>
                    <w:t>无锡新九</w:t>
                  </w:r>
                </w:p>
                <w:p w14:paraId="084C92C0">
                  <w:pPr>
                    <w:widowControl/>
                    <w:jc w:val="center"/>
                    <w:textAlignment w:val="center"/>
                    <w:rPr>
                      <w:bCs/>
                      <w:color w:val="auto"/>
                      <w:kern w:val="0"/>
                      <w:szCs w:val="21"/>
                      <w:highlight w:val="none"/>
                      <w:lang w:bidi="ar"/>
                    </w:rPr>
                  </w:pPr>
                  <w:r>
                    <w:rPr>
                      <w:rFonts w:hint="eastAsia"/>
                      <w:bCs/>
                      <w:color w:val="auto"/>
                      <w:kern w:val="0"/>
                      <w:szCs w:val="21"/>
                      <w:highlight w:val="none"/>
                      <w:lang w:bidi="ar"/>
                    </w:rPr>
                    <w:t>扬或等同</w:t>
                  </w:r>
                </w:p>
              </w:tc>
              <w:tc>
                <w:tcPr>
                  <w:tcW w:w="1763" w:type="pct"/>
                  <w:tcBorders>
                    <w:tl2br w:val="nil"/>
                    <w:tr2bl w:val="nil"/>
                  </w:tcBorders>
                  <w:vAlign w:val="center"/>
                </w:tcPr>
                <w:p w14:paraId="2AA00957">
                  <w:pPr>
                    <w:rPr>
                      <w:rStyle w:val="87"/>
                      <w:rFonts w:hint="eastAsia" w:ascii="Times New Roman" w:eastAsia="宋体"/>
                      <w:color w:val="auto"/>
                      <w:sz w:val="20"/>
                      <w:szCs w:val="21"/>
                      <w:highlight w:val="none"/>
                      <w:lang w:eastAsia="zh-CN"/>
                    </w:rPr>
                  </w:pPr>
                  <w:r>
                    <w:rPr>
                      <w:rStyle w:val="87"/>
                      <w:rFonts w:ascii="Times New Roman"/>
                      <w:color w:val="auto"/>
                      <w:sz w:val="20"/>
                      <w:szCs w:val="21"/>
                      <w:highlight w:val="none"/>
                    </w:rPr>
                    <w:t>用途：浓混合油输送，材质：铸钢</w:t>
                  </w:r>
                  <w:r>
                    <w:rPr>
                      <w:rFonts w:hint="eastAsia"/>
                      <w:color w:val="auto"/>
                      <w:lang w:eastAsia="zh-CN"/>
                    </w:rPr>
                    <w:t>。</w:t>
                  </w:r>
                </w:p>
              </w:tc>
            </w:tr>
            <w:tr w14:paraId="69F442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46579D2">
                  <w:pPr>
                    <w:widowControl/>
                    <w:jc w:val="center"/>
                    <w:textAlignment w:val="center"/>
                    <w:rPr>
                      <w:bCs/>
                      <w:color w:val="auto"/>
                      <w:kern w:val="0"/>
                      <w:szCs w:val="21"/>
                      <w:highlight w:val="none"/>
                      <w:lang w:bidi="ar"/>
                    </w:rPr>
                  </w:pPr>
                  <w:r>
                    <w:rPr>
                      <w:rFonts w:hint="eastAsia"/>
                      <w:bCs/>
                      <w:color w:val="auto"/>
                      <w:kern w:val="0"/>
                      <w:szCs w:val="21"/>
                      <w:highlight w:val="none"/>
                      <w:lang w:bidi="ar"/>
                    </w:rPr>
                    <w:t>39</w:t>
                  </w:r>
                </w:p>
              </w:tc>
              <w:tc>
                <w:tcPr>
                  <w:tcW w:w="316" w:type="pct"/>
                  <w:tcBorders>
                    <w:tl2br w:val="nil"/>
                    <w:tr2bl w:val="nil"/>
                  </w:tcBorders>
                  <w:vAlign w:val="center"/>
                </w:tcPr>
                <w:p w14:paraId="1A533157">
                  <w:pPr>
                    <w:widowControl/>
                    <w:jc w:val="center"/>
                    <w:textAlignment w:val="center"/>
                    <w:rPr>
                      <w:bCs/>
                      <w:color w:val="auto"/>
                      <w:kern w:val="0"/>
                      <w:szCs w:val="21"/>
                      <w:highlight w:val="none"/>
                      <w:lang w:bidi="ar"/>
                    </w:rPr>
                  </w:pPr>
                  <w:r>
                    <w:rPr>
                      <w:rFonts w:hint="eastAsia"/>
                      <w:bCs/>
                      <w:color w:val="auto"/>
                      <w:kern w:val="0"/>
                      <w:szCs w:val="21"/>
                      <w:highlight w:val="none"/>
                      <w:lang w:bidi="ar"/>
                    </w:rPr>
                    <w:t>J39</w:t>
                  </w:r>
                </w:p>
              </w:tc>
              <w:tc>
                <w:tcPr>
                  <w:tcW w:w="612" w:type="pct"/>
                  <w:tcBorders>
                    <w:tl2br w:val="nil"/>
                    <w:tr2bl w:val="nil"/>
                  </w:tcBorders>
                  <w:vAlign w:val="center"/>
                </w:tcPr>
                <w:p w14:paraId="044057FE">
                  <w:pPr>
                    <w:widowControl/>
                    <w:jc w:val="center"/>
                    <w:textAlignment w:val="center"/>
                    <w:rPr>
                      <w:bCs/>
                      <w:color w:val="auto"/>
                      <w:kern w:val="0"/>
                      <w:szCs w:val="21"/>
                      <w:highlight w:val="none"/>
                      <w:lang w:bidi="ar"/>
                    </w:rPr>
                  </w:pPr>
                  <w:r>
                    <w:rPr>
                      <w:rFonts w:hint="eastAsia"/>
                      <w:bCs/>
                      <w:color w:val="auto"/>
                      <w:kern w:val="0"/>
                      <w:szCs w:val="21"/>
                      <w:highlight w:val="none"/>
                      <w:lang w:bidi="ar"/>
                    </w:rPr>
                    <w:t>新鲜溶剂泵</w:t>
                  </w:r>
                </w:p>
              </w:tc>
              <w:tc>
                <w:tcPr>
                  <w:tcW w:w="527" w:type="pct"/>
                  <w:tcBorders>
                    <w:tl2br w:val="nil"/>
                    <w:tr2bl w:val="nil"/>
                  </w:tcBorders>
                  <w:vAlign w:val="center"/>
                </w:tcPr>
                <w:p w14:paraId="1CAC64B1">
                  <w:pPr>
                    <w:widowControl/>
                    <w:jc w:val="center"/>
                    <w:textAlignment w:val="center"/>
                    <w:rPr>
                      <w:bCs/>
                      <w:color w:val="auto"/>
                      <w:kern w:val="0"/>
                      <w:szCs w:val="21"/>
                      <w:highlight w:val="none"/>
                      <w:lang w:bidi="ar"/>
                    </w:rPr>
                  </w:pPr>
                  <w:r>
                    <w:rPr>
                      <w:rFonts w:hint="eastAsia"/>
                      <w:bCs/>
                      <w:color w:val="auto"/>
                      <w:kern w:val="0"/>
                      <w:szCs w:val="21"/>
                      <w:highlight w:val="none"/>
                      <w:lang w:bidi="ar"/>
                    </w:rPr>
                    <w:t>DBW80-125</w:t>
                  </w:r>
                </w:p>
              </w:tc>
              <w:tc>
                <w:tcPr>
                  <w:tcW w:w="408" w:type="pct"/>
                  <w:tcBorders>
                    <w:tl2br w:val="nil"/>
                    <w:tr2bl w:val="nil"/>
                  </w:tcBorders>
                  <w:vAlign w:val="center"/>
                </w:tcPr>
                <w:p w14:paraId="38EC6F93">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9BD65F4">
                  <w:pPr>
                    <w:widowControl/>
                    <w:jc w:val="center"/>
                    <w:textAlignment w:val="center"/>
                    <w:rPr>
                      <w:bCs/>
                      <w:color w:val="auto"/>
                      <w:kern w:val="0"/>
                      <w:szCs w:val="21"/>
                      <w:highlight w:val="none"/>
                      <w:lang w:bidi="ar"/>
                    </w:rPr>
                  </w:pPr>
                  <w:r>
                    <w:rPr>
                      <w:rFonts w:hint="eastAsia"/>
                      <w:bCs/>
                      <w:color w:val="auto"/>
                      <w:kern w:val="0"/>
                      <w:szCs w:val="21"/>
                      <w:highlight w:val="none"/>
                      <w:lang w:bidi="ar"/>
                    </w:rPr>
                    <w:t>3.0</w:t>
                  </w:r>
                </w:p>
              </w:tc>
              <w:tc>
                <w:tcPr>
                  <w:tcW w:w="636" w:type="pct"/>
                  <w:gridSpan w:val="2"/>
                  <w:tcBorders>
                    <w:tl2br w:val="nil"/>
                    <w:tr2bl w:val="nil"/>
                  </w:tcBorders>
                  <w:vAlign w:val="center"/>
                </w:tcPr>
                <w:p w14:paraId="4ADB0AAC">
                  <w:pPr>
                    <w:widowControl/>
                    <w:jc w:val="center"/>
                    <w:textAlignment w:val="center"/>
                    <w:rPr>
                      <w:bCs/>
                      <w:color w:val="auto"/>
                      <w:kern w:val="0"/>
                      <w:szCs w:val="21"/>
                      <w:highlight w:val="none"/>
                      <w:lang w:bidi="ar"/>
                    </w:rPr>
                  </w:pPr>
                  <w:r>
                    <w:rPr>
                      <w:rFonts w:hint="eastAsia"/>
                      <w:bCs/>
                      <w:color w:val="auto"/>
                      <w:kern w:val="0"/>
                      <w:szCs w:val="21"/>
                      <w:highlight w:val="none"/>
                      <w:lang w:bidi="ar"/>
                    </w:rPr>
                    <w:t>无锡新九</w:t>
                  </w:r>
                </w:p>
                <w:p w14:paraId="36C14966">
                  <w:pPr>
                    <w:widowControl/>
                    <w:jc w:val="center"/>
                    <w:textAlignment w:val="center"/>
                    <w:rPr>
                      <w:bCs/>
                      <w:color w:val="auto"/>
                      <w:kern w:val="0"/>
                      <w:szCs w:val="21"/>
                      <w:highlight w:val="none"/>
                      <w:lang w:bidi="ar"/>
                    </w:rPr>
                  </w:pPr>
                  <w:r>
                    <w:rPr>
                      <w:rFonts w:hint="eastAsia"/>
                      <w:bCs/>
                      <w:color w:val="auto"/>
                      <w:kern w:val="0"/>
                      <w:szCs w:val="21"/>
                      <w:highlight w:val="none"/>
                      <w:lang w:bidi="ar"/>
                    </w:rPr>
                    <w:t>扬或等同</w:t>
                  </w:r>
                </w:p>
              </w:tc>
              <w:tc>
                <w:tcPr>
                  <w:tcW w:w="1763" w:type="pct"/>
                  <w:tcBorders>
                    <w:tl2br w:val="nil"/>
                    <w:tr2bl w:val="nil"/>
                  </w:tcBorders>
                  <w:vAlign w:val="center"/>
                </w:tcPr>
                <w:p w14:paraId="12281D68">
                  <w:pPr>
                    <w:rPr>
                      <w:rStyle w:val="87"/>
                      <w:rFonts w:hint="eastAsia" w:ascii="Times New Roman" w:eastAsia="宋体"/>
                      <w:color w:val="auto"/>
                      <w:sz w:val="20"/>
                      <w:szCs w:val="21"/>
                      <w:highlight w:val="none"/>
                      <w:lang w:eastAsia="zh-CN"/>
                    </w:rPr>
                  </w:pPr>
                  <w:r>
                    <w:rPr>
                      <w:rStyle w:val="87"/>
                      <w:rFonts w:ascii="Times New Roman"/>
                      <w:color w:val="auto"/>
                      <w:sz w:val="20"/>
                      <w:szCs w:val="21"/>
                      <w:highlight w:val="none"/>
                    </w:rPr>
                    <w:t>用途：新溶剂输送，材质：铸钢</w:t>
                  </w:r>
                  <w:r>
                    <w:rPr>
                      <w:rFonts w:hint="eastAsia"/>
                      <w:color w:val="auto"/>
                      <w:lang w:eastAsia="zh-CN"/>
                    </w:rPr>
                    <w:t>。</w:t>
                  </w:r>
                </w:p>
              </w:tc>
            </w:tr>
            <w:tr w14:paraId="6E7ED1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86E3A89">
                  <w:pPr>
                    <w:widowControl/>
                    <w:jc w:val="center"/>
                    <w:textAlignment w:val="center"/>
                    <w:rPr>
                      <w:bCs/>
                      <w:color w:val="auto"/>
                      <w:kern w:val="0"/>
                      <w:szCs w:val="21"/>
                      <w:highlight w:val="none"/>
                      <w:lang w:bidi="ar"/>
                    </w:rPr>
                  </w:pPr>
                  <w:r>
                    <w:rPr>
                      <w:rFonts w:hint="eastAsia"/>
                      <w:bCs/>
                      <w:color w:val="auto"/>
                      <w:kern w:val="0"/>
                      <w:szCs w:val="21"/>
                      <w:highlight w:val="none"/>
                      <w:lang w:bidi="ar"/>
                    </w:rPr>
                    <w:t>40</w:t>
                  </w:r>
                </w:p>
              </w:tc>
              <w:tc>
                <w:tcPr>
                  <w:tcW w:w="316" w:type="pct"/>
                  <w:tcBorders>
                    <w:tl2br w:val="nil"/>
                    <w:tr2bl w:val="nil"/>
                  </w:tcBorders>
                  <w:vAlign w:val="center"/>
                </w:tcPr>
                <w:p w14:paraId="621E2C53">
                  <w:pPr>
                    <w:widowControl/>
                    <w:jc w:val="center"/>
                    <w:textAlignment w:val="center"/>
                    <w:rPr>
                      <w:bCs/>
                      <w:color w:val="auto"/>
                      <w:kern w:val="0"/>
                      <w:szCs w:val="21"/>
                      <w:highlight w:val="none"/>
                      <w:lang w:bidi="ar"/>
                    </w:rPr>
                  </w:pPr>
                  <w:r>
                    <w:rPr>
                      <w:rFonts w:hint="eastAsia"/>
                      <w:bCs/>
                      <w:color w:val="auto"/>
                      <w:kern w:val="0"/>
                      <w:szCs w:val="21"/>
                      <w:highlight w:val="none"/>
                      <w:lang w:bidi="ar"/>
                    </w:rPr>
                    <w:t>J40</w:t>
                  </w:r>
                </w:p>
              </w:tc>
              <w:tc>
                <w:tcPr>
                  <w:tcW w:w="612" w:type="pct"/>
                  <w:tcBorders>
                    <w:tl2br w:val="nil"/>
                    <w:tr2bl w:val="nil"/>
                  </w:tcBorders>
                  <w:vAlign w:val="center"/>
                </w:tcPr>
                <w:p w14:paraId="05B7741F">
                  <w:pPr>
                    <w:widowControl/>
                    <w:jc w:val="center"/>
                    <w:textAlignment w:val="center"/>
                    <w:rPr>
                      <w:bCs/>
                      <w:color w:val="auto"/>
                      <w:kern w:val="0"/>
                      <w:szCs w:val="21"/>
                      <w:highlight w:val="none"/>
                      <w:lang w:bidi="ar"/>
                    </w:rPr>
                  </w:pPr>
                  <w:r>
                    <w:rPr>
                      <w:rFonts w:hint="eastAsia"/>
                      <w:bCs/>
                      <w:color w:val="auto"/>
                      <w:kern w:val="0"/>
                      <w:szCs w:val="21"/>
                      <w:highlight w:val="none"/>
                      <w:lang w:bidi="ar"/>
                    </w:rPr>
                    <w:t>屏蔽泵</w:t>
                  </w:r>
                </w:p>
              </w:tc>
              <w:tc>
                <w:tcPr>
                  <w:tcW w:w="527" w:type="pct"/>
                  <w:tcBorders>
                    <w:tl2br w:val="nil"/>
                    <w:tr2bl w:val="nil"/>
                  </w:tcBorders>
                  <w:vAlign w:val="center"/>
                </w:tcPr>
                <w:p w14:paraId="1FB1E879">
                  <w:pPr>
                    <w:widowControl/>
                    <w:jc w:val="center"/>
                    <w:textAlignment w:val="center"/>
                    <w:rPr>
                      <w:bCs/>
                      <w:color w:val="auto"/>
                      <w:kern w:val="0"/>
                      <w:szCs w:val="21"/>
                      <w:highlight w:val="none"/>
                      <w:lang w:bidi="ar"/>
                    </w:rPr>
                  </w:pPr>
                  <w:r>
                    <w:rPr>
                      <w:rFonts w:hint="eastAsia"/>
                      <w:bCs/>
                      <w:color w:val="auto"/>
                      <w:kern w:val="0"/>
                      <w:szCs w:val="21"/>
                      <w:highlight w:val="none"/>
                      <w:lang w:bidi="ar"/>
                    </w:rPr>
                    <w:t>GA31-112JBM-40-25-125</w:t>
                  </w:r>
                </w:p>
              </w:tc>
              <w:tc>
                <w:tcPr>
                  <w:tcW w:w="408" w:type="pct"/>
                  <w:tcBorders>
                    <w:tl2br w:val="nil"/>
                    <w:tr2bl w:val="nil"/>
                  </w:tcBorders>
                  <w:vAlign w:val="center"/>
                </w:tcPr>
                <w:p w14:paraId="11A5053F">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549" w:type="pct"/>
                  <w:tcBorders>
                    <w:tl2br w:val="nil"/>
                    <w:tr2bl w:val="nil"/>
                  </w:tcBorders>
                  <w:vAlign w:val="center"/>
                </w:tcPr>
                <w:p w14:paraId="40DE3EE7">
                  <w:pPr>
                    <w:widowControl/>
                    <w:jc w:val="center"/>
                    <w:textAlignment w:val="center"/>
                    <w:rPr>
                      <w:bCs/>
                      <w:color w:val="auto"/>
                      <w:kern w:val="0"/>
                      <w:szCs w:val="21"/>
                      <w:highlight w:val="none"/>
                      <w:lang w:bidi="ar"/>
                    </w:rPr>
                  </w:pPr>
                  <w:r>
                    <w:rPr>
                      <w:rFonts w:hint="eastAsia"/>
                      <w:bCs/>
                      <w:color w:val="auto"/>
                      <w:kern w:val="0"/>
                      <w:szCs w:val="21"/>
                      <w:highlight w:val="none"/>
                      <w:lang w:bidi="ar"/>
                    </w:rPr>
                    <w:t>3.0</w:t>
                  </w:r>
                </w:p>
              </w:tc>
              <w:tc>
                <w:tcPr>
                  <w:tcW w:w="636" w:type="pct"/>
                  <w:gridSpan w:val="2"/>
                  <w:tcBorders>
                    <w:tl2br w:val="nil"/>
                    <w:tr2bl w:val="nil"/>
                  </w:tcBorders>
                  <w:vAlign w:val="center"/>
                </w:tcPr>
                <w:p w14:paraId="6DC227D4">
                  <w:pPr>
                    <w:widowControl/>
                    <w:jc w:val="center"/>
                    <w:textAlignment w:val="center"/>
                    <w:rPr>
                      <w:bCs/>
                      <w:color w:val="auto"/>
                      <w:kern w:val="0"/>
                      <w:szCs w:val="21"/>
                      <w:highlight w:val="none"/>
                      <w:lang w:bidi="ar"/>
                    </w:rPr>
                  </w:pPr>
                  <w:r>
                    <w:rPr>
                      <w:rFonts w:hint="eastAsia"/>
                      <w:bCs/>
                      <w:color w:val="auto"/>
                      <w:kern w:val="0"/>
                      <w:szCs w:val="21"/>
                      <w:highlight w:val="none"/>
                      <w:lang w:bidi="ar"/>
                    </w:rPr>
                    <w:t>山东淄博</w:t>
                  </w:r>
                </w:p>
              </w:tc>
              <w:tc>
                <w:tcPr>
                  <w:tcW w:w="1763" w:type="pct"/>
                  <w:tcBorders>
                    <w:tl2br w:val="nil"/>
                    <w:tr2bl w:val="nil"/>
                  </w:tcBorders>
                  <w:vAlign w:val="center"/>
                </w:tcPr>
                <w:p w14:paraId="73AEFD65">
                  <w:pPr>
                    <w:rPr>
                      <w:rStyle w:val="87"/>
                      <w:rFonts w:ascii="Times New Roman"/>
                      <w:color w:val="auto"/>
                      <w:sz w:val="21"/>
                      <w:szCs w:val="21"/>
                      <w:highlight w:val="none"/>
                    </w:rPr>
                  </w:pPr>
                  <w:r>
                    <w:rPr>
                      <w:rStyle w:val="87"/>
                      <w:rFonts w:hint="eastAsia" w:ascii="Times New Roman"/>
                      <w:color w:val="auto"/>
                      <w:sz w:val="21"/>
                      <w:szCs w:val="21"/>
                      <w:highlight w:val="none"/>
                    </w:rPr>
                    <w:t>用途：真空毛油输送，材质：不锈钢304</w:t>
                  </w:r>
                  <w:r>
                    <w:rPr>
                      <w:rStyle w:val="87"/>
                      <w:rFonts w:hint="eastAsia"/>
                      <w:color w:val="auto"/>
                      <w:sz w:val="21"/>
                      <w:szCs w:val="21"/>
                      <w:highlight w:val="none"/>
                    </w:rPr>
                    <w:t>。</w:t>
                  </w:r>
                </w:p>
              </w:tc>
            </w:tr>
            <w:tr w14:paraId="125259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F42EDCD">
                  <w:pPr>
                    <w:widowControl/>
                    <w:jc w:val="center"/>
                    <w:textAlignment w:val="center"/>
                    <w:rPr>
                      <w:bCs/>
                      <w:color w:val="auto"/>
                      <w:kern w:val="0"/>
                      <w:szCs w:val="21"/>
                      <w:highlight w:val="none"/>
                      <w:lang w:bidi="ar"/>
                    </w:rPr>
                  </w:pPr>
                  <w:r>
                    <w:rPr>
                      <w:rFonts w:hint="eastAsia"/>
                      <w:bCs/>
                      <w:color w:val="auto"/>
                      <w:kern w:val="0"/>
                      <w:szCs w:val="21"/>
                      <w:highlight w:val="none"/>
                      <w:lang w:bidi="ar"/>
                    </w:rPr>
                    <w:t>41</w:t>
                  </w:r>
                </w:p>
              </w:tc>
              <w:tc>
                <w:tcPr>
                  <w:tcW w:w="316" w:type="pct"/>
                  <w:tcBorders>
                    <w:tl2br w:val="nil"/>
                    <w:tr2bl w:val="nil"/>
                  </w:tcBorders>
                  <w:vAlign w:val="center"/>
                </w:tcPr>
                <w:p w14:paraId="61E669A1">
                  <w:pPr>
                    <w:widowControl/>
                    <w:jc w:val="center"/>
                    <w:textAlignment w:val="center"/>
                    <w:rPr>
                      <w:bCs/>
                      <w:color w:val="auto"/>
                      <w:kern w:val="0"/>
                      <w:szCs w:val="21"/>
                      <w:highlight w:val="none"/>
                      <w:lang w:bidi="ar"/>
                    </w:rPr>
                  </w:pPr>
                  <w:r>
                    <w:rPr>
                      <w:rFonts w:hint="eastAsia"/>
                      <w:bCs/>
                      <w:color w:val="auto"/>
                      <w:kern w:val="0"/>
                      <w:szCs w:val="21"/>
                      <w:highlight w:val="none"/>
                      <w:lang w:bidi="ar"/>
                    </w:rPr>
                    <w:t>J41</w:t>
                  </w:r>
                </w:p>
              </w:tc>
              <w:tc>
                <w:tcPr>
                  <w:tcW w:w="612" w:type="pct"/>
                  <w:tcBorders>
                    <w:tl2br w:val="nil"/>
                    <w:tr2bl w:val="nil"/>
                  </w:tcBorders>
                  <w:vAlign w:val="center"/>
                </w:tcPr>
                <w:p w14:paraId="7C30BDB6">
                  <w:pPr>
                    <w:widowControl/>
                    <w:jc w:val="center"/>
                    <w:textAlignment w:val="center"/>
                    <w:rPr>
                      <w:bCs/>
                      <w:color w:val="auto"/>
                      <w:kern w:val="0"/>
                      <w:szCs w:val="21"/>
                      <w:highlight w:val="none"/>
                      <w:lang w:bidi="ar"/>
                    </w:rPr>
                  </w:pPr>
                  <w:r>
                    <w:rPr>
                      <w:rFonts w:hint="eastAsia"/>
                      <w:bCs/>
                      <w:color w:val="auto"/>
                      <w:kern w:val="0"/>
                      <w:szCs w:val="21"/>
                      <w:highlight w:val="none"/>
                      <w:lang w:bidi="ar"/>
                    </w:rPr>
                    <w:t>汽提抽油泵</w:t>
                  </w:r>
                </w:p>
              </w:tc>
              <w:tc>
                <w:tcPr>
                  <w:tcW w:w="527" w:type="pct"/>
                  <w:tcBorders>
                    <w:tl2br w:val="nil"/>
                    <w:tr2bl w:val="nil"/>
                  </w:tcBorders>
                  <w:vAlign w:val="center"/>
                </w:tcPr>
                <w:p w14:paraId="4EE47F36">
                  <w:pPr>
                    <w:widowControl/>
                    <w:jc w:val="center"/>
                    <w:textAlignment w:val="center"/>
                    <w:rPr>
                      <w:bCs/>
                      <w:color w:val="auto"/>
                      <w:kern w:val="0"/>
                      <w:szCs w:val="21"/>
                      <w:highlight w:val="none"/>
                      <w:lang w:bidi="ar"/>
                    </w:rPr>
                  </w:pPr>
                  <w:r>
                    <w:rPr>
                      <w:rFonts w:hint="eastAsia"/>
                      <w:bCs/>
                      <w:color w:val="auto"/>
                      <w:kern w:val="0"/>
                      <w:szCs w:val="21"/>
                      <w:highlight w:val="none"/>
                      <w:lang w:bidi="ar"/>
                    </w:rPr>
                    <w:t>KCB83.3</w:t>
                  </w:r>
                </w:p>
              </w:tc>
              <w:tc>
                <w:tcPr>
                  <w:tcW w:w="408" w:type="pct"/>
                  <w:tcBorders>
                    <w:tl2br w:val="nil"/>
                    <w:tr2bl w:val="nil"/>
                  </w:tcBorders>
                  <w:vAlign w:val="center"/>
                </w:tcPr>
                <w:p w14:paraId="5FB925C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5400B0DC">
                  <w:pPr>
                    <w:widowControl/>
                    <w:jc w:val="center"/>
                    <w:textAlignment w:val="center"/>
                    <w:rPr>
                      <w:bCs/>
                      <w:color w:val="auto"/>
                      <w:kern w:val="0"/>
                      <w:szCs w:val="21"/>
                      <w:highlight w:val="none"/>
                      <w:lang w:bidi="ar"/>
                    </w:rPr>
                  </w:pPr>
                  <w:r>
                    <w:rPr>
                      <w:rFonts w:hint="eastAsia"/>
                      <w:bCs/>
                      <w:color w:val="auto"/>
                      <w:kern w:val="0"/>
                      <w:szCs w:val="21"/>
                      <w:highlight w:val="none"/>
                      <w:lang w:bidi="ar"/>
                    </w:rPr>
                    <w:t>2.2</w:t>
                  </w:r>
                </w:p>
              </w:tc>
              <w:tc>
                <w:tcPr>
                  <w:tcW w:w="636" w:type="pct"/>
                  <w:gridSpan w:val="2"/>
                  <w:tcBorders>
                    <w:tl2br w:val="nil"/>
                    <w:tr2bl w:val="nil"/>
                  </w:tcBorders>
                  <w:vAlign w:val="center"/>
                </w:tcPr>
                <w:p w14:paraId="2F81505B">
                  <w:pPr>
                    <w:widowControl/>
                    <w:jc w:val="center"/>
                    <w:textAlignment w:val="center"/>
                    <w:rPr>
                      <w:bCs/>
                      <w:color w:val="auto"/>
                      <w:kern w:val="0"/>
                      <w:szCs w:val="21"/>
                      <w:highlight w:val="none"/>
                      <w:lang w:bidi="ar"/>
                    </w:rPr>
                  </w:pPr>
                  <w:r>
                    <w:rPr>
                      <w:rFonts w:hint="eastAsia"/>
                      <w:bCs/>
                      <w:color w:val="auto"/>
                      <w:kern w:val="0"/>
                      <w:szCs w:val="21"/>
                      <w:highlight w:val="none"/>
                      <w:lang w:bidi="ar"/>
                    </w:rPr>
                    <w:t>河北或等同</w:t>
                  </w:r>
                </w:p>
              </w:tc>
              <w:tc>
                <w:tcPr>
                  <w:tcW w:w="1763" w:type="pct"/>
                  <w:tcBorders>
                    <w:tl2br w:val="nil"/>
                    <w:tr2bl w:val="nil"/>
                  </w:tcBorders>
                  <w:vAlign w:val="center"/>
                </w:tcPr>
                <w:p w14:paraId="0AEB9D5B">
                  <w:pPr>
                    <w:rPr>
                      <w:rStyle w:val="87"/>
                      <w:rFonts w:ascii="Times New Roman"/>
                      <w:color w:val="auto"/>
                      <w:sz w:val="20"/>
                      <w:szCs w:val="21"/>
                      <w:highlight w:val="none"/>
                    </w:rPr>
                  </w:pPr>
                  <w:r>
                    <w:rPr>
                      <w:rStyle w:val="87"/>
                      <w:rFonts w:ascii="Times New Roman"/>
                      <w:color w:val="auto"/>
                      <w:sz w:val="20"/>
                      <w:szCs w:val="21"/>
                      <w:highlight w:val="none"/>
                    </w:rPr>
                    <w:t>用途：毛油汽提抽出，材质：不锈钢304</w:t>
                  </w:r>
                  <w:r>
                    <w:rPr>
                      <w:rStyle w:val="87"/>
                      <w:rFonts w:hint="eastAsia"/>
                      <w:color w:val="auto"/>
                      <w:sz w:val="20"/>
                      <w:szCs w:val="21"/>
                      <w:highlight w:val="none"/>
                    </w:rPr>
                    <w:t>。</w:t>
                  </w:r>
                </w:p>
              </w:tc>
            </w:tr>
            <w:tr w14:paraId="49BB5B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BAEF348">
                  <w:pPr>
                    <w:widowControl/>
                    <w:jc w:val="center"/>
                    <w:textAlignment w:val="center"/>
                    <w:rPr>
                      <w:bCs/>
                      <w:color w:val="auto"/>
                      <w:kern w:val="0"/>
                      <w:szCs w:val="21"/>
                      <w:highlight w:val="none"/>
                      <w:lang w:bidi="ar"/>
                    </w:rPr>
                  </w:pPr>
                  <w:r>
                    <w:rPr>
                      <w:rFonts w:hint="eastAsia"/>
                      <w:bCs/>
                      <w:color w:val="auto"/>
                      <w:kern w:val="0"/>
                      <w:szCs w:val="21"/>
                      <w:highlight w:val="none"/>
                      <w:lang w:bidi="ar"/>
                    </w:rPr>
                    <w:t>42</w:t>
                  </w:r>
                </w:p>
              </w:tc>
              <w:tc>
                <w:tcPr>
                  <w:tcW w:w="316" w:type="pct"/>
                  <w:tcBorders>
                    <w:tl2br w:val="nil"/>
                    <w:tr2bl w:val="nil"/>
                  </w:tcBorders>
                  <w:vAlign w:val="center"/>
                </w:tcPr>
                <w:p w14:paraId="5C8E1FA3">
                  <w:pPr>
                    <w:widowControl/>
                    <w:jc w:val="center"/>
                    <w:textAlignment w:val="center"/>
                    <w:rPr>
                      <w:bCs/>
                      <w:color w:val="auto"/>
                      <w:kern w:val="0"/>
                      <w:szCs w:val="21"/>
                      <w:highlight w:val="none"/>
                      <w:lang w:bidi="ar"/>
                    </w:rPr>
                  </w:pPr>
                  <w:r>
                    <w:rPr>
                      <w:rFonts w:hint="eastAsia"/>
                      <w:bCs/>
                      <w:color w:val="auto"/>
                      <w:kern w:val="0"/>
                      <w:szCs w:val="21"/>
                      <w:highlight w:val="none"/>
                      <w:lang w:bidi="ar"/>
                    </w:rPr>
                    <w:t>J42</w:t>
                  </w:r>
                </w:p>
              </w:tc>
              <w:tc>
                <w:tcPr>
                  <w:tcW w:w="612" w:type="pct"/>
                  <w:tcBorders>
                    <w:tl2br w:val="nil"/>
                    <w:tr2bl w:val="nil"/>
                  </w:tcBorders>
                  <w:vAlign w:val="center"/>
                </w:tcPr>
                <w:p w14:paraId="070BF05A">
                  <w:pPr>
                    <w:widowControl/>
                    <w:jc w:val="center"/>
                    <w:textAlignment w:val="center"/>
                    <w:rPr>
                      <w:bCs/>
                      <w:color w:val="auto"/>
                      <w:kern w:val="0"/>
                      <w:szCs w:val="21"/>
                      <w:highlight w:val="none"/>
                      <w:lang w:bidi="ar"/>
                    </w:rPr>
                  </w:pPr>
                  <w:r>
                    <w:rPr>
                      <w:rFonts w:hint="eastAsia"/>
                      <w:bCs/>
                      <w:color w:val="auto"/>
                      <w:kern w:val="0"/>
                      <w:szCs w:val="21"/>
                      <w:highlight w:val="none"/>
                      <w:lang w:bidi="ar"/>
                    </w:rPr>
                    <w:t>节能器泵</w:t>
                  </w:r>
                </w:p>
              </w:tc>
              <w:tc>
                <w:tcPr>
                  <w:tcW w:w="527" w:type="pct"/>
                  <w:tcBorders>
                    <w:tl2br w:val="nil"/>
                    <w:tr2bl w:val="nil"/>
                  </w:tcBorders>
                  <w:vAlign w:val="center"/>
                </w:tcPr>
                <w:p w14:paraId="0479000F">
                  <w:pPr>
                    <w:widowControl/>
                    <w:jc w:val="center"/>
                    <w:textAlignment w:val="center"/>
                    <w:rPr>
                      <w:bCs/>
                      <w:color w:val="auto"/>
                      <w:kern w:val="0"/>
                      <w:szCs w:val="21"/>
                      <w:highlight w:val="none"/>
                      <w:lang w:bidi="ar"/>
                    </w:rPr>
                  </w:pPr>
                  <w:r>
                    <w:rPr>
                      <w:rFonts w:hint="eastAsia"/>
                      <w:bCs/>
                      <w:color w:val="auto"/>
                      <w:kern w:val="0"/>
                      <w:szCs w:val="21"/>
                      <w:highlight w:val="none"/>
                      <w:lang w:bidi="ar"/>
                    </w:rPr>
                    <w:t>DBW80-125</w:t>
                  </w:r>
                </w:p>
              </w:tc>
              <w:tc>
                <w:tcPr>
                  <w:tcW w:w="408" w:type="pct"/>
                  <w:tcBorders>
                    <w:tl2br w:val="nil"/>
                    <w:tr2bl w:val="nil"/>
                  </w:tcBorders>
                  <w:vAlign w:val="center"/>
                </w:tcPr>
                <w:p w14:paraId="38D0EC69">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2C8B08D">
                  <w:pPr>
                    <w:widowControl/>
                    <w:jc w:val="center"/>
                    <w:textAlignment w:val="center"/>
                    <w:rPr>
                      <w:bCs/>
                      <w:color w:val="auto"/>
                      <w:kern w:val="0"/>
                      <w:szCs w:val="21"/>
                      <w:highlight w:val="none"/>
                      <w:lang w:bidi="ar"/>
                    </w:rPr>
                  </w:pPr>
                  <w:r>
                    <w:rPr>
                      <w:rFonts w:hint="eastAsia"/>
                      <w:bCs/>
                      <w:color w:val="auto"/>
                      <w:kern w:val="0"/>
                      <w:szCs w:val="21"/>
                      <w:highlight w:val="none"/>
                      <w:lang w:bidi="ar"/>
                    </w:rPr>
                    <w:t>3.0</w:t>
                  </w:r>
                </w:p>
              </w:tc>
              <w:tc>
                <w:tcPr>
                  <w:tcW w:w="636" w:type="pct"/>
                  <w:gridSpan w:val="2"/>
                  <w:tcBorders>
                    <w:tl2br w:val="nil"/>
                    <w:tr2bl w:val="nil"/>
                  </w:tcBorders>
                  <w:vAlign w:val="center"/>
                </w:tcPr>
                <w:p w14:paraId="5135990C">
                  <w:pPr>
                    <w:widowControl/>
                    <w:jc w:val="center"/>
                    <w:textAlignment w:val="center"/>
                    <w:rPr>
                      <w:bCs/>
                      <w:color w:val="auto"/>
                      <w:kern w:val="0"/>
                      <w:szCs w:val="21"/>
                      <w:highlight w:val="none"/>
                      <w:lang w:bidi="ar"/>
                    </w:rPr>
                  </w:pPr>
                  <w:r>
                    <w:rPr>
                      <w:rFonts w:hint="eastAsia"/>
                      <w:bCs/>
                      <w:color w:val="auto"/>
                      <w:kern w:val="0"/>
                      <w:szCs w:val="21"/>
                      <w:highlight w:val="none"/>
                      <w:lang w:bidi="ar"/>
                    </w:rPr>
                    <w:t>无锡新九</w:t>
                  </w:r>
                </w:p>
                <w:p w14:paraId="5F19CC3D">
                  <w:pPr>
                    <w:widowControl/>
                    <w:jc w:val="center"/>
                    <w:textAlignment w:val="center"/>
                    <w:rPr>
                      <w:bCs/>
                      <w:color w:val="auto"/>
                      <w:kern w:val="0"/>
                      <w:szCs w:val="21"/>
                      <w:highlight w:val="none"/>
                      <w:lang w:bidi="ar"/>
                    </w:rPr>
                  </w:pPr>
                  <w:r>
                    <w:rPr>
                      <w:rFonts w:hint="eastAsia"/>
                      <w:bCs/>
                      <w:color w:val="auto"/>
                      <w:kern w:val="0"/>
                      <w:szCs w:val="21"/>
                      <w:highlight w:val="none"/>
                      <w:lang w:bidi="ar"/>
                    </w:rPr>
                    <w:t>扬或等同</w:t>
                  </w:r>
                </w:p>
              </w:tc>
              <w:tc>
                <w:tcPr>
                  <w:tcW w:w="1763" w:type="pct"/>
                  <w:tcBorders>
                    <w:tl2br w:val="nil"/>
                    <w:tr2bl w:val="nil"/>
                  </w:tcBorders>
                  <w:vAlign w:val="center"/>
                </w:tcPr>
                <w:p w14:paraId="084D1D9C">
                  <w:pPr>
                    <w:rPr>
                      <w:rStyle w:val="87"/>
                      <w:rFonts w:ascii="Times New Roman"/>
                      <w:color w:val="auto"/>
                      <w:sz w:val="20"/>
                      <w:szCs w:val="21"/>
                      <w:highlight w:val="none"/>
                    </w:rPr>
                  </w:pPr>
                  <w:r>
                    <w:rPr>
                      <w:rStyle w:val="87"/>
                      <w:rFonts w:ascii="Times New Roman"/>
                      <w:color w:val="auto"/>
                      <w:sz w:val="20"/>
                      <w:szCs w:val="21"/>
                      <w:highlight w:val="none"/>
                    </w:rPr>
                    <w:t>用途：溶剂输送，材质：铸钢</w:t>
                  </w:r>
                  <w:r>
                    <w:rPr>
                      <w:rStyle w:val="87"/>
                      <w:rFonts w:hint="eastAsia"/>
                      <w:color w:val="auto"/>
                      <w:sz w:val="20"/>
                      <w:szCs w:val="21"/>
                      <w:highlight w:val="none"/>
                    </w:rPr>
                    <w:t>。</w:t>
                  </w:r>
                </w:p>
              </w:tc>
            </w:tr>
            <w:tr w14:paraId="1ADCA3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C217BED">
                  <w:pPr>
                    <w:widowControl/>
                    <w:jc w:val="center"/>
                    <w:textAlignment w:val="center"/>
                    <w:rPr>
                      <w:bCs/>
                      <w:color w:val="auto"/>
                      <w:kern w:val="0"/>
                      <w:szCs w:val="21"/>
                      <w:highlight w:val="none"/>
                      <w:lang w:bidi="ar"/>
                    </w:rPr>
                  </w:pPr>
                  <w:r>
                    <w:rPr>
                      <w:rFonts w:hint="eastAsia"/>
                      <w:bCs/>
                      <w:color w:val="auto"/>
                      <w:kern w:val="0"/>
                      <w:szCs w:val="21"/>
                      <w:highlight w:val="none"/>
                      <w:lang w:bidi="ar"/>
                    </w:rPr>
                    <w:t>43</w:t>
                  </w:r>
                </w:p>
              </w:tc>
              <w:tc>
                <w:tcPr>
                  <w:tcW w:w="316" w:type="pct"/>
                  <w:tcBorders>
                    <w:tl2br w:val="nil"/>
                    <w:tr2bl w:val="nil"/>
                  </w:tcBorders>
                  <w:vAlign w:val="center"/>
                </w:tcPr>
                <w:p w14:paraId="6B2185AC">
                  <w:pPr>
                    <w:widowControl/>
                    <w:jc w:val="center"/>
                    <w:textAlignment w:val="center"/>
                    <w:rPr>
                      <w:bCs/>
                      <w:color w:val="auto"/>
                      <w:kern w:val="0"/>
                      <w:szCs w:val="21"/>
                      <w:highlight w:val="none"/>
                      <w:lang w:bidi="ar"/>
                    </w:rPr>
                  </w:pPr>
                  <w:r>
                    <w:rPr>
                      <w:rFonts w:hint="eastAsia"/>
                      <w:bCs/>
                      <w:color w:val="auto"/>
                      <w:kern w:val="0"/>
                      <w:szCs w:val="21"/>
                      <w:highlight w:val="none"/>
                      <w:lang w:bidi="ar"/>
                    </w:rPr>
                    <w:t>J43</w:t>
                  </w:r>
                </w:p>
              </w:tc>
              <w:tc>
                <w:tcPr>
                  <w:tcW w:w="612" w:type="pct"/>
                  <w:tcBorders>
                    <w:tl2br w:val="nil"/>
                    <w:tr2bl w:val="nil"/>
                  </w:tcBorders>
                  <w:vAlign w:val="center"/>
                </w:tcPr>
                <w:p w14:paraId="2C7E1E63">
                  <w:pPr>
                    <w:widowControl/>
                    <w:jc w:val="center"/>
                    <w:textAlignment w:val="center"/>
                    <w:rPr>
                      <w:bCs/>
                      <w:color w:val="auto"/>
                      <w:kern w:val="0"/>
                      <w:szCs w:val="21"/>
                      <w:highlight w:val="none"/>
                      <w:lang w:bidi="ar"/>
                    </w:rPr>
                  </w:pPr>
                  <w:r>
                    <w:rPr>
                      <w:rFonts w:hint="eastAsia"/>
                      <w:bCs/>
                      <w:color w:val="auto"/>
                      <w:kern w:val="0"/>
                      <w:szCs w:val="21"/>
                      <w:highlight w:val="none"/>
                      <w:lang w:bidi="ar"/>
                    </w:rPr>
                    <w:t>贫油泵</w:t>
                  </w:r>
                </w:p>
              </w:tc>
              <w:tc>
                <w:tcPr>
                  <w:tcW w:w="527" w:type="pct"/>
                  <w:tcBorders>
                    <w:tl2br w:val="nil"/>
                    <w:tr2bl w:val="nil"/>
                  </w:tcBorders>
                  <w:vAlign w:val="center"/>
                </w:tcPr>
                <w:p w14:paraId="10D87CF3">
                  <w:pPr>
                    <w:widowControl/>
                    <w:jc w:val="center"/>
                    <w:textAlignment w:val="center"/>
                    <w:rPr>
                      <w:bCs/>
                      <w:color w:val="auto"/>
                      <w:kern w:val="0"/>
                      <w:szCs w:val="21"/>
                      <w:highlight w:val="none"/>
                      <w:lang w:bidi="ar"/>
                    </w:rPr>
                  </w:pPr>
                  <w:r>
                    <w:rPr>
                      <w:rFonts w:hint="eastAsia"/>
                      <w:bCs/>
                      <w:color w:val="auto"/>
                      <w:kern w:val="0"/>
                      <w:szCs w:val="21"/>
                      <w:highlight w:val="none"/>
                      <w:lang w:bidi="ar"/>
                    </w:rPr>
                    <w:t>RY32-160</w:t>
                  </w:r>
                </w:p>
              </w:tc>
              <w:tc>
                <w:tcPr>
                  <w:tcW w:w="408" w:type="pct"/>
                  <w:tcBorders>
                    <w:tl2br w:val="nil"/>
                    <w:tr2bl w:val="nil"/>
                  </w:tcBorders>
                  <w:vAlign w:val="center"/>
                </w:tcPr>
                <w:p w14:paraId="6B8654E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E15D21F">
                  <w:pPr>
                    <w:widowControl/>
                    <w:jc w:val="center"/>
                    <w:textAlignment w:val="center"/>
                    <w:rPr>
                      <w:bCs/>
                      <w:color w:val="auto"/>
                      <w:kern w:val="0"/>
                      <w:szCs w:val="21"/>
                      <w:highlight w:val="none"/>
                      <w:lang w:bidi="ar"/>
                    </w:rPr>
                  </w:pPr>
                  <w:r>
                    <w:rPr>
                      <w:rFonts w:hint="eastAsia"/>
                      <w:bCs/>
                      <w:color w:val="auto"/>
                      <w:kern w:val="0"/>
                      <w:szCs w:val="21"/>
                      <w:highlight w:val="none"/>
                      <w:lang w:bidi="ar"/>
                    </w:rPr>
                    <w:t>1.5</w:t>
                  </w:r>
                </w:p>
              </w:tc>
              <w:tc>
                <w:tcPr>
                  <w:tcW w:w="636" w:type="pct"/>
                  <w:gridSpan w:val="2"/>
                  <w:tcBorders>
                    <w:tl2br w:val="nil"/>
                    <w:tr2bl w:val="nil"/>
                  </w:tcBorders>
                  <w:vAlign w:val="center"/>
                </w:tcPr>
                <w:p w14:paraId="10998530">
                  <w:pPr>
                    <w:widowControl/>
                    <w:jc w:val="center"/>
                    <w:textAlignment w:val="center"/>
                    <w:rPr>
                      <w:bCs/>
                      <w:color w:val="auto"/>
                      <w:kern w:val="0"/>
                      <w:szCs w:val="21"/>
                      <w:highlight w:val="none"/>
                      <w:lang w:bidi="ar"/>
                    </w:rPr>
                  </w:pPr>
                  <w:r>
                    <w:rPr>
                      <w:rFonts w:hint="eastAsia"/>
                      <w:bCs/>
                      <w:color w:val="auto"/>
                      <w:kern w:val="0"/>
                      <w:szCs w:val="21"/>
                      <w:highlight w:val="none"/>
                      <w:lang w:bidi="ar"/>
                    </w:rPr>
                    <w:t>河北或等同</w:t>
                  </w:r>
                </w:p>
              </w:tc>
              <w:tc>
                <w:tcPr>
                  <w:tcW w:w="1763" w:type="pct"/>
                  <w:tcBorders>
                    <w:tl2br w:val="nil"/>
                    <w:tr2bl w:val="nil"/>
                  </w:tcBorders>
                  <w:vAlign w:val="center"/>
                </w:tcPr>
                <w:p w14:paraId="21A8422B">
                  <w:pPr>
                    <w:rPr>
                      <w:rStyle w:val="87"/>
                      <w:rFonts w:ascii="Times New Roman"/>
                      <w:color w:val="auto"/>
                      <w:sz w:val="20"/>
                      <w:szCs w:val="21"/>
                      <w:highlight w:val="none"/>
                    </w:rPr>
                  </w:pPr>
                  <w:r>
                    <w:rPr>
                      <w:rStyle w:val="87"/>
                      <w:rFonts w:ascii="Times New Roman"/>
                      <w:color w:val="auto"/>
                      <w:sz w:val="20"/>
                      <w:szCs w:val="21"/>
                      <w:highlight w:val="none"/>
                    </w:rPr>
                    <w:t>用途：石蜡油输送，材质：铸钢</w:t>
                  </w:r>
                  <w:r>
                    <w:rPr>
                      <w:rStyle w:val="87"/>
                      <w:rFonts w:hint="eastAsia"/>
                      <w:color w:val="auto"/>
                      <w:sz w:val="20"/>
                      <w:szCs w:val="21"/>
                      <w:highlight w:val="none"/>
                    </w:rPr>
                    <w:t>。</w:t>
                  </w:r>
                </w:p>
              </w:tc>
            </w:tr>
            <w:tr w14:paraId="65729E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2B8216F">
                  <w:pPr>
                    <w:widowControl/>
                    <w:jc w:val="center"/>
                    <w:textAlignment w:val="center"/>
                    <w:rPr>
                      <w:bCs/>
                      <w:color w:val="auto"/>
                      <w:kern w:val="0"/>
                      <w:szCs w:val="21"/>
                      <w:highlight w:val="none"/>
                      <w:lang w:bidi="ar"/>
                    </w:rPr>
                  </w:pPr>
                  <w:r>
                    <w:rPr>
                      <w:rFonts w:hint="eastAsia"/>
                      <w:bCs/>
                      <w:color w:val="auto"/>
                      <w:kern w:val="0"/>
                      <w:szCs w:val="21"/>
                      <w:highlight w:val="none"/>
                      <w:lang w:bidi="ar"/>
                    </w:rPr>
                    <w:t>44</w:t>
                  </w:r>
                </w:p>
              </w:tc>
              <w:tc>
                <w:tcPr>
                  <w:tcW w:w="316" w:type="pct"/>
                  <w:tcBorders>
                    <w:tl2br w:val="nil"/>
                    <w:tr2bl w:val="nil"/>
                  </w:tcBorders>
                  <w:vAlign w:val="center"/>
                </w:tcPr>
                <w:p w14:paraId="227EFD5B">
                  <w:pPr>
                    <w:widowControl/>
                    <w:jc w:val="center"/>
                    <w:textAlignment w:val="center"/>
                    <w:rPr>
                      <w:bCs/>
                      <w:color w:val="auto"/>
                      <w:kern w:val="0"/>
                      <w:szCs w:val="21"/>
                      <w:highlight w:val="none"/>
                      <w:lang w:bidi="ar"/>
                    </w:rPr>
                  </w:pPr>
                  <w:r>
                    <w:rPr>
                      <w:rFonts w:hint="eastAsia"/>
                      <w:bCs/>
                      <w:color w:val="auto"/>
                      <w:kern w:val="0"/>
                      <w:szCs w:val="21"/>
                      <w:highlight w:val="none"/>
                      <w:lang w:bidi="ar"/>
                    </w:rPr>
                    <w:t>J44</w:t>
                  </w:r>
                </w:p>
              </w:tc>
              <w:tc>
                <w:tcPr>
                  <w:tcW w:w="612" w:type="pct"/>
                  <w:tcBorders>
                    <w:tl2br w:val="nil"/>
                    <w:tr2bl w:val="nil"/>
                  </w:tcBorders>
                  <w:vAlign w:val="center"/>
                </w:tcPr>
                <w:p w14:paraId="6E494C80">
                  <w:pPr>
                    <w:widowControl/>
                    <w:jc w:val="center"/>
                    <w:textAlignment w:val="center"/>
                    <w:rPr>
                      <w:bCs/>
                      <w:color w:val="auto"/>
                      <w:kern w:val="0"/>
                      <w:szCs w:val="21"/>
                      <w:highlight w:val="none"/>
                      <w:lang w:bidi="ar"/>
                    </w:rPr>
                  </w:pPr>
                  <w:r>
                    <w:rPr>
                      <w:rFonts w:hint="eastAsia"/>
                      <w:bCs/>
                      <w:color w:val="auto"/>
                      <w:kern w:val="0"/>
                      <w:szCs w:val="21"/>
                      <w:highlight w:val="none"/>
                      <w:lang w:bidi="ar"/>
                    </w:rPr>
                    <w:t>富油泵</w:t>
                  </w:r>
                </w:p>
              </w:tc>
              <w:tc>
                <w:tcPr>
                  <w:tcW w:w="527" w:type="pct"/>
                  <w:tcBorders>
                    <w:tl2br w:val="nil"/>
                    <w:tr2bl w:val="nil"/>
                  </w:tcBorders>
                  <w:vAlign w:val="center"/>
                </w:tcPr>
                <w:p w14:paraId="3484A43A">
                  <w:pPr>
                    <w:widowControl/>
                    <w:jc w:val="center"/>
                    <w:textAlignment w:val="center"/>
                    <w:rPr>
                      <w:bCs/>
                      <w:color w:val="auto"/>
                      <w:kern w:val="0"/>
                      <w:szCs w:val="21"/>
                      <w:highlight w:val="none"/>
                      <w:lang w:bidi="ar"/>
                    </w:rPr>
                  </w:pPr>
                  <w:r>
                    <w:rPr>
                      <w:rFonts w:hint="eastAsia"/>
                      <w:bCs/>
                      <w:color w:val="auto"/>
                      <w:kern w:val="0"/>
                      <w:szCs w:val="21"/>
                      <w:highlight w:val="none"/>
                      <w:lang w:bidi="ar"/>
                    </w:rPr>
                    <w:t>RY32-160</w:t>
                  </w:r>
                </w:p>
              </w:tc>
              <w:tc>
                <w:tcPr>
                  <w:tcW w:w="408" w:type="pct"/>
                  <w:tcBorders>
                    <w:tl2br w:val="nil"/>
                    <w:tr2bl w:val="nil"/>
                  </w:tcBorders>
                  <w:vAlign w:val="center"/>
                </w:tcPr>
                <w:p w14:paraId="74AD9DB1">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D8188D6">
                  <w:pPr>
                    <w:widowControl/>
                    <w:jc w:val="center"/>
                    <w:textAlignment w:val="center"/>
                    <w:rPr>
                      <w:bCs/>
                      <w:color w:val="auto"/>
                      <w:kern w:val="0"/>
                      <w:szCs w:val="21"/>
                      <w:highlight w:val="none"/>
                      <w:lang w:bidi="ar"/>
                    </w:rPr>
                  </w:pPr>
                  <w:r>
                    <w:rPr>
                      <w:rFonts w:hint="eastAsia"/>
                      <w:bCs/>
                      <w:color w:val="auto"/>
                      <w:kern w:val="0"/>
                      <w:szCs w:val="21"/>
                      <w:highlight w:val="none"/>
                      <w:lang w:bidi="ar"/>
                    </w:rPr>
                    <w:t>1.5</w:t>
                  </w:r>
                </w:p>
              </w:tc>
              <w:tc>
                <w:tcPr>
                  <w:tcW w:w="636" w:type="pct"/>
                  <w:gridSpan w:val="2"/>
                  <w:tcBorders>
                    <w:tl2br w:val="nil"/>
                    <w:tr2bl w:val="nil"/>
                  </w:tcBorders>
                  <w:vAlign w:val="center"/>
                </w:tcPr>
                <w:p w14:paraId="5B722EEE">
                  <w:pPr>
                    <w:widowControl/>
                    <w:jc w:val="center"/>
                    <w:textAlignment w:val="center"/>
                    <w:rPr>
                      <w:bCs/>
                      <w:color w:val="auto"/>
                      <w:kern w:val="0"/>
                      <w:szCs w:val="21"/>
                      <w:highlight w:val="none"/>
                      <w:lang w:bidi="ar"/>
                    </w:rPr>
                  </w:pPr>
                  <w:r>
                    <w:rPr>
                      <w:rFonts w:hint="eastAsia"/>
                      <w:bCs/>
                      <w:color w:val="auto"/>
                      <w:kern w:val="0"/>
                      <w:szCs w:val="21"/>
                      <w:highlight w:val="none"/>
                      <w:lang w:bidi="ar"/>
                    </w:rPr>
                    <w:t>河北或</w:t>
                  </w:r>
                </w:p>
                <w:p w14:paraId="16ECE2F3">
                  <w:pPr>
                    <w:widowControl/>
                    <w:jc w:val="center"/>
                    <w:textAlignment w:val="center"/>
                    <w:rPr>
                      <w:bCs/>
                      <w:color w:val="auto"/>
                      <w:kern w:val="0"/>
                      <w:szCs w:val="21"/>
                      <w:highlight w:val="none"/>
                      <w:lang w:bidi="ar"/>
                    </w:rPr>
                  </w:pPr>
                </w:p>
              </w:tc>
              <w:tc>
                <w:tcPr>
                  <w:tcW w:w="1763" w:type="pct"/>
                  <w:tcBorders>
                    <w:tl2br w:val="nil"/>
                    <w:tr2bl w:val="nil"/>
                  </w:tcBorders>
                  <w:vAlign w:val="center"/>
                </w:tcPr>
                <w:p w14:paraId="26B60E82">
                  <w:pPr>
                    <w:rPr>
                      <w:rStyle w:val="87"/>
                      <w:rFonts w:ascii="Times New Roman"/>
                      <w:color w:val="auto"/>
                      <w:sz w:val="21"/>
                      <w:szCs w:val="21"/>
                      <w:highlight w:val="none"/>
                    </w:rPr>
                  </w:pPr>
                  <w:r>
                    <w:rPr>
                      <w:rStyle w:val="87"/>
                      <w:rFonts w:ascii="Times New Roman"/>
                      <w:color w:val="auto"/>
                      <w:sz w:val="21"/>
                      <w:szCs w:val="21"/>
                      <w:highlight w:val="none"/>
                    </w:rPr>
                    <w:t>用途：石蜡油输送，材质：铸钢</w:t>
                  </w:r>
                  <w:r>
                    <w:rPr>
                      <w:rStyle w:val="87"/>
                      <w:rFonts w:hint="eastAsia"/>
                      <w:color w:val="auto"/>
                      <w:sz w:val="21"/>
                      <w:szCs w:val="21"/>
                      <w:highlight w:val="none"/>
                    </w:rPr>
                    <w:t>。</w:t>
                  </w:r>
                </w:p>
              </w:tc>
            </w:tr>
            <w:tr w14:paraId="4A3891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AD239F7">
                  <w:pPr>
                    <w:widowControl/>
                    <w:jc w:val="center"/>
                    <w:textAlignment w:val="center"/>
                    <w:rPr>
                      <w:bCs/>
                      <w:color w:val="auto"/>
                      <w:kern w:val="0"/>
                      <w:szCs w:val="21"/>
                      <w:highlight w:val="none"/>
                      <w:lang w:bidi="ar"/>
                    </w:rPr>
                  </w:pPr>
                  <w:r>
                    <w:rPr>
                      <w:rFonts w:hint="eastAsia"/>
                      <w:bCs/>
                      <w:color w:val="auto"/>
                      <w:kern w:val="0"/>
                      <w:szCs w:val="21"/>
                      <w:highlight w:val="none"/>
                      <w:lang w:bidi="ar"/>
                    </w:rPr>
                    <w:t>45</w:t>
                  </w:r>
                </w:p>
              </w:tc>
              <w:tc>
                <w:tcPr>
                  <w:tcW w:w="316" w:type="pct"/>
                  <w:tcBorders>
                    <w:tl2br w:val="nil"/>
                    <w:tr2bl w:val="nil"/>
                  </w:tcBorders>
                  <w:vAlign w:val="center"/>
                </w:tcPr>
                <w:p w14:paraId="2D4349A7">
                  <w:pPr>
                    <w:widowControl/>
                    <w:jc w:val="center"/>
                    <w:textAlignment w:val="center"/>
                    <w:rPr>
                      <w:bCs/>
                      <w:color w:val="auto"/>
                      <w:kern w:val="0"/>
                      <w:szCs w:val="21"/>
                      <w:highlight w:val="none"/>
                      <w:lang w:bidi="ar"/>
                    </w:rPr>
                  </w:pPr>
                  <w:r>
                    <w:rPr>
                      <w:rFonts w:hint="eastAsia"/>
                      <w:bCs/>
                      <w:color w:val="auto"/>
                      <w:kern w:val="0"/>
                      <w:szCs w:val="21"/>
                      <w:highlight w:val="none"/>
                      <w:lang w:bidi="ar"/>
                    </w:rPr>
                    <w:t>J45</w:t>
                  </w:r>
                </w:p>
              </w:tc>
              <w:tc>
                <w:tcPr>
                  <w:tcW w:w="612" w:type="pct"/>
                  <w:tcBorders>
                    <w:tl2br w:val="nil"/>
                    <w:tr2bl w:val="nil"/>
                  </w:tcBorders>
                  <w:vAlign w:val="center"/>
                </w:tcPr>
                <w:p w14:paraId="1AFF2075">
                  <w:pPr>
                    <w:widowControl/>
                    <w:jc w:val="center"/>
                    <w:textAlignment w:val="center"/>
                    <w:rPr>
                      <w:bCs/>
                      <w:color w:val="auto"/>
                      <w:kern w:val="0"/>
                      <w:szCs w:val="21"/>
                      <w:highlight w:val="none"/>
                      <w:lang w:bidi="ar"/>
                    </w:rPr>
                  </w:pPr>
                  <w:r>
                    <w:rPr>
                      <w:rFonts w:hint="eastAsia"/>
                      <w:bCs/>
                      <w:color w:val="auto"/>
                      <w:kern w:val="0"/>
                      <w:szCs w:val="21"/>
                      <w:highlight w:val="none"/>
                      <w:lang w:bidi="ar"/>
                    </w:rPr>
                    <w:t>热水泵</w:t>
                  </w:r>
                </w:p>
              </w:tc>
              <w:tc>
                <w:tcPr>
                  <w:tcW w:w="527" w:type="pct"/>
                  <w:tcBorders>
                    <w:tl2br w:val="nil"/>
                    <w:tr2bl w:val="nil"/>
                  </w:tcBorders>
                  <w:vAlign w:val="center"/>
                </w:tcPr>
                <w:p w14:paraId="0403A867">
                  <w:pPr>
                    <w:widowControl/>
                    <w:jc w:val="center"/>
                    <w:textAlignment w:val="center"/>
                    <w:rPr>
                      <w:bCs/>
                      <w:color w:val="auto"/>
                      <w:kern w:val="0"/>
                      <w:szCs w:val="21"/>
                      <w:highlight w:val="none"/>
                      <w:lang w:bidi="ar"/>
                    </w:rPr>
                  </w:pPr>
                  <w:r>
                    <w:rPr>
                      <w:rFonts w:hint="eastAsia"/>
                      <w:bCs/>
                      <w:color w:val="auto"/>
                      <w:kern w:val="0"/>
                      <w:szCs w:val="21"/>
                      <w:highlight w:val="none"/>
                      <w:lang w:bidi="ar"/>
                    </w:rPr>
                    <w:t>ISG40-160</w:t>
                  </w:r>
                </w:p>
              </w:tc>
              <w:tc>
                <w:tcPr>
                  <w:tcW w:w="408" w:type="pct"/>
                  <w:tcBorders>
                    <w:tl2br w:val="nil"/>
                    <w:tr2bl w:val="nil"/>
                  </w:tcBorders>
                  <w:vAlign w:val="center"/>
                </w:tcPr>
                <w:p w14:paraId="06D444A8">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E355FB3">
                  <w:pPr>
                    <w:widowControl/>
                    <w:jc w:val="center"/>
                    <w:textAlignment w:val="center"/>
                    <w:rPr>
                      <w:bCs/>
                      <w:color w:val="auto"/>
                      <w:kern w:val="0"/>
                      <w:szCs w:val="21"/>
                      <w:highlight w:val="none"/>
                      <w:lang w:bidi="ar"/>
                    </w:rPr>
                  </w:pPr>
                  <w:r>
                    <w:rPr>
                      <w:rFonts w:hint="eastAsia"/>
                      <w:bCs/>
                      <w:color w:val="auto"/>
                      <w:kern w:val="0"/>
                      <w:szCs w:val="21"/>
                      <w:highlight w:val="none"/>
                      <w:lang w:bidi="ar"/>
                    </w:rPr>
                    <w:t>2.2</w:t>
                  </w:r>
                </w:p>
              </w:tc>
              <w:tc>
                <w:tcPr>
                  <w:tcW w:w="636" w:type="pct"/>
                  <w:gridSpan w:val="2"/>
                  <w:tcBorders>
                    <w:tl2br w:val="nil"/>
                    <w:tr2bl w:val="nil"/>
                  </w:tcBorders>
                  <w:vAlign w:val="center"/>
                </w:tcPr>
                <w:p w14:paraId="74897E51">
                  <w:pPr>
                    <w:widowControl/>
                    <w:jc w:val="center"/>
                    <w:textAlignment w:val="center"/>
                    <w:rPr>
                      <w:bCs/>
                      <w:color w:val="auto"/>
                      <w:kern w:val="0"/>
                      <w:szCs w:val="21"/>
                      <w:highlight w:val="none"/>
                      <w:lang w:bidi="ar"/>
                    </w:rPr>
                  </w:pPr>
                  <w:r>
                    <w:rPr>
                      <w:rFonts w:hint="eastAsia"/>
                      <w:bCs/>
                      <w:color w:val="auto"/>
                      <w:kern w:val="0"/>
                      <w:szCs w:val="21"/>
                      <w:highlight w:val="none"/>
                      <w:lang w:bidi="ar"/>
                    </w:rPr>
                    <w:t>济宁或等同</w:t>
                  </w:r>
                </w:p>
              </w:tc>
              <w:tc>
                <w:tcPr>
                  <w:tcW w:w="1763" w:type="pct"/>
                  <w:tcBorders>
                    <w:tl2br w:val="nil"/>
                    <w:tr2bl w:val="nil"/>
                  </w:tcBorders>
                  <w:vAlign w:val="center"/>
                </w:tcPr>
                <w:p w14:paraId="73761137">
                  <w:pPr>
                    <w:rPr>
                      <w:rStyle w:val="87"/>
                      <w:rFonts w:ascii="Times New Roman"/>
                      <w:color w:val="auto"/>
                      <w:sz w:val="21"/>
                      <w:szCs w:val="21"/>
                      <w:highlight w:val="none"/>
                    </w:rPr>
                  </w:pPr>
                  <w:r>
                    <w:rPr>
                      <w:rStyle w:val="87"/>
                      <w:rFonts w:ascii="Times New Roman"/>
                      <w:color w:val="auto"/>
                      <w:sz w:val="21"/>
                      <w:szCs w:val="21"/>
                      <w:highlight w:val="none"/>
                    </w:rPr>
                    <w:t>用途：石蜡油输送，材质：铸钢</w:t>
                  </w:r>
                  <w:r>
                    <w:rPr>
                      <w:rStyle w:val="87"/>
                      <w:rFonts w:hint="eastAsia"/>
                      <w:color w:val="auto"/>
                      <w:sz w:val="21"/>
                      <w:szCs w:val="21"/>
                      <w:highlight w:val="none"/>
                    </w:rPr>
                    <w:t>。</w:t>
                  </w:r>
                </w:p>
              </w:tc>
            </w:tr>
            <w:tr w14:paraId="43BACB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1176388">
                  <w:pPr>
                    <w:widowControl/>
                    <w:jc w:val="center"/>
                    <w:textAlignment w:val="center"/>
                    <w:rPr>
                      <w:bCs/>
                      <w:color w:val="auto"/>
                      <w:kern w:val="0"/>
                      <w:szCs w:val="21"/>
                      <w:highlight w:val="none"/>
                      <w:lang w:bidi="ar"/>
                    </w:rPr>
                  </w:pPr>
                  <w:r>
                    <w:rPr>
                      <w:rFonts w:hint="eastAsia"/>
                      <w:bCs/>
                      <w:color w:val="auto"/>
                      <w:kern w:val="0"/>
                      <w:szCs w:val="21"/>
                      <w:highlight w:val="none"/>
                      <w:lang w:bidi="ar"/>
                    </w:rPr>
                    <w:t>46</w:t>
                  </w:r>
                </w:p>
              </w:tc>
              <w:tc>
                <w:tcPr>
                  <w:tcW w:w="316" w:type="pct"/>
                  <w:tcBorders>
                    <w:tl2br w:val="nil"/>
                    <w:tr2bl w:val="nil"/>
                  </w:tcBorders>
                  <w:vAlign w:val="center"/>
                </w:tcPr>
                <w:p w14:paraId="7DEA59E2">
                  <w:pPr>
                    <w:widowControl/>
                    <w:jc w:val="center"/>
                    <w:textAlignment w:val="center"/>
                    <w:rPr>
                      <w:bCs/>
                      <w:color w:val="auto"/>
                      <w:kern w:val="0"/>
                      <w:szCs w:val="21"/>
                      <w:highlight w:val="none"/>
                      <w:lang w:bidi="ar"/>
                    </w:rPr>
                  </w:pPr>
                  <w:r>
                    <w:rPr>
                      <w:rFonts w:hint="eastAsia"/>
                      <w:bCs/>
                      <w:color w:val="auto"/>
                      <w:kern w:val="0"/>
                      <w:szCs w:val="21"/>
                      <w:highlight w:val="none"/>
                      <w:lang w:bidi="ar"/>
                    </w:rPr>
                    <w:t>J46</w:t>
                  </w:r>
                </w:p>
              </w:tc>
              <w:tc>
                <w:tcPr>
                  <w:tcW w:w="612" w:type="pct"/>
                  <w:tcBorders>
                    <w:tl2br w:val="nil"/>
                    <w:tr2bl w:val="nil"/>
                  </w:tcBorders>
                  <w:vAlign w:val="center"/>
                </w:tcPr>
                <w:p w14:paraId="0DE404E0">
                  <w:pPr>
                    <w:widowControl/>
                    <w:jc w:val="center"/>
                    <w:textAlignment w:val="center"/>
                    <w:rPr>
                      <w:bCs/>
                      <w:color w:val="auto"/>
                      <w:kern w:val="0"/>
                      <w:szCs w:val="21"/>
                      <w:highlight w:val="none"/>
                      <w:lang w:bidi="ar"/>
                    </w:rPr>
                  </w:pPr>
                  <w:r>
                    <w:rPr>
                      <w:rFonts w:hint="eastAsia"/>
                      <w:bCs/>
                      <w:color w:val="auto"/>
                      <w:kern w:val="0"/>
                      <w:szCs w:val="21"/>
                      <w:highlight w:val="none"/>
                      <w:lang w:bidi="ar"/>
                    </w:rPr>
                    <w:t>分水泵</w:t>
                  </w:r>
                </w:p>
              </w:tc>
              <w:tc>
                <w:tcPr>
                  <w:tcW w:w="527" w:type="pct"/>
                  <w:tcBorders>
                    <w:tl2br w:val="nil"/>
                    <w:tr2bl w:val="nil"/>
                  </w:tcBorders>
                  <w:vAlign w:val="center"/>
                </w:tcPr>
                <w:p w14:paraId="2AACD41A">
                  <w:pPr>
                    <w:widowControl/>
                    <w:jc w:val="center"/>
                    <w:textAlignment w:val="center"/>
                    <w:rPr>
                      <w:bCs/>
                      <w:color w:val="auto"/>
                      <w:kern w:val="0"/>
                      <w:szCs w:val="21"/>
                      <w:highlight w:val="none"/>
                      <w:lang w:bidi="ar"/>
                    </w:rPr>
                  </w:pPr>
                  <w:r>
                    <w:rPr>
                      <w:rFonts w:hint="eastAsia"/>
                      <w:bCs/>
                      <w:color w:val="auto"/>
                      <w:kern w:val="0"/>
                      <w:szCs w:val="21"/>
                      <w:highlight w:val="none"/>
                      <w:lang w:bidi="ar"/>
                    </w:rPr>
                    <w:t>Isw40-125</w:t>
                  </w:r>
                </w:p>
              </w:tc>
              <w:tc>
                <w:tcPr>
                  <w:tcW w:w="408" w:type="pct"/>
                  <w:tcBorders>
                    <w:tl2br w:val="nil"/>
                    <w:tr2bl w:val="nil"/>
                  </w:tcBorders>
                  <w:vAlign w:val="center"/>
                </w:tcPr>
                <w:p w14:paraId="697924FF">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7BCD2FE">
                  <w:pPr>
                    <w:widowControl/>
                    <w:jc w:val="center"/>
                    <w:textAlignment w:val="center"/>
                    <w:rPr>
                      <w:bCs/>
                      <w:color w:val="auto"/>
                      <w:kern w:val="0"/>
                      <w:szCs w:val="21"/>
                      <w:highlight w:val="none"/>
                      <w:lang w:bidi="ar"/>
                    </w:rPr>
                  </w:pPr>
                  <w:r>
                    <w:rPr>
                      <w:rFonts w:hint="eastAsia"/>
                      <w:bCs/>
                      <w:color w:val="auto"/>
                      <w:kern w:val="0"/>
                      <w:szCs w:val="21"/>
                      <w:highlight w:val="none"/>
                      <w:lang w:bidi="ar"/>
                    </w:rPr>
                    <w:t>0.75</w:t>
                  </w:r>
                </w:p>
              </w:tc>
              <w:tc>
                <w:tcPr>
                  <w:tcW w:w="636" w:type="pct"/>
                  <w:gridSpan w:val="2"/>
                  <w:tcBorders>
                    <w:tl2br w:val="nil"/>
                    <w:tr2bl w:val="nil"/>
                  </w:tcBorders>
                  <w:vAlign w:val="center"/>
                </w:tcPr>
                <w:p w14:paraId="67845390">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438DD7C0">
                  <w:pPr>
                    <w:rPr>
                      <w:rStyle w:val="87"/>
                      <w:rFonts w:ascii="Times New Roman"/>
                      <w:color w:val="auto"/>
                      <w:sz w:val="21"/>
                      <w:szCs w:val="21"/>
                      <w:highlight w:val="none"/>
                    </w:rPr>
                  </w:pPr>
                </w:p>
              </w:tc>
            </w:tr>
            <w:tr w14:paraId="38401C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5E2A71A">
                  <w:pPr>
                    <w:widowControl/>
                    <w:jc w:val="center"/>
                    <w:textAlignment w:val="center"/>
                    <w:rPr>
                      <w:bCs/>
                      <w:color w:val="auto"/>
                      <w:kern w:val="0"/>
                      <w:szCs w:val="21"/>
                      <w:highlight w:val="none"/>
                      <w:lang w:bidi="ar"/>
                    </w:rPr>
                  </w:pPr>
                  <w:r>
                    <w:rPr>
                      <w:rFonts w:hint="eastAsia"/>
                      <w:bCs/>
                      <w:color w:val="auto"/>
                      <w:kern w:val="0"/>
                      <w:szCs w:val="21"/>
                      <w:highlight w:val="none"/>
                      <w:lang w:bidi="ar"/>
                    </w:rPr>
                    <w:t>47</w:t>
                  </w:r>
                </w:p>
              </w:tc>
              <w:tc>
                <w:tcPr>
                  <w:tcW w:w="316" w:type="pct"/>
                  <w:tcBorders>
                    <w:tl2br w:val="nil"/>
                    <w:tr2bl w:val="nil"/>
                  </w:tcBorders>
                  <w:vAlign w:val="center"/>
                </w:tcPr>
                <w:p w14:paraId="1474A30E">
                  <w:pPr>
                    <w:widowControl/>
                    <w:jc w:val="center"/>
                    <w:textAlignment w:val="center"/>
                    <w:rPr>
                      <w:bCs/>
                      <w:color w:val="auto"/>
                      <w:kern w:val="0"/>
                      <w:szCs w:val="21"/>
                      <w:highlight w:val="none"/>
                      <w:lang w:bidi="ar"/>
                    </w:rPr>
                  </w:pPr>
                  <w:r>
                    <w:rPr>
                      <w:rFonts w:hint="eastAsia"/>
                      <w:bCs/>
                      <w:color w:val="auto"/>
                      <w:kern w:val="0"/>
                      <w:szCs w:val="21"/>
                      <w:highlight w:val="none"/>
                      <w:lang w:bidi="ar"/>
                    </w:rPr>
                    <w:t>J47</w:t>
                  </w:r>
                </w:p>
              </w:tc>
              <w:tc>
                <w:tcPr>
                  <w:tcW w:w="612" w:type="pct"/>
                  <w:tcBorders>
                    <w:tl2br w:val="nil"/>
                    <w:tr2bl w:val="nil"/>
                  </w:tcBorders>
                  <w:vAlign w:val="center"/>
                </w:tcPr>
                <w:p w14:paraId="6267C5BF">
                  <w:pPr>
                    <w:widowControl/>
                    <w:jc w:val="center"/>
                    <w:textAlignment w:val="center"/>
                    <w:rPr>
                      <w:bCs/>
                      <w:color w:val="auto"/>
                      <w:kern w:val="0"/>
                      <w:szCs w:val="21"/>
                      <w:highlight w:val="none"/>
                      <w:lang w:bidi="ar"/>
                    </w:rPr>
                  </w:pPr>
                  <w:r>
                    <w:rPr>
                      <w:rFonts w:hint="eastAsia"/>
                      <w:bCs/>
                      <w:color w:val="auto"/>
                      <w:kern w:val="0"/>
                      <w:szCs w:val="21"/>
                      <w:highlight w:val="none"/>
                      <w:lang w:bidi="ar"/>
                    </w:rPr>
                    <w:t>毛油泵</w:t>
                  </w:r>
                </w:p>
              </w:tc>
              <w:tc>
                <w:tcPr>
                  <w:tcW w:w="527" w:type="pct"/>
                  <w:tcBorders>
                    <w:tl2br w:val="nil"/>
                    <w:tr2bl w:val="nil"/>
                  </w:tcBorders>
                  <w:vAlign w:val="center"/>
                </w:tcPr>
                <w:p w14:paraId="756AB966">
                  <w:pPr>
                    <w:widowControl/>
                    <w:jc w:val="center"/>
                    <w:textAlignment w:val="center"/>
                    <w:rPr>
                      <w:bCs/>
                      <w:color w:val="auto"/>
                      <w:kern w:val="0"/>
                      <w:szCs w:val="21"/>
                      <w:highlight w:val="none"/>
                      <w:lang w:bidi="ar"/>
                    </w:rPr>
                  </w:pPr>
                  <w:r>
                    <w:rPr>
                      <w:rFonts w:hint="eastAsia"/>
                      <w:bCs/>
                      <w:color w:val="auto"/>
                      <w:kern w:val="0"/>
                      <w:szCs w:val="21"/>
                      <w:highlight w:val="none"/>
                      <w:lang w:bidi="ar"/>
                    </w:rPr>
                    <w:t>KCB83.3</w:t>
                  </w:r>
                </w:p>
              </w:tc>
              <w:tc>
                <w:tcPr>
                  <w:tcW w:w="408" w:type="pct"/>
                  <w:tcBorders>
                    <w:tl2br w:val="nil"/>
                    <w:tr2bl w:val="nil"/>
                  </w:tcBorders>
                  <w:vAlign w:val="center"/>
                </w:tcPr>
                <w:p w14:paraId="3B05E001">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39A50376">
                  <w:pPr>
                    <w:widowControl/>
                    <w:jc w:val="center"/>
                    <w:textAlignment w:val="center"/>
                    <w:rPr>
                      <w:bCs/>
                      <w:color w:val="auto"/>
                      <w:kern w:val="0"/>
                      <w:szCs w:val="21"/>
                      <w:highlight w:val="none"/>
                      <w:lang w:bidi="ar"/>
                    </w:rPr>
                  </w:pPr>
                  <w:r>
                    <w:rPr>
                      <w:rFonts w:hint="eastAsia"/>
                      <w:bCs/>
                      <w:color w:val="auto"/>
                      <w:kern w:val="0"/>
                      <w:szCs w:val="21"/>
                      <w:highlight w:val="none"/>
                      <w:lang w:bidi="ar"/>
                    </w:rPr>
                    <w:t>2.2</w:t>
                  </w:r>
                </w:p>
              </w:tc>
              <w:tc>
                <w:tcPr>
                  <w:tcW w:w="636" w:type="pct"/>
                  <w:gridSpan w:val="2"/>
                  <w:tcBorders>
                    <w:tl2br w:val="nil"/>
                    <w:tr2bl w:val="nil"/>
                  </w:tcBorders>
                  <w:vAlign w:val="center"/>
                </w:tcPr>
                <w:p w14:paraId="62A43E4E">
                  <w:pPr>
                    <w:widowControl/>
                    <w:jc w:val="center"/>
                    <w:textAlignment w:val="center"/>
                    <w:rPr>
                      <w:bCs/>
                      <w:color w:val="auto"/>
                      <w:kern w:val="0"/>
                      <w:szCs w:val="21"/>
                      <w:highlight w:val="none"/>
                      <w:lang w:bidi="ar"/>
                    </w:rPr>
                  </w:pPr>
                  <w:r>
                    <w:rPr>
                      <w:rFonts w:hint="eastAsia"/>
                      <w:bCs/>
                      <w:color w:val="auto"/>
                      <w:kern w:val="0"/>
                      <w:szCs w:val="21"/>
                      <w:highlight w:val="none"/>
                      <w:lang w:bidi="ar"/>
                    </w:rPr>
                    <w:t>河北或等同</w:t>
                  </w:r>
                </w:p>
              </w:tc>
              <w:tc>
                <w:tcPr>
                  <w:tcW w:w="1763" w:type="pct"/>
                  <w:tcBorders>
                    <w:tl2br w:val="nil"/>
                    <w:tr2bl w:val="nil"/>
                  </w:tcBorders>
                  <w:vAlign w:val="center"/>
                </w:tcPr>
                <w:p w14:paraId="6DA189B9">
                  <w:pPr>
                    <w:rPr>
                      <w:rStyle w:val="87"/>
                      <w:rFonts w:ascii="Times New Roman"/>
                      <w:color w:val="auto"/>
                      <w:sz w:val="21"/>
                      <w:szCs w:val="21"/>
                      <w:highlight w:val="none"/>
                    </w:rPr>
                  </w:pPr>
                  <w:r>
                    <w:rPr>
                      <w:rStyle w:val="87"/>
                      <w:rFonts w:ascii="Times New Roman"/>
                      <w:color w:val="auto"/>
                      <w:sz w:val="21"/>
                      <w:szCs w:val="21"/>
                      <w:highlight w:val="none"/>
                    </w:rPr>
                    <w:t>用途：毛油输送，材质Q235，高温油泵。</w:t>
                  </w:r>
                </w:p>
              </w:tc>
            </w:tr>
            <w:tr w14:paraId="0A37E4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A683A68">
                  <w:pPr>
                    <w:widowControl/>
                    <w:jc w:val="center"/>
                    <w:textAlignment w:val="center"/>
                    <w:rPr>
                      <w:bCs/>
                      <w:color w:val="auto"/>
                      <w:kern w:val="0"/>
                      <w:szCs w:val="21"/>
                      <w:highlight w:val="none"/>
                      <w:lang w:bidi="ar"/>
                    </w:rPr>
                  </w:pPr>
                  <w:r>
                    <w:rPr>
                      <w:rFonts w:hint="eastAsia"/>
                      <w:bCs/>
                      <w:color w:val="auto"/>
                      <w:kern w:val="0"/>
                      <w:szCs w:val="21"/>
                      <w:highlight w:val="none"/>
                      <w:lang w:bidi="ar"/>
                    </w:rPr>
                    <w:t>48</w:t>
                  </w:r>
                </w:p>
              </w:tc>
              <w:tc>
                <w:tcPr>
                  <w:tcW w:w="316" w:type="pct"/>
                  <w:tcBorders>
                    <w:tl2br w:val="nil"/>
                    <w:tr2bl w:val="nil"/>
                  </w:tcBorders>
                  <w:vAlign w:val="center"/>
                </w:tcPr>
                <w:p w14:paraId="1E8E1420">
                  <w:pPr>
                    <w:widowControl/>
                    <w:jc w:val="center"/>
                    <w:textAlignment w:val="center"/>
                    <w:rPr>
                      <w:bCs/>
                      <w:color w:val="auto"/>
                      <w:kern w:val="0"/>
                      <w:szCs w:val="21"/>
                      <w:highlight w:val="none"/>
                      <w:lang w:bidi="ar"/>
                    </w:rPr>
                  </w:pPr>
                  <w:r>
                    <w:rPr>
                      <w:rFonts w:hint="eastAsia"/>
                      <w:bCs/>
                      <w:color w:val="auto"/>
                      <w:kern w:val="0"/>
                      <w:szCs w:val="21"/>
                      <w:highlight w:val="none"/>
                      <w:lang w:bidi="ar"/>
                    </w:rPr>
                    <w:t>J48</w:t>
                  </w:r>
                </w:p>
              </w:tc>
              <w:tc>
                <w:tcPr>
                  <w:tcW w:w="612" w:type="pct"/>
                  <w:tcBorders>
                    <w:tl2br w:val="nil"/>
                    <w:tr2bl w:val="nil"/>
                  </w:tcBorders>
                  <w:vAlign w:val="center"/>
                </w:tcPr>
                <w:p w14:paraId="7D3ECD62">
                  <w:pPr>
                    <w:widowControl/>
                    <w:jc w:val="center"/>
                    <w:textAlignment w:val="center"/>
                    <w:rPr>
                      <w:bCs/>
                      <w:color w:val="auto"/>
                      <w:kern w:val="0"/>
                      <w:szCs w:val="21"/>
                      <w:highlight w:val="none"/>
                      <w:lang w:bidi="ar"/>
                    </w:rPr>
                  </w:pPr>
                  <w:r>
                    <w:rPr>
                      <w:rFonts w:hint="eastAsia"/>
                      <w:bCs/>
                      <w:color w:val="auto"/>
                      <w:kern w:val="0"/>
                      <w:szCs w:val="21"/>
                      <w:highlight w:val="none"/>
                      <w:lang w:bidi="ar"/>
                    </w:rPr>
                    <w:t>毛油换热器</w:t>
                  </w:r>
                </w:p>
              </w:tc>
              <w:tc>
                <w:tcPr>
                  <w:tcW w:w="527" w:type="pct"/>
                  <w:tcBorders>
                    <w:tl2br w:val="nil"/>
                    <w:tr2bl w:val="nil"/>
                  </w:tcBorders>
                  <w:vAlign w:val="center"/>
                </w:tcPr>
                <w:p w14:paraId="2A048EDB">
                  <w:pPr>
                    <w:widowControl/>
                    <w:jc w:val="center"/>
                    <w:textAlignment w:val="center"/>
                    <w:rPr>
                      <w:bCs/>
                      <w:color w:val="auto"/>
                      <w:kern w:val="0"/>
                      <w:szCs w:val="21"/>
                      <w:highlight w:val="none"/>
                      <w:lang w:bidi="ar"/>
                    </w:rPr>
                  </w:pPr>
                  <w:r>
                    <w:rPr>
                      <w:rFonts w:hint="eastAsia"/>
                      <w:bCs/>
                      <w:color w:val="auto"/>
                      <w:kern w:val="0"/>
                      <w:szCs w:val="21"/>
                      <w:highlight w:val="none"/>
                      <w:lang w:bidi="ar"/>
                    </w:rPr>
                    <w:t>LN30</w:t>
                  </w:r>
                </w:p>
              </w:tc>
              <w:tc>
                <w:tcPr>
                  <w:tcW w:w="408" w:type="pct"/>
                  <w:tcBorders>
                    <w:tl2br w:val="nil"/>
                    <w:tr2bl w:val="nil"/>
                  </w:tcBorders>
                  <w:vAlign w:val="center"/>
                </w:tcPr>
                <w:p w14:paraId="01753D13">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9AB9C29">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3BC10EC">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270120C6">
                  <w:pPr>
                    <w:rPr>
                      <w:rStyle w:val="87"/>
                      <w:rFonts w:ascii="Times New Roman"/>
                      <w:color w:val="auto"/>
                      <w:sz w:val="21"/>
                      <w:szCs w:val="21"/>
                      <w:highlight w:val="none"/>
                    </w:rPr>
                  </w:pPr>
                  <w:r>
                    <w:rPr>
                      <w:rStyle w:val="87"/>
                      <w:rFonts w:ascii="Times New Roman"/>
                      <w:color w:val="auto"/>
                      <w:sz w:val="21"/>
                      <w:szCs w:val="21"/>
                      <w:highlight w:val="none"/>
                    </w:rPr>
                    <w:t>壳板不锈钢304，其它Q235-A。管板、五道隔板不锈钢304。</w:t>
                  </w:r>
                </w:p>
              </w:tc>
            </w:tr>
            <w:tr w14:paraId="39EE2C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E0F1346">
                  <w:pPr>
                    <w:widowControl/>
                    <w:jc w:val="center"/>
                    <w:textAlignment w:val="center"/>
                    <w:rPr>
                      <w:bCs/>
                      <w:color w:val="auto"/>
                      <w:kern w:val="0"/>
                      <w:szCs w:val="21"/>
                      <w:highlight w:val="none"/>
                      <w:lang w:bidi="ar"/>
                    </w:rPr>
                  </w:pPr>
                  <w:r>
                    <w:rPr>
                      <w:rFonts w:hint="eastAsia"/>
                      <w:bCs/>
                      <w:color w:val="auto"/>
                      <w:kern w:val="0"/>
                      <w:szCs w:val="21"/>
                      <w:highlight w:val="none"/>
                      <w:lang w:bidi="ar"/>
                    </w:rPr>
                    <w:t>49</w:t>
                  </w:r>
                </w:p>
              </w:tc>
              <w:tc>
                <w:tcPr>
                  <w:tcW w:w="316" w:type="pct"/>
                  <w:tcBorders>
                    <w:tl2br w:val="nil"/>
                    <w:tr2bl w:val="nil"/>
                  </w:tcBorders>
                  <w:vAlign w:val="center"/>
                </w:tcPr>
                <w:p w14:paraId="68DBD94D">
                  <w:pPr>
                    <w:widowControl/>
                    <w:jc w:val="center"/>
                    <w:textAlignment w:val="center"/>
                    <w:rPr>
                      <w:bCs/>
                      <w:color w:val="auto"/>
                      <w:kern w:val="0"/>
                      <w:szCs w:val="21"/>
                      <w:highlight w:val="none"/>
                      <w:lang w:bidi="ar"/>
                    </w:rPr>
                  </w:pPr>
                  <w:r>
                    <w:rPr>
                      <w:rFonts w:hint="eastAsia"/>
                      <w:bCs/>
                      <w:color w:val="auto"/>
                      <w:kern w:val="0"/>
                      <w:szCs w:val="21"/>
                      <w:highlight w:val="none"/>
                      <w:lang w:bidi="ar"/>
                    </w:rPr>
                    <w:t>J49</w:t>
                  </w:r>
                </w:p>
              </w:tc>
              <w:tc>
                <w:tcPr>
                  <w:tcW w:w="612" w:type="pct"/>
                  <w:tcBorders>
                    <w:tl2br w:val="nil"/>
                    <w:tr2bl w:val="nil"/>
                  </w:tcBorders>
                  <w:vAlign w:val="center"/>
                </w:tcPr>
                <w:p w14:paraId="1A695A55">
                  <w:pPr>
                    <w:widowControl/>
                    <w:jc w:val="center"/>
                    <w:textAlignment w:val="center"/>
                    <w:rPr>
                      <w:bCs/>
                      <w:color w:val="auto"/>
                      <w:kern w:val="0"/>
                      <w:szCs w:val="21"/>
                      <w:highlight w:val="none"/>
                      <w:lang w:bidi="ar"/>
                    </w:rPr>
                  </w:pPr>
                  <w:r>
                    <w:rPr>
                      <w:rFonts w:hint="eastAsia"/>
                      <w:bCs/>
                      <w:color w:val="auto"/>
                      <w:kern w:val="0"/>
                      <w:szCs w:val="21"/>
                      <w:highlight w:val="none"/>
                      <w:lang w:bidi="ar"/>
                    </w:rPr>
                    <w:t>毛油冷凝器</w:t>
                  </w:r>
                </w:p>
              </w:tc>
              <w:tc>
                <w:tcPr>
                  <w:tcW w:w="527" w:type="pct"/>
                  <w:tcBorders>
                    <w:tl2br w:val="nil"/>
                    <w:tr2bl w:val="nil"/>
                  </w:tcBorders>
                  <w:vAlign w:val="center"/>
                </w:tcPr>
                <w:p w14:paraId="6F6419BA">
                  <w:pPr>
                    <w:widowControl/>
                    <w:jc w:val="center"/>
                    <w:textAlignment w:val="center"/>
                    <w:rPr>
                      <w:bCs/>
                      <w:color w:val="auto"/>
                      <w:kern w:val="0"/>
                      <w:szCs w:val="21"/>
                      <w:highlight w:val="none"/>
                      <w:lang w:bidi="ar"/>
                    </w:rPr>
                  </w:pPr>
                  <w:r>
                    <w:rPr>
                      <w:rFonts w:hint="eastAsia"/>
                      <w:bCs/>
                      <w:color w:val="auto"/>
                      <w:kern w:val="0"/>
                      <w:szCs w:val="21"/>
                      <w:highlight w:val="none"/>
                      <w:lang w:bidi="ar"/>
                    </w:rPr>
                    <w:t>LN40</w:t>
                  </w:r>
                </w:p>
              </w:tc>
              <w:tc>
                <w:tcPr>
                  <w:tcW w:w="408" w:type="pct"/>
                  <w:tcBorders>
                    <w:tl2br w:val="nil"/>
                    <w:tr2bl w:val="nil"/>
                  </w:tcBorders>
                  <w:vAlign w:val="center"/>
                </w:tcPr>
                <w:p w14:paraId="0FC904E5">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729BF569">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6514B93C">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FE07A3F">
                  <w:pPr>
                    <w:rPr>
                      <w:rStyle w:val="87"/>
                      <w:rFonts w:ascii="Times New Roman"/>
                      <w:color w:val="auto"/>
                      <w:sz w:val="21"/>
                      <w:szCs w:val="21"/>
                      <w:highlight w:val="none"/>
                    </w:rPr>
                  </w:pPr>
                  <w:r>
                    <w:rPr>
                      <w:rStyle w:val="87"/>
                      <w:rFonts w:ascii="Times New Roman"/>
                      <w:color w:val="auto"/>
                      <w:sz w:val="21"/>
                      <w:szCs w:val="21"/>
                      <w:highlight w:val="none"/>
                    </w:rPr>
                    <w:t>壳板不锈钢，采用304不锈钢列管，Ф25×1.3，其它Q235-A。管板、五道隔板不锈钢304。采用多管程结构。</w:t>
                  </w:r>
                </w:p>
              </w:tc>
            </w:tr>
            <w:tr w14:paraId="33AC55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41CA856">
                  <w:pPr>
                    <w:widowControl/>
                    <w:jc w:val="center"/>
                    <w:textAlignment w:val="center"/>
                    <w:rPr>
                      <w:bCs/>
                      <w:color w:val="auto"/>
                      <w:kern w:val="0"/>
                      <w:szCs w:val="21"/>
                      <w:highlight w:val="none"/>
                      <w:lang w:bidi="ar"/>
                    </w:rPr>
                  </w:pPr>
                  <w:r>
                    <w:rPr>
                      <w:rFonts w:hint="eastAsia"/>
                      <w:bCs/>
                      <w:color w:val="auto"/>
                      <w:kern w:val="0"/>
                      <w:szCs w:val="21"/>
                      <w:highlight w:val="none"/>
                      <w:lang w:bidi="ar"/>
                    </w:rPr>
                    <w:t>50</w:t>
                  </w:r>
                </w:p>
              </w:tc>
              <w:tc>
                <w:tcPr>
                  <w:tcW w:w="316" w:type="pct"/>
                  <w:tcBorders>
                    <w:tl2br w:val="nil"/>
                    <w:tr2bl w:val="nil"/>
                  </w:tcBorders>
                  <w:vAlign w:val="center"/>
                </w:tcPr>
                <w:p w14:paraId="6288E71E">
                  <w:pPr>
                    <w:widowControl/>
                    <w:jc w:val="center"/>
                    <w:textAlignment w:val="center"/>
                    <w:rPr>
                      <w:bCs/>
                      <w:color w:val="auto"/>
                      <w:kern w:val="0"/>
                      <w:szCs w:val="21"/>
                      <w:highlight w:val="none"/>
                      <w:lang w:bidi="ar"/>
                    </w:rPr>
                  </w:pPr>
                  <w:r>
                    <w:rPr>
                      <w:rFonts w:hint="eastAsia"/>
                      <w:bCs/>
                      <w:color w:val="auto"/>
                      <w:kern w:val="0"/>
                      <w:szCs w:val="21"/>
                      <w:highlight w:val="none"/>
                      <w:lang w:bidi="ar"/>
                    </w:rPr>
                    <w:t>J50</w:t>
                  </w:r>
                </w:p>
              </w:tc>
              <w:tc>
                <w:tcPr>
                  <w:tcW w:w="612" w:type="pct"/>
                  <w:tcBorders>
                    <w:tl2br w:val="nil"/>
                    <w:tr2bl w:val="nil"/>
                  </w:tcBorders>
                  <w:vAlign w:val="center"/>
                </w:tcPr>
                <w:p w14:paraId="14870C15">
                  <w:pPr>
                    <w:widowControl/>
                    <w:jc w:val="center"/>
                    <w:textAlignment w:val="center"/>
                    <w:rPr>
                      <w:bCs/>
                      <w:color w:val="auto"/>
                      <w:kern w:val="0"/>
                      <w:szCs w:val="21"/>
                      <w:highlight w:val="none"/>
                      <w:lang w:bidi="ar"/>
                    </w:rPr>
                  </w:pPr>
                  <w:r>
                    <w:rPr>
                      <w:rFonts w:hint="eastAsia"/>
                      <w:bCs/>
                      <w:color w:val="auto"/>
                      <w:kern w:val="0"/>
                      <w:szCs w:val="21"/>
                      <w:highlight w:val="none"/>
                      <w:lang w:bidi="ar"/>
                    </w:rPr>
                    <w:t>毛油箱</w:t>
                  </w:r>
                </w:p>
              </w:tc>
              <w:tc>
                <w:tcPr>
                  <w:tcW w:w="527" w:type="pct"/>
                  <w:tcBorders>
                    <w:tl2br w:val="nil"/>
                    <w:tr2bl w:val="nil"/>
                  </w:tcBorders>
                  <w:vAlign w:val="center"/>
                </w:tcPr>
                <w:p w14:paraId="6FB100D9">
                  <w:pPr>
                    <w:widowControl/>
                    <w:jc w:val="center"/>
                    <w:textAlignment w:val="center"/>
                    <w:rPr>
                      <w:bCs/>
                      <w:color w:val="auto"/>
                      <w:kern w:val="0"/>
                      <w:szCs w:val="21"/>
                      <w:highlight w:val="none"/>
                      <w:lang w:bidi="ar"/>
                    </w:rPr>
                  </w:pPr>
                  <w:r>
                    <w:rPr>
                      <w:rFonts w:hint="eastAsia"/>
                      <w:bCs/>
                      <w:color w:val="auto"/>
                      <w:kern w:val="0"/>
                      <w:szCs w:val="21"/>
                      <w:highlight w:val="none"/>
                      <w:lang w:bidi="ar"/>
                    </w:rPr>
                    <w:t>MZC12</w:t>
                  </w:r>
                </w:p>
              </w:tc>
              <w:tc>
                <w:tcPr>
                  <w:tcW w:w="408" w:type="pct"/>
                  <w:tcBorders>
                    <w:tl2br w:val="nil"/>
                    <w:tr2bl w:val="nil"/>
                  </w:tcBorders>
                  <w:vAlign w:val="center"/>
                </w:tcPr>
                <w:p w14:paraId="53A7143E">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461FF7C4">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952EF1E">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6747F0C9">
                  <w:pPr>
                    <w:rPr>
                      <w:rStyle w:val="87"/>
                      <w:rFonts w:ascii="Times New Roman"/>
                      <w:color w:val="auto"/>
                      <w:sz w:val="21"/>
                      <w:szCs w:val="21"/>
                      <w:highlight w:val="none"/>
                    </w:rPr>
                  </w:pPr>
                  <w:r>
                    <w:rPr>
                      <w:rStyle w:val="87"/>
                      <w:rFonts w:ascii="Times New Roman"/>
                      <w:color w:val="auto"/>
                      <w:sz w:val="21"/>
                      <w:szCs w:val="21"/>
                      <w:highlight w:val="none"/>
                    </w:rPr>
                    <w:t>用途：暂存毛油，材质：Q235。8.8立方</w:t>
                  </w:r>
                  <w:r>
                    <w:rPr>
                      <w:rStyle w:val="87"/>
                      <w:rFonts w:hint="eastAsia"/>
                      <w:color w:val="auto"/>
                      <w:sz w:val="21"/>
                      <w:szCs w:val="21"/>
                      <w:highlight w:val="none"/>
                    </w:rPr>
                    <w:t>。</w:t>
                  </w:r>
                </w:p>
              </w:tc>
            </w:tr>
            <w:tr w14:paraId="45DE0C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99F873D">
                  <w:pPr>
                    <w:widowControl/>
                    <w:jc w:val="center"/>
                    <w:textAlignment w:val="center"/>
                    <w:rPr>
                      <w:bCs/>
                      <w:color w:val="auto"/>
                      <w:kern w:val="0"/>
                      <w:szCs w:val="21"/>
                      <w:highlight w:val="none"/>
                      <w:lang w:bidi="ar"/>
                    </w:rPr>
                  </w:pPr>
                  <w:r>
                    <w:rPr>
                      <w:rFonts w:hint="eastAsia"/>
                      <w:bCs/>
                      <w:color w:val="auto"/>
                      <w:kern w:val="0"/>
                      <w:szCs w:val="21"/>
                      <w:highlight w:val="none"/>
                      <w:lang w:bidi="ar"/>
                    </w:rPr>
                    <w:t>51</w:t>
                  </w:r>
                </w:p>
              </w:tc>
              <w:tc>
                <w:tcPr>
                  <w:tcW w:w="316" w:type="pct"/>
                  <w:tcBorders>
                    <w:tl2br w:val="nil"/>
                    <w:tr2bl w:val="nil"/>
                  </w:tcBorders>
                  <w:vAlign w:val="center"/>
                </w:tcPr>
                <w:p w14:paraId="2580B578">
                  <w:pPr>
                    <w:widowControl/>
                    <w:jc w:val="center"/>
                    <w:textAlignment w:val="center"/>
                    <w:rPr>
                      <w:bCs/>
                      <w:color w:val="auto"/>
                      <w:kern w:val="0"/>
                      <w:szCs w:val="21"/>
                      <w:highlight w:val="none"/>
                      <w:lang w:bidi="ar"/>
                    </w:rPr>
                  </w:pPr>
                  <w:r>
                    <w:rPr>
                      <w:rFonts w:hint="eastAsia"/>
                      <w:bCs/>
                      <w:color w:val="auto"/>
                      <w:kern w:val="0"/>
                      <w:szCs w:val="21"/>
                      <w:highlight w:val="none"/>
                      <w:lang w:bidi="ar"/>
                    </w:rPr>
                    <w:t>J51</w:t>
                  </w:r>
                </w:p>
              </w:tc>
              <w:tc>
                <w:tcPr>
                  <w:tcW w:w="612" w:type="pct"/>
                  <w:tcBorders>
                    <w:tl2br w:val="nil"/>
                    <w:tr2bl w:val="nil"/>
                  </w:tcBorders>
                  <w:vAlign w:val="center"/>
                </w:tcPr>
                <w:p w14:paraId="4AA802B0">
                  <w:pPr>
                    <w:widowControl/>
                    <w:jc w:val="center"/>
                    <w:textAlignment w:val="center"/>
                    <w:rPr>
                      <w:bCs/>
                      <w:color w:val="auto"/>
                      <w:kern w:val="0"/>
                      <w:szCs w:val="21"/>
                      <w:highlight w:val="none"/>
                      <w:lang w:bidi="ar"/>
                    </w:rPr>
                  </w:pPr>
                  <w:r>
                    <w:rPr>
                      <w:rFonts w:hint="eastAsia"/>
                      <w:bCs/>
                      <w:color w:val="auto"/>
                      <w:kern w:val="0"/>
                      <w:szCs w:val="21"/>
                      <w:highlight w:val="none"/>
                      <w:lang w:bidi="ar"/>
                    </w:rPr>
                    <w:t>混合油安全油罐</w:t>
                  </w:r>
                </w:p>
              </w:tc>
              <w:tc>
                <w:tcPr>
                  <w:tcW w:w="527" w:type="pct"/>
                  <w:tcBorders>
                    <w:tl2br w:val="nil"/>
                    <w:tr2bl w:val="nil"/>
                  </w:tcBorders>
                  <w:vAlign w:val="center"/>
                </w:tcPr>
                <w:p w14:paraId="22DBB494">
                  <w:pPr>
                    <w:widowControl/>
                    <w:jc w:val="center"/>
                    <w:textAlignment w:val="center"/>
                    <w:rPr>
                      <w:bCs/>
                      <w:color w:val="auto"/>
                      <w:kern w:val="0"/>
                      <w:szCs w:val="21"/>
                      <w:highlight w:val="none"/>
                      <w:lang w:bidi="ar"/>
                    </w:rPr>
                  </w:pPr>
                  <w:r>
                    <w:rPr>
                      <w:rFonts w:hint="eastAsia"/>
                      <w:bCs/>
                      <w:color w:val="auto"/>
                      <w:kern w:val="0"/>
                      <w:szCs w:val="21"/>
                      <w:highlight w:val="none"/>
                      <w:lang w:bidi="ar"/>
                    </w:rPr>
                    <w:t>HEG160</w:t>
                  </w:r>
                </w:p>
              </w:tc>
              <w:tc>
                <w:tcPr>
                  <w:tcW w:w="408" w:type="pct"/>
                  <w:tcBorders>
                    <w:tl2br w:val="nil"/>
                    <w:tr2bl w:val="nil"/>
                  </w:tcBorders>
                  <w:vAlign w:val="center"/>
                </w:tcPr>
                <w:p w14:paraId="5E8AC042">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B10A0F6">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46961152">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13278386">
                  <w:pPr>
                    <w:rPr>
                      <w:rStyle w:val="87"/>
                      <w:rFonts w:ascii="Times New Roman"/>
                      <w:color w:val="auto"/>
                      <w:sz w:val="21"/>
                      <w:szCs w:val="21"/>
                      <w:highlight w:val="none"/>
                    </w:rPr>
                  </w:pPr>
                  <w:r>
                    <w:rPr>
                      <w:rStyle w:val="87"/>
                      <w:rFonts w:ascii="Times New Roman"/>
                      <w:color w:val="auto"/>
                      <w:sz w:val="21"/>
                      <w:szCs w:val="21"/>
                      <w:highlight w:val="none"/>
                    </w:rPr>
                    <w:t>用途：混合油暂存，材质不锈钢，抛光，配清理手孔。</w:t>
                  </w:r>
                </w:p>
              </w:tc>
            </w:tr>
            <w:tr w14:paraId="0E6422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41634DB">
                  <w:pPr>
                    <w:widowControl/>
                    <w:jc w:val="center"/>
                    <w:textAlignment w:val="center"/>
                    <w:rPr>
                      <w:bCs/>
                      <w:color w:val="auto"/>
                      <w:kern w:val="0"/>
                      <w:szCs w:val="21"/>
                      <w:highlight w:val="none"/>
                      <w:lang w:bidi="ar"/>
                    </w:rPr>
                  </w:pPr>
                  <w:r>
                    <w:rPr>
                      <w:rFonts w:hint="eastAsia"/>
                      <w:bCs/>
                      <w:color w:val="auto"/>
                      <w:kern w:val="0"/>
                      <w:szCs w:val="21"/>
                      <w:highlight w:val="none"/>
                      <w:lang w:bidi="ar"/>
                    </w:rPr>
                    <w:t>52</w:t>
                  </w:r>
                </w:p>
              </w:tc>
              <w:tc>
                <w:tcPr>
                  <w:tcW w:w="316" w:type="pct"/>
                  <w:tcBorders>
                    <w:tl2br w:val="nil"/>
                    <w:tr2bl w:val="nil"/>
                  </w:tcBorders>
                  <w:vAlign w:val="center"/>
                </w:tcPr>
                <w:p w14:paraId="541F25EC">
                  <w:pPr>
                    <w:widowControl/>
                    <w:jc w:val="center"/>
                    <w:textAlignment w:val="center"/>
                    <w:rPr>
                      <w:bCs/>
                      <w:color w:val="auto"/>
                      <w:kern w:val="0"/>
                      <w:szCs w:val="21"/>
                      <w:highlight w:val="none"/>
                      <w:lang w:bidi="ar"/>
                    </w:rPr>
                  </w:pPr>
                  <w:r>
                    <w:rPr>
                      <w:rFonts w:hint="eastAsia"/>
                      <w:bCs/>
                      <w:color w:val="auto"/>
                      <w:kern w:val="0"/>
                      <w:szCs w:val="21"/>
                      <w:highlight w:val="none"/>
                      <w:lang w:bidi="ar"/>
                    </w:rPr>
                    <w:t>J52</w:t>
                  </w:r>
                </w:p>
              </w:tc>
              <w:tc>
                <w:tcPr>
                  <w:tcW w:w="612" w:type="pct"/>
                  <w:tcBorders>
                    <w:tl2br w:val="nil"/>
                    <w:tr2bl w:val="nil"/>
                  </w:tcBorders>
                  <w:vAlign w:val="center"/>
                </w:tcPr>
                <w:p w14:paraId="05BF6F87">
                  <w:pPr>
                    <w:widowControl/>
                    <w:jc w:val="center"/>
                    <w:textAlignment w:val="center"/>
                    <w:rPr>
                      <w:bCs/>
                      <w:color w:val="auto"/>
                      <w:kern w:val="0"/>
                      <w:szCs w:val="21"/>
                      <w:highlight w:val="none"/>
                      <w:lang w:bidi="ar"/>
                    </w:rPr>
                  </w:pPr>
                  <w:r>
                    <w:rPr>
                      <w:rFonts w:hint="eastAsia"/>
                      <w:bCs/>
                      <w:color w:val="auto"/>
                      <w:kern w:val="0"/>
                      <w:szCs w:val="21"/>
                      <w:highlight w:val="none"/>
                      <w:lang w:bidi="ar"/>
                    </w:rPr>
                    <w:t>蒸汽加热器</w:t>
                  </w:r>
                </w:p>
              </w:tc>
              <w:tc>
                <w:tcPr>
                  <w:tcW w:w="527" w:type="pct"/>
                  <w:tcBorders>
                    <w:tl2br w:val="nil"/>
                    <w:tr2bl w:val="nil"/>
                  </w:tcBorders>
                  <w:vAlign w:val="center"/>
                </w:tcPr>
                <w:p w14:paraId="17F1254F">
                  <w:pPr>
                    <w:widowControl/>
                    <w:jc w:val="center"/>
                    <w:textAlignment w:val="center"/>
                    <w:rPr>
                      <w:bCs/>
                      <w:color w:val="auto"/>
                      <w:kern w:val="0"/>
                      <w:szCs w:val="21"/>
                      <w:highlight w:val="none"/>
                      <w:lang w:bidi="ar"/>
                    </w:rPr>
                  </w:pPr>
                  <w:r>
                    <w:rPr>
                      <w:rFonts w:hint="eastAsia"/>
                      <w:bCs/>
                      <w:color w:val="auto"/>
                      <w:kern w:val="0"/>
                      <w:szCs w:val="21"/>
                      <w:highlight w:val="none"/>
                      <w:lang w:bidi="ar"/>
                    </w:rPr>
                    <w:t>GRQ20</w:t>
                  </w:r>
                </w:p>
              </w:tc>
              <w:tc>
                <w:tcPr>
                  <w:tcW w:w="408" w:type="pct"/>
                  <w:tcBorders>
                    <w:tl2br w:val="nil"/>
                    <w:tr2bl w:val="nil"/>
                  </w:tcBorders>
                  <w:vAlign w:val="center"/>
                </w:tcPr>
                <w:p w14:paraId="7C07D652">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0B3B334E">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482BD5FD">
                  <w:pPr>
                    <w:widowControl/>
                    <w:jc w:val="center"/>
                    <w:textAlignment w:val="center"/>
                    <w:rPr>
                      <w:bCs/>
                      <w:color w:val="auto"/>
                      <w:kern w:val="0"/>
                      <w:szCs w:val="21"/>
                      <w:highlight w:val="none"/>
                      <w:lang w:bidi="ar"/>
                    </w:rPr>
                  </w:pPr>
                  <w:r>
                    <w:rPr>
                      <w:rFonts w:hint="eastAsia"/>
                      <w:bCs/>
                      <w:color w:val="auto"/>
                      <w:kern w:val="0"/>
                      <w:szCs w:val="21"/>
                      <w:highlight w:val="none"/>
                      <w:lang w:bidi="ar"/>
                    </w:rPr>
                    <w:t>泰安昊正能源装备</w:t>
                  </w:r>
                </w:p>
              </w:tc>
              <w:tc>
                <w:tcPr>
                  <w:tcW w:w="1763" w:type="pct"/>
                  <w:tcBorders>
                    <w:tl2br w:val="nil"/>
                    <w:tr2bl w:val="nil"/>
                  </w:tcBorders>
                  <w:vAlign w:val="center"/>
                </w:tcPr>
                <w:p w14:paraId="3477761B">
                  <w:pPr>
                    <w:rPr>
                      <w:rStyle w:val="87"/>
                      <w:rFonts w:ascii="Times New Roman"/>
                      <w:color w:val="auto"/>
                      <w:sz w:val="21"/>
                      <w:szCs w:val="21"/>
                      <w:highlight w:val="none"/>
                    </w:rPr>
                  </w:pPr>
                  <w:r>
                    <w:rPr>
                      <w:rStyle w:val="87"/>
                      <w:rFonts w:ascii="Times New Roman"/>
                      <w:color w:val="auto"/>
                      <w:sz w:val="21"/>
                      <w:szCs w:val="21"/>
                      <w:highlight w:val="none"/>
                    </w:rPr>
                    <w:t>压力容器，材质Q235</w:t>
                  </w:r>
                  <w:r>
                    <w:rPr>
                      <w:rStyle w:val="87"/>
                      <w:rFonts w:hint="eastAsia"/>
                      <w:color w:val="auto"/>
                      <w:sz w:val="21"/>
                      <w:szCs w:val="21"/>
                      <w:highlight w:val="none"/>
                    </w:rPr>
                    <w:t>。</w:t>
                  </w:r>
                </w:p>
              </w:tc>
            </w:tr>
            <w:tr w14:paraId="456DF5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D89B973">
                  <w:pPr>
                    <w:widowControl/>
                    <w:jc w:val="center"/>
                    <w:textAlignment w:val="center"/>
                    <w:rPr>
                      <w:bCs/>
                      <w:color w:val="auto"/>
                      <w:kern w:val="0"/>
                      <w:szCs w:val="21"/>
                      <w:highlight w:val="none"/>
                      <w:lang w:bidi="ar"/>
                    </w:rPr>
                  </w:pPr>
                  <w:r>
                    <w:rPr>
                      <w:rFonts w:hint="eastAsia"/>
                      <w:bCs/>
                      <w:color w:val="auto"/>
                      <w:kern w:val="0"/>
                      <w:szCs w:val="21"/>
                      <w:highlight w:val="none"/>
                      <w:lang w:bidi="ar"/>
                    </w:rPr>
                    <w:t>53</w:t>
                  </w:r>
                </w:p>
              </w:tc>
              <w:tc>
                <w:tcPr>
                  <w:tcW w:w="316" w:type="pct"/>
                  <w:tcBorders>
                    <w:tl2br w:val="nil"/>
                    <w:tr2bl w:val="nil"/>
                  </w:tcBorders>
                  <w:vAlign w:val="center"/>
                </w:tcPr>
                <w:p w14:paraId="5020283D">
                  <w:pPr>
                    <w:widowControl/>
                    <w:jc w:val="center"/>
                    <w:textAlignment w:val="center"/>
                    <w:rPr>
                      <w:bCs/>
                      <w:color w:val="auto"/>
                      <w:kern w:val="0"/>
                      <w:szCs w:val="21"/>
                      <w:highlight w:val="none"/>
                      <w:lang w:bidi="ar"/>
                    </w:rPr>
                  </w:pPr>
                  <w:r>
                    <w:rPr>
                      <w:rFonts w:hint="eastAsia"/>
                      <w:bCs/>
                      <w:color w:val="auto"/>
                      <w:kern w:val="0"/>
                      <w:szCs w:val="21"/>
                      <w:highlight w:val="none"/>
                      <w:lang w:bidi="ar"/>
                    </w:rPr>
                    <w:t>J53</w:t>
                  </w:r>
                </w:p>
              </w:tc>
              <w:tc>
                <w:tcPr>
                  <w:tcW w:w="612" w:type="pct"/>
                  <w:tcBorders>
                    <w:tl2br w:val="nil"/>
                    <w:tr2bl w:val="nil"/>
                  </w:tcBorders>
                  <w:vAlign w:val="center"/>
                </w:tcPr>
                <w:p w14:paraId="326DD8FC">
                  <w:pPr>
                    <w:widowControl/>
                    <w:jc w:val="center"/>
                    <w:textAlignment w:val="center"/>
                    <w:rPr>
                      <w:bCs/>
                      <w:color w:val="auto"/>
                      <w:kern w:val="0"/>
                      <w:szCs w:val="21"/>
                      <w:highlight w:val="none"/>
                      <w:lang w:bidi="ar"/>
                    </w:rPr>
                  </w:pPr>
                  <w:r>
                    <w:rPr>
                      <w:rFonts w:hint="eastAsia"/>
                      <w:bCs/>
                      <w:color w:val="auto"/>
                      <w:kern w:val="0"/>
                      <w:szCs w:val="21"/>
                      <w:highlight w:val="none"/>
                      <w:lang w:bidi="ar"/>
                    </w:rPr>
                    <w:t>第三蒸发器</w:t>
                  </w:r>
                </w:p>
              </w:tc>
              <w:tc>
                <w:tcPr>
                  <w:tcW w:w="527" w:type="pct"/>
                  <w:tcBorders>
                    <w:tl2br w:val="nil"/>
                    <w:tr2bl w:val="nil"/>
                  </w:tcBorders>
                  <w:vAlign w:val="center"/>
                </w:tcPr>
                <w:p w14:paraId="54EAE9E3">
                  <w:pPr>
                    <w:widowControl/>
                    <w:jc w:val="center"/>
                    <w:textAlignment w:val="center"/>
                    <w:rPr>
                      <w:bCs/>
                      <w:color w:val="auto"/>
                      <w:kern w:val="0"/>
                      <w:szCs w:val="21"/>
                      <w:highlight w:val="none"/>
                      <w:lang w:bidi="ar"/>
                    </w:rPr>
                  </w:pPr>
                  <w:r>
                    <w:rPr>
                      <w:rFonts w:hint="eastAsia"/>
                      <w:bCs/>
                      <w:color w:val="auto"/>
                      <w:kern w:val="0"/>
                      <w:szCs w:val="21"/>
                      <w:highlight w:val="none"/>
                      <w:lang w:bidi="ar"/>
                    </w:rPr>
                    <w:t>L3</w:t>
                  </w:r>
                </w:p>
              </w:tc>
              <w:tc>
                <w:tcPr>
                  <w:tcW w:w="408" w:type="pct"/>
                  <w:tcBorders>
                    <w:tl2br w:val="nil"/>
                    <w:tr2bl w:val="nil"/>
                  </w:tcBorders>
                  <w:vAlign w:val="center"/>
                </w:tcPr>
                <w:p w14:paraId="4817219E">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FDC95F1">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3D2FB28D">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431E9B1D">
                  <w:pPr>
                    <w:rPr>
                      <w:rStyle w:val="87"/>
                      <w:rFonts w:ascii="Times New Roman"/>
                      <w:color w:val="auto"/>
                      <w:sz w:val="21"/>
                      <w:szCs w:val="21"/>
                      <w:highlight w:val="none"/>
                    </w:rPr>
                  </w:pPr>
                  <w:r>
                    <w:rPr>
                      <w:rStyle w:val="87"/>
                      <w:rFonts w:ascii="Times New Roman"/>
                      <w:color w:val="auto"/>
                      <w:sz w:val="21"/>
                      <w:szCs w:val="21"/>
                      <w:highlight w:val="none"/>
                    </w:rPr>
                    <w:t>用途，二蒸进汽提塔毛油调温、汽提，材质：壳体碳钢，不锈钢管，与油接触全部不锈钢。</w:t>
                  </w:r>
                </w:p>
              </w:tc>
            </w:tr>
            <w:tr w14:paraId="146116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EF29572">
                  <w:pPr>
                    <w:widowControl/>
                    <w:jc w:val="center"/>
                    <w:textAlignment w:val="center"/>
                    <w:rPr>
                      <w:bCs/>
                      <w:color w:val="auto"/>
                      <w:kern w:val="0"/>
                      <w:szCs w:val="21"/>
                      <w:highlight w:val="none"/>
                      <w:lang w:bidi="ar"/>
                    </w:rPr>
                  </w:pPr>
                  <w:r>
                    <w:rPr>
                      <w:rFonts w:hint="eastAsia"/>
                      <w:bCs/>
                      <w:color w:val="auto"/>
                      <w:kern w:val="0"/>
                      <w:szCs w:val="21"/>
                      <w:highlight w:val="none"/>
                      <w:lang w:bidi="ar"/>
                    </w:rPr>
                    <w:t>54</w:t>
                  </w:r>
                </w:p>
              </w:tc>
              <w:tc>
                <w:tcPr>
                  <w:tcW w:w="316" w:type="pct"/>
                  <w:tcBorders>
                    <w:tl2br w:val="nil"/>
                    <w:tr2bl w:val="nil"/>
                  </w:tcBorders>
                  <w:vAlign w:val="center"/>
                </w:tcPr>
                <w:p w14:paraId="691536C7">
                  <w:pPr>
                    <w:widowControl/>
                    <w:jc w:val="center"/>
                    <w:textAlignment w:val="center"/>
                    <w:rPr>
                      <w:bCs/>
                      <w:color w:val="auto"/>
                      <w:kern w:val="0"/>
                      <w:szCs w:val="21"/>
                      <w:highlight w:val="none"/>
                      <w:lang w:bidi="ar"/>
                    </w:rPr>
                  </w:pPr>
                  <w:r>
                    <w:rPr>
                      <w:rFonts w:hint="eastAsia"/>
                      <w:bCs/>
                      <w:color w:val="auto"/>
                      <w:kern w:val="0"/>
                      <w:szCs w:val="21"/>
                      <w:highlight w:val="none"/>
                      <w:lang w:bidi="ar"/>
                    </w:rPr>
                    <w:t>J54</w:t>
                  </w:r>
                </w:p>
              </w:tc>
              <w:tc>
                <w:tcPr>
                  <w:tcW w:w="612" w:type="pct"/>
                  <w:tcBorders>
                    <w:tl2br w:val="nil"/>
                    <w:tr2bl w:val="nil"/>
                  </w:tcBorders>
                  <w:vAlign w:val="center"/>
                </w:tcPr>
                <w:p w14:paraId="2B6B8BAA">
                  <w:pPr>
                    <w:widowControl/>
                    <w:jc w:val="center"/>
                    <w:textAlignment w:val="center"/>
                    <w:rPr>
                      <w:bCs/>
                      <w:color w:val="auto"/>
                      <w:kern w:val="0"/>
                      <w:szCs w:val="21"/>
                      <w:highlight w:val="none"/>
                      <w:lang w:bidi="ar"/>
                    </w:rPr>
                  </w:pPr>
                  <w:r>
                    <w:rPr>
                      <w:rFonts w:hint="eastAsia"/>
                      <w:bCs/>
                      <w:color w:val="auto"/>
                      <w:kern w:val="0"/>
                      <w:szCs w:val="21"/>
                      <w:highlight w:val="none"/>
                      <w:lang w:bidi="ar"/>
                    </w:rPr>
                    <w:t>集液罐</w:t>
                  </w:r>
                </w:p>
              </w:tc>
              <w:tc>
                <w:tcPr>
                  <w:tcW w:w="527" w:type="pct"/>
                  <w:tcBorders>
                    <w:tl2br w:val="nil"/>
                    <w:tr2bl w:val="nil"/>
                  </w:tcBorders>
                  <w:vAlign w:val="center"/>
                </w:tcPr>
                <w:p w14:paraId="2BA502AD">
                  <w:pPr>
                    <w:widowControl/>
                    <w:jc w:val="center"/>
                    <w:textAlignment w:val="center"/>
                    <w:rPr>
                      <w:bCs/>
                      <w:color w:val="auto"/>
                      <w:kern w:val="0"/>
                      <w:szCs w:val="21"/>
                      <w:highlight w:val="none"/>
                      <w:lang w:bidi="ar"/>
                    </w:rPr>
                  </w:pPr>
                  <w:r>
                    <w:rPr>
                      <w:rFonts w:hint="eastAsia"/>
                      <w:bCs/>
                      <w:color w:val="auto"/>
                      <w:kern w:val="0"/>
                      <w:szCs w:val="21"/>
                      <w:highlight w:val="none"/>
                      <w:lang w:bidi="ar"/>
                    </w:rPr>
                    <w:t>Ф120</w:t>
                  </w:r>
                </w:p>
              </w:tc>
              <w:tc>
                <w:tcPr>
                  <w:tcW w:w="408" w:type="pct"/>
                  <w:tcBorders>
                    <w:tl2br w:val="nil"/>
                    <w:tr2bl w:val="nil"/>
                  </w:tcBorders>
                  <w:vAlign w:val="center"/>
                </w:tcPr>
                <w:p w14:paraId="1EEF1788">
                  <w:pPr>
                    <w:widowControl/>
                    <w:jc w:val="center"/>
                    <w:textAlignment w:val="center"/>
                    <w:rPr>
                      <w:bCs/>
                      <w:color w:val="auto"/>
                      <w:kern w:val="0"/>
                      <w:szCs w:val="21"/>
                      <w:highlight w:val="none"/>
                      <w:lang w:bidi="ar"/>
                    </w:rPr>
                  </w:pPr>
                  <w:r>
                    <w:rPr>
                      <w:rFonts w:hint="eastAsia"/>
                      <w:bCs/>
                      <w:color w:val="auto"/>
                      <w:kern w:val="0"/>
                      <w:szCs w:val="21"/>
                      <w:highlight w:val="none"/>
                      <w:lang w:bidi="ar"/>
                    </w:rPr>
                    <w:t>2</w:t>
                  </w:r>
                </w:p>
              </w:tc>
              <w:tc>
                <w:tcPr>
                  <w:tcW w:w="549" w:type="pct"/>
                  <w:tcBorders>
                    <w:tl2br w:val="nil"/>
                    <w:tr2bl w:val="nil"/>
                  </w:tcBorders>
                  <w:vAlign w:val="center"/>
                </w:tcPr>
                <w:p w14:paraId="2A868BB9">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26809CF7">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25A0CA0">
                  <w:pPr>
                    <w:rPr>
                      <w:rStyle w:val="87"/>
                      <w:rFonts w:ascii="Times New Roman"/>
                      <w:color w:val="auto"/>
                      <w:sz w:val="21"/>
                      <w:szCs w:val="21"/>
                      <w:highlight w:val="none"/>
                    </w:rPr>
                  </w:pPr>
                  <w:r>
                    <w:rPr>
                      <w:rStyle w:val="87"/>
                      <w:rFonts w:ascii="Times New Roman"/>
                      <w:color w:val="auto"/>
                      <w:sz w:val="21"/>
                      <w:szCs w:val="21"/>
                      <w:highlight w:val="none"/>
                    </w:rPr>
                    <w:t>材质；Q235</w:t>
                  </w:r>
                  <w:r>
                    <w:rPr>
                      <w:rStyle w:val="87"/>
                      <w:rFonts w:hint="eastAsia"/>
                      <w:color w:val="auto"/>
                      <w:sz w:val="21"/>
                      <w:szCs w:val="21"/>
                      <w:highlight w:val="none"/>
                    </w:rPr>
                    <w:t>。</w:t>
                  </w:r>
                </w:p>
              </w:tc>
            </w:tr>
            <w:tr w14:paraId="020F6F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51C44577">
                  <w:pPr>
                    <w:widowControl/>
                    <w:jc w:val="center"/>
                    <w:textAlignment w:val="center"/>
                    <w:rPr>
                      <w:bCs/>
                      <w:color w:val="auto"/>
                      <w:kern w:val="0"/>
                      <w:szCs w:val="21"/>
                      <w:highlight w:val="none"/>
                      <w:lang w:bidi="ar"/>
                    </w:rPr>
                  </w:pPr>
                  <w:r>
                    <w:rPr>
                      <w:rFonts w:hint="eastAsia"/>
                      <w:bCs/>
                      <w:color w:val="auto"/>
                      <w:kern w:val="0"/>
                      <w:szCs w:val="21"/>
                      <w:highlight w:val="none"/>
                      <w:lang w:bidi="ar"/>
                    </w:rPr>
                    <w:t>55</w:t>
                  </w:r>
                </w:p>
              </w:tc>
              <w:tc>
                <w:tcPr>
                  <w:tcW w:w="316" w:type="pct"/>
                  <w:tcBorders>
                    <w:tl2br w:val="nil"/>
                    <w:tr2bl w:val="nil"/>
                  </w:tcBorders>
                  <w:vAlign w:val="center"/>
                </w:tcPr>
                <w:p w14:paraId="7EB63379">
                  <w:pPr>
                    <w:widowControl/>
                    <w:jc w:val="center"/>
                    <w:textAlignment w:val="center"/>
                    <w:rPr>
                      <w:bCs/>
                      <w:color w:val="auto"/>
                      <w:kern w:val="0"/>
                      <w:szCs w:val="21"/>
                      <w:highlight w:val="none"/>
                      <w:lang w:bidi="ar"/>
                    </w:rPr>
                  </w:pPr>
                  <w:r>
                    <w:rPr>
                      <w:rFonts w:hint="eastAsia"/>
                      <w:bCs/>
                      <w:color w:val="auto"/>
                      <w:kern w:val="0"/>
                      <w:szCs w:val="21"/>
                      <w:highlight w:val="none"/>
                      <w:lang w:bidi="ar"/>
                    </w:rPr>
                    <w:t>J55</w:t>
                  </w:r>
                </w:p>
              </w:tc>
              <w:tc>
                <w:tcPr>
                  <w:tcW w:w="612" w:type="pct"/>
                  <w:tcBorders>
                    <w:tl2br w:val="nil"/>
                    <w:tr2bl w:val="nil"/>
                  </w:tcBorders>
                  <w:vAlign w:val="center"/>
                </w:tcPr>
                <w:p w14:paraId="0D4A1D5D">
                  <w:pPr>
                    <w:widowControl/>
                    <w:jc w:val="center"/>
                    <w:textAlignment w:val="center"/>
                    <w:rPr>
                      <w:bCs/>
                      <w:color w:val="auto"/>
                      <w:kern w:val="0"/>
                      <w:szCs w:val="21"/>
                      <w:highlight w:val="none"/>
                      <w:lang w:bidi="ar"/>
                    </w:rPr>
                  </w:pPr>
                  <w:r>
                    <w:rPr>
                      <w:rFonts w:hint="eastAsia"/>
                      <w:bCs/>
                      <w:color w:val="auto"/>
                      <w:kern w:val="0"/>
                      <w:szCs w:val="21"/>
                      <w:highlight w:val="none"/>
                      <w:lang w:bidi="ar"/>
                    </w:rPr>
                    <w:t>尾气冷凝器</w:t>
                  </w:r>
                </w:p>
              </w:tc>
              <w:tc>
                <w:tcPr>
                  <w:tcW w:w="527" w:type="pct"/>
                  <w:tcBorders>
                    <w:tl2br w:val="nil"/>
                    <w:tr2bl w:val="nil"/>
                  </w:tcBorders>
                  <w:vAlign w:val="center"/>
                </w:tcPr>
                <w:p w14:paraId="6505A393">
                  <w:pPr>
                    <w:widowControl/>
                    <w:jc w:val="center"/>
                    <w:textAlignment w:val="center"/>
                    <w:rPr>
                      <w:bCs/>
                      <w:color w:val="auto"/>
                      <w:kern w:val="0"/>
                      <w:szCs w:val="21"/>
                      <w:highlight w:val="none"/>
                      <w:lang w:bidi="ar"/>
                    </w:rPr>
                  </w:pPr>
                  <w:r>
                    <w:rPr>
                      <w:rFonts w:hint="eastAsia"/>
                      <w:bCs/>
                      <w:color w:val="auto"/>
                      <w:kern w:val="0"/>
                      <w:szCs w:val="21"/>
                      <w:highlight w:val="none"/>
                      <w:lang w:bidi="ar"/>
                    </w:rPr>
                    <w:t>LN40</w:t>
                  </w:r>
                </w:p>
              </w:tc>
              <w:tc>
                <w:tcPr>
                  <w:tcW w:w="408" w:type="pct"/>
                  <w:tcBorders>
                    <w:tl2br w:val="nil"/>
                    <w:tr2bl w:val="nil"/>
                  </w:tcBorders>
                  <w:vAlign w:val="center"/>
                </w:tcPr>
                <w:p w14:paraId="4B1C4CB6">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2BDA8622">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3757CDE1">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746F7A88">
                  <w:pPr>
                    <w:rPr>
                      <w:rStyle w:val="87"/>
                      <w:rFonts w:ascii="Times New Roman"/>
                      <w:color w:val="auto"/>
                      <w:sz w:val="21"/>
                      <w:szCs w:val="21"/>
                      <w:highlight w:val="none"/>
                    </w:rPr>
                  </w:pPr>
                  <w:r>
                    <w:rPr>
                      <w:rStyle w:val="87"/>
                      <w:rFonts w:ascii="Times New Roman"/>
                      <w:color w:val="auto"/>
                      <w:sz w:val="21"/>
                      <w:szCs w:val="21"/>
                      <w:highlight w:val="none"/>
                    </w:rPr>
                    <w:t>壳体碳钢，管板，隔板，换热管全不锈钢</w:t>
                  </w:r>
                  <w:r>
                    <w:rPr>
                      <w:rStyle w:val="87"/>
                      <w:rFonts w:hint="eastAsia"/>
                      <w:color w:val="auto"/>
                      <w:sz w:val="21"/>
                      <w:szCs w:val="21"/>
                      <w:highlight w:val="none"/>
                    </w:rPr>
                    <w:t>。</w:t>
                  </w:r>
                </w:p>
              </w:tc>
            </w:tr>
            <w:tr w14:paraId="75EC83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A7AB37F">
                  <w:pPr>
                    <w:widowControl/>
                    <w:jc w:val="center"/>
                    <w:textAlignment w:val="center"/>
                    <w:rPr>
                      <w:bCs/>
                      <w:color w:val="auto"/>
                      <w:kern w:val="0"/>
                      <w:szCs w:val="21"/>
                      <w:highlight w:val="none"/>
                      <w:lang w:bidi="ar"/>
                    </w:rPr>
                  </w:pPr>
                  <w:r>
                    <w:rPr>
                      <w:rFonts w:hint="eastAsia"/>
                      <w:bCs/>
                      <w:color w:val="auto"/>
                      <w:kern w:val="0"/>
                      <w:szCs w:val="21"/>
                      <w:highlight w:val="none"/>
                      <w:lang w:bidi="ar"/>
                    </w:rPr>
                    <w:t>56</w:t>
                  </w:r>
                </w:p>
              </w:tc>
              <w:tc>
                <w:tcPr>
                  <w:tcW w:w="316" w:type="pct"/>
                  <w:tcBorders>
                    <w:tl2br w:val="nil"/>
                    <w:tr2bl w:val="nil"/>
                  </w:tcBorders>
                  <w:vAlign w:val="center"/>
                </w:tcPr>
                <w:p w14:paraId="0BCDDD95">
                  <w:pPr>
                    <w:widowControl/>
                    <w:jc w:val="center"/>
                    <w:textAlignment w:val="center"/>
                    <w:rPr>
                      <w:bCs/>
                      <w:color w:val="auto"/>
                      <w:kern w:val="0"/>
                      <w:szCs w:val="21"/>
                      <w:highlight w:val="none"/>
                      <w:lang w:bidi="ar"/>
                    </w:rPr>
                  </w:pPr>
                  <w:r>
                    <w:rPr>
                      <w:rFonts w:hint="eastAsia"/>
                      <w:bCs/>
                      <w:color w:val="auto"/>
                      <w:kern w:val="0"/>
                      <w:szCs w:val="21"/>
                      <w:highlight w:val="none"/>
                      <w:lang w:bidi="ar"/>
                    </w:rPr>
                    <w:t>J56</w:t>
                  </w:r>
                </w:p>
              </w:tc>
              <w:tc>
                <w:tcPr>
                  <w:tcW w:w="612" w:type="pct"/>
                  <w:tcBorders>
                    <w:tl2br w:val="nil"/>
                    <w:tr2bl w:val="nil"/>
                  </w:tcBorders>
                  <w:vAlign w:val="center"/>
                </w:tcPr>
                <w:p w14:paraId="5387B64F">
                  <w:pPr>
                    <w:widowControl/>
                    <w:jc w:val="center"/>
                    <w:textAlignment w:val="center"/>
                    <w:rPr>
                      <w:bCs/>
                      <w:color w:val="auto"/>
                      <w:kern w:val="0"/>
                      <w:szCs w:val="21"/>
                      <w:highlight w:val="none"/>
                      <w:lang w:bidi="ar"/>
                    </w:rPr>
                  </w:pPr>
                  <w:r>
                    <w:rPr>
                      <w:rFonts w:hint="eastAsia"/>
                      <w:bCs/>
                      <w:color w:val="auto"/>
                      <w:kern w:val="0"/>
                      <w:szCs w:val="21"/>
                      <w:highlight w:val="none"/>
                      <w:lang w:bidi="ar"/>
                    </w:rPr>
                    <w:t>冷冻回收装置</w:t>
                  </w:r>
                </w:p>
              </w:tc>
              <w:tc>
                <w:tcPr>
                  <w:tcW w:w="527" w:type="pct"/>
                  <w:tcBorders>
                    <w:tl2br w:val="nil"/>
                    <w:tr2bl w:val="nil"/>
                  </w:tcBorders>
                  <w:vAlign w:val="center"/>
                </w:tcPr>
                <w:p w14:paraId="45AAD01A">
                  <w:pPr>
                    <w:widowControl/>
                    <w:jc w:val="center"/>
                    <w:textAlignment w:val="center"/>
                    <w:rPr>
                      <w:bCs/>
                      <w:color w:val="auto"/>
                      <w:kern w:val="0"/>
                      <w:szCs w:val="21"/>
                      <w:highlight w:val="none"/>
                      <w:lang w:bidi="ar"/>
                    </w:rPr>
                  </w:pPr>
                  <w:r>
                    <w:rPr>
                      <w:rFonts w:hint="eastAsia"/>
                      <w:bCs/>
                      <w:color w:val="auto"/>
                      <w:kern w:val="0"/>
                      <w:szCs w:val="21"/>
                      <w:highlight w:val="none"/>
                      <w:lang w:bidi="ar"/>
                    </w:rPr>
                    <w:t>GC-6AC（-10℃）</w:t>
                  </w:r>
                </w:p>
              </w:tc>
              <w:tc>
                <w:tcPr>
                  <w:tcW w:w="408" w:type="pct"/>
                  <w:tcBorders>
                    <w:tl2br w:val="nil"/>
                    <w:tr2bl w:val="nil"/>
                  </w:tcBorders>
                  <w:vAlign w:val="center"/>
                </w:tcPr>
                <w:p w14:paraId="1A362895">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660EB631">
                  <w:pPr>
                    <w:widowControl/>
                    <w:jc w:val="center"/>
                    <w:textAlignment w:val="center"/>
                    <w:rPr>
                      <w:bCs/>
                      <w:color w:val="auto"/>
                      <w:kern w:val="0"/>
                      <w:szCs w:val="21"/>
                      <w:highlight w:val="none"/>
                      <w:lang w:bidi="ar"/>
                    </w:rPr>
                  </w:pPr>
                  <w:r>
                    <w:rPr>
                      <w:rFonts w:hint="eastAsia"/>
                      <w:bCs/>
                      <w:color w:val="auto"/>
                      <w:kern w:val="0"/>
                      <w:szCs w:val="21"/>
                      <w:highlight w:val="none"/>
                      <w:lang w:bidi="ar"/>
                    </w:rPr>
                    <w:t>3.0</w:t>
                  </w:r>
                </w:p>
              </w:tc>
              <w:tc>
                <w:tcPr>
                  <w:tcW w:w="636" w:type="pct"/>
                  <w:gridSpan w:val="2"/>
                  <w:tcBorders>
                    <w:tl2br w:val="nil"/>
                    <w:tr2bl w:val="nil"/>
                  </w:tcBorders>
                  <w:vAlign w:val="center"/>
                </w:tcPr>
                <w:p w14:paraId="6B31F55D">
                  <w:pPr>
                    <w:widowControl/>
                    <w:jc w:val="center"/>
                    <w:textAlignment w:val="center"/>
                    <w:rPr>
                      <w:bCs/>
                      <w:color w:val="auto"/>
                      <w:kern w:val="0"/>
                      <w:szCs w:val="21"/>
                      <w:highlight w:val="none"/>
                      <w:lang w:bidi="ar"/>
                    </w:rPr>
                  </w:pPr>
                  <w:r>
                    <w:rPr>
                      <w:rFonts w:hint="eastAsia"/>
                      <w:bCs/>
                      <w:color w:val="auto"/>
                      <w:kern w:val="0"/>
                      <w:szCs w:val="21"/>
                      <w:highlight w:val="none"/>
                      <w:lang w:bidi="ar"/>
                    </w:rPr>
                    <w:t>无锡盖德</w:t>
                  </w:r>
                </w:p>
                <w:p w14:paraId="0A5DBBE3">
                  <w:pPr>
                    <w:widowControl/>
                    <w:jc w:val="center"/>
                    <w:textAlignment w:val="center"/>
                    <w:rPr>
                      <w:bCs/>
                      <w:color w:val="auto"/>
                      <w:kern w:val="0"/>
                      <w:szCs w:val="21"/>
                      <w:highlight w:val="none"/>
                      <w:lang w:bidi="ar"/>
                    </w:rPr>
                  </w:pPr>
                  <w:r>
                    <w:rPr>
                      <w:rFonts w:hint="eastAsia"/>
                      <w:bCs/>
                      <w:color w:val="auto"/>
                      <w:kern w:val="0"/>
                      <w:szCs w:val="21"/>
                      <w:highlight w:val="none"/>
                      <w:lang w:bidi="ar"/>
                    </w:rPr>
                    <w:t>或等同</w:t>
                  </w:r>
                </w:p>
              </w:tc>
              <w:tc>
                <w:tcPr>
                  <w:tcW w:w="1763" w:type="pct"/>
                  <w:tcBorders>
                    <w:tl2br w:val="nil"/>
                    <w:tr2bl w:val="nil"/>
                  </w:tcBorders>
                  <w:vAlign w:val="center"/>
                </w:tcPr>
                <w:p w14:paraId="758E5742">
                  <w:pPr>
                    <w:rPr>
                      <w:rStyle w:val="87"/>
                      <w:rFonts w:ascii="Times New Roman"/>
                      <w:color w:val="auto"/>
                      <w:sz w:val="21"/>
                      <w:szCs w:val="21"/>
                      <w:highlight w:val="none"/>
                    </w:rPr>
                  </w:pPr>
                  <w:r>
                    <w:rPr>
                      <w:rStyle w:val="87"/>
                      <w:rFonts w:hint="eastAsia" w:ascii="Times New Roman"/>
                      <w:color w:val="auto"/>
                      <w:sz w:val="21"/>
                      <w:szCs w:val="21"/>
                      <w:highlight w:val="none"/>
                    </w:rPr>
                    <w:t>美国谷压缩机，水箱、换热器、循环泵不锈钢，根据温度自动调节停起</w:t>
                  </w:r>
                  <w:r>
                    <w:rPr>
                      <w:rStyle w:val="87"/>
                      <w:rFonts w:hint="eastAsia"/>
                      <w:color w:val="auto"/>
                      <w:sz w:val="21"/>
                      <w:szCs w:val="21"/>
                      <w:highlight w:val="none"/>
                    </w:rPr>
                    <w:t>。</w:t>
                  </w:r>
                </w:p>
              </w:tc>
            </w:tr>
            <w:tr w14:paraId="67CEEA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E479C22">
                  <w:pPr>
                    <w:widowControl/>
                    <w:jc w:val="center"/>
                    <w:textAlignment w:val="center"/>
                    <w:rPr>
                      <w:bCs/>
                      <w:color w:val="auto"/>
                      <w:kern w:val="0"/>
                      <w:szCs w:val="21"/>
                      <w:highlight w:val="none"/>
                      <w:lang w:bidi="ar"/>
                    </w:rPr>
                  </w:pPr>
                  <w:r>
                    <w:rPr>
                      <w:rFonts w:hint="eastAsia"/>
                      <w:bCs/>
                      <w:color w:val="auto"/>
                      <w:kern w:val="0"/>
                      <w:szCs w:val="21"/>
                      <w:highlight w:val="none"/>
                      <w:lang w:bidi="ar"/>
                    </w:rPr>
                    <w:t>57</w:t>
                  </w:r>
                </w:p>
              </w:tc>
              <w:tc>
                <w:tcPr>
                  <w:tcW w:w="316" w:type="pct"/>
                  <w:tcBorders>
                    <w:tl2br w:val="nil"/>
                    <w:tr2bl w:val="nil"/>
                  </w:tcBorders>
                  <w:vAlign w:val="center"/>
                </w:tcPr>
                <w:p w14:paraId="7E6D9857">
                  <w:pPr>
                    <w:widowControl/>
                    <w:jc w:val="center"/>
                    <w:textAlignment w:val="center"/>
                    <w:rPr>
                      <w:bCs/>
                      <w:color w:val="auto"/>
                      <w:kern w:val="0"/>
                      <w:szCs w:val="21"/>
                      <w:highlight w:val="none"/>
                      <w:lang w:bidi="ar"/>
                    </w:rPr>
                  </w:pPr>
                  <w:r>
                    <w:rPr>
                      <w:rFonts w:hint="eastAsia"/>
                      <w:bCs/>
                      <w:color w:val="auto"/>
                      <w:kern w:val="0"/>
                      <w:szCs w:val="21"/>
                      <w:highlight w:val="none"/>
                      <w:lang w:bidi="ar"/>
                    </w:rPr>
                    <w:t>J57</w:t>
                  </w:r>
                </w:p>
              </w:tc>
              <w:tc>
                <w:tcPr>
                  <w:tcW w:w="612" w:type="pct"/>
                  <w:tcBorders>
                    <w:tl2br w:val="nil"/>
                    <w:tr2bl w:val="nil"/>
                  </w:tcBorders>
                  <w:vAlign w:val="center"/>
                </w:tcPr>
                <w:p w14:paraId="04863550">
                  <w:pPr>
                    <w:widowControl/>
                    <w:jc w:val="center"/>
                    <w:textAlignment w:val="center"/>
                    <w:rPr>
                      <w:bCs/>
                      <w:color w:val="auto"/>
                      <w:kern w:val="0"/>
                      <w:szCs w:val="21"/>
                      <w:highlight w:val="none"/>
                      <w:lang w:bidi="ar"/>
                    </w:rPr>
                  </w:pPr>
                  <w:r>
                    <w:rPr>
                      <w:rFonts w:hint="eastAsia"/>
                      <w:bCs/>
                      <w:color w:val="auto"/>
                      <w:kern w:val="0"/>
                      <w:szCs w:val="21"/>
                      <w:highlight w:val="none"/>
                      <w:lang w:bidi="ar"/>
                    </w:rPr>
                    <w:t>石蜡存罐</w:t>
                  </w:r>
                </w:p>
              </w:tc>
              <w:tc>
                <w:tcPr>
                  <w:tcW w:w="527" w:type="pct"/>
                  <w:tcBorders>
                    <w:tl2br w:val="nil"/>
                    <w:tr2bl w:val="nil"/>
                  </w:tcBorders>
                  <w:vAlign w:val="center"/>
                </w:tcPr>
                <w:p w14:paraId="43CE927A">
                  <w:pPr>
                    <w:widowControl/>
                    <w:jc w:val="center"/>
                    <w:textAlignment w:val="center"/>
                    <w:rPr>
                      <w:bCs/>
                      <w:color w:val="auto"/>
                      <w:kern w:val="0"/>
                      <w:szCs w:val="21"/>
                      <w:highlight w:val="none"/>
                      <w:lang w:bidi="ar"/>
                    </w:rPr>
                  </w:pPr>
                  <w:r>
                    <w:rPr>
                      <w:rFonts w:hint="eastAsia"/>
                      <w:bCs/>
                      <w:color w:val="auto"/>
                      <w:kern w:val="0"/>
                      <w:szCs w:val="21"/>
                      <w:highlight w:val="none"/>
                      <w:lang w:bidi="ar"/>
                    </w:rPr>
                    <w:t>DH80</w:t>
                  </w:r>
                </w:p>
              </w:tc>
              <w:tc>
                <w:tcPr>
                  <w:tcW w:w="408" w:type="pct"/>
                  <w:tcBorders>
                    <w:tl2br w:val="nil"/>
                    <w:tr2bl w:val="nil"/>
                  </w:tcBorders>
                  <w:vAlign w:val="center"/>
                </w:tcPr>
                <w:p w14:paraId="6F8D72C0">
                  <w:pPr>
                    <w:widowControl/>
                    <w:jc w:val="center"/>
                    <w:textAlignment w:val="center"/>
                    <w:rPr>
                      <w:bCs/>
                      <w:color w:val="auto"/>
                      <w:kern w:val="0"/>
                      <w:szCs w:val="21"/>
                      <w:highlight w:val="none"/>
                      <w:lang w:bidi="ar"/>
                    </w:rPr>
                  </w:pPr>
                  <w:r>
                    <w:rPr>
                      <w:rFonts w:hint="eastAsia"/>
                      <w:bCs/>
                      <w:color w:val="auto"/>
                      <w:kern w:val="0"/>
                      <w:szCs w:val="21"/>
                      <w:highlight w:val="none"/>
                      <w:lang w:bidi="ar"/>
                    </w:rPr>
                    <w:t>1</w:t>
                  </w:r>
                </w:p>
              </w:tc>
              <w:tc>
                <w:tcPr>
                  <w:tcW w:w="549" w:type="pct"/>
                  <w:tcBorders>
                    <w:tl2br w:val="nil"/>
                    <w:tr2bl w:val="nil"/>
                  </w:tcBorders>
                  <w:vAlign w:val="center"/>
                </w:tcPr>
                <w:p w14:paraId="1DBCE1C0">
                  <w:pPr>
                    <w:widowControl/>
                    <w:jc w:val="center"/>
                    <w:textAlignment w:val="center"/>
                    <w:rPr>
                      <w:bCs/>
                      <w:color w:val="auto"/>
                      <w:kern w:val="0"/>
                      <w:szCs w:val="21"/>
                      <w:highlight w:val="none"/>
                      <w:lang w:bidi="ar"/>
                    </w:rPr>
                  </w:pPr>
                  <w:r>
                    <w:rPr>
                      <w:rFonts w:hint="eastAsia"/>
                      <w:bCs/>
                      <w:color w:val="auto"/>
                      <w:kern w:val="0"/>
                      <w:szCs w:val="21"/>
                      <w:highlight w:val="none"/>
                      <w:lang w:bidi="ar"/>
                    </w:rPr>
                    <w:t>0</w:t>
                  </w:r>
                </w:p>
              </w:tc>
              <w:tc>
                <w:tcPr>
                  <w:tcW w:w="636" w:type="pct"/>
                  <w:gridSpan w:val="2"/>
                  <w:tcBorders>
                    <w:tl2br w:val="nil"/>
                    <w:tr2bl w:val="nil"/>
                  </w:tcBorders>
                  <w:vAlign w:val="center"/>
                </w:tcPr>
                <w:p w14:paraId="0BAEA6A8">
                  <w:pPr>
                    <w:widowControl/>
                    <w:jc w:val="center"/>
                    <w:textAlignment w:val="center"/>
                    <w:rPr>
                      <w:bCs/>
                      <w:color w:val="auto"/>
                      <w:kern w:val="0"/>
                      <w:szCs w:val="21"/>
                      <w:highlight w:val="none"/>
                      <w:lang w:bidi="ar"/>
                    </w:rPr>
                  </w:pPr>
                  <w:r>
                    <w:rPr>
                      <w:rFonts w:hint="eastAsia"/>
                      <w:bCs/>
                      <w:color w:val="auto"/>
                      <w:kern w:val="0"/>
                      <w:szCs w:val="21"/>
                      <w:highlight w:val="none"/>
                      <w:lang w:bidi="ar"/>
                    </w:rPr>
                    <w:t>济宁嘉安</w:t>
                  </w:r>
                </w:p>
              </w:tc>
              <w:tc>
                <w:tcPr>
                  <w:tcW w:w="1763" w:type="pct"/>
                  <w:tcBorders>
                    <w:tl2br w:val="nil"/>
                    <w:tr2bl w:val="nil"/>
                  </w:tcBorders>
                  <w:vAlign w:val="center"/>
                </w:tcPr>
                <w:p w14:paraId="5AECE814">
                  <w:pPr>
                    <w:rPr>
                      <w:rFonts w:hint="eastAsia" w:eastAsia="宋体"/>
                      <w:color w:val="auto"/>
                      <w:szCs w:val="21"/>
                      <w:highlight w:val="none"/>
                      <w:lang w:eastAsia="zh-CN"/>
                    </w:rPr>
                  </w:pPr>
                  <w:r>
                    <w:rPr>
                      <w:rFonts w:hint="eastAsia"/>
                      <w:color w:val="auto"/>
                      <w:szCs w:val="21"/>
                      <w:highlight w:val="none"/>
                    </w:rPr>
                    <w:t>用途：暂存石蜡油，材质：Q235</w:t>
                  </w:r>
                  <w:r>
                    <w:rPr>
                      <w:rFonts w:hint="eastAsia"/>
                      <w:color w:val="auto"/>
                      <w:szCs w:val="21"/>
                      <w:highlight w:val="none"/>
                      <w:lang w:eastAsia="zh-CN"/>
                    </w:rPr>
                    <w:t>。</w:t>
                  </w:r>
                </w:p>
              </w:tc>
            </w:tr>
            <w:tr w14:paraId="456358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7C5CB02B">
                  <w:pPr>
                    <w:widowControl/>
                    <w:jc w:val="center"/>
                    <w:textAlignment w:val="center"/>
                    <w:rPr>
                      <w:bCs/>
                      <w:color w:val="auto"/>
                      <w:kern w:val="0"/>
                      <w:szCs w:val="21"/>
                      <w:highlight w:val="none"/>
                      <w:lang w:bidi="ar"/>
                    </w:rPr>
                  </w:pPr>
                  <w:r>
                    <w:rPr>
                      <w:rFonts w:hint="eastAsia"/>
                      <w:bCs/>
                      <w:color w:val="auto"/>
                      <w:kern w:val="0"/>
                      <w:szCs w:val="21"/>
                      <w:highlight w:val="none"/>
                      <w:lang w:bidi="ar"/>
                    </w:rPr>
                    <w:t>58</w:t>
                  </w:r>
                </w:p>
              </w:tc>
              <w:tc>
                <w:tcPr>
                  <w:tcW w:w="316" w:type="pct"/>
                  <w:tcBorders>
                    <w:tl2br w:val="nil"/>
                    <w:tr2bl w:val="nil"/>
                  </w:tcBorders>
                  <w:vAlign w:val="center"/>
                </w:tcPr>
                <w:p w14:paraId="04F0EB47">
                  <w:pPr>
                    <w:widowControl/>
                    <w:jc w:val="center"/>
                    <w:textAlignment w:val="center"/>
                    <w:rPr>
                      <w:bCs/>
                      <w:color w:val="auto"/>
                      <w:kern w:val="0"/>
                      <w:szCs w:val="21"/>
                      <w:highlight w:val="none"/>
                      <w:lang w:bidi="ar"/>
                    </w:rPr>
                  </w:pPr>
                  <w:r>
                    <w:rPr>
                      <w:rFonts w:hint="eastAsia"/>
                      <w:bCs/>
                      <w:color w:val="auto"/>
                      <w:kern w:val="0"/>
                      <w:szCs w:val="21"/>
                      <w:highlight w:val="none"/>
                      <w:lang w:bidi="ar"/>
                    </w:rPr>
                    <w:t>小计</w:t>
                  </w:r>
                </w:p>
              </w:tc>
              <w:tc>
                <w:tcPr>
                  <w:tcW w:w="612" w:type="pct"/>
                  <w:tcBorders>
                    <w:tl2br w:val="nil"/>
                    <w:tr2bl w:val="nil"/>
                  </w:tcBorders>
                  <w:vAlign w:val="center"/>
                </w:tcPr>
                <w:p w14:paraId="7D3BD819">
                  <w:pPr>
                    <w:widowControl/>
                    <w:jc w:val="center"/>
                    <w:textAlignment w:val="center"/>
                    <w:rPr>
                      <w:bCs/>
                      <w:color w:val="auto"/>
                      <w:kern w:val="0"/>
                      <w:szCs w:val="21"/>
                      <w:highlight w:val="none"/>
                      <w:lang w:bidi="ar"/>
                    </w:rPr>
                  </w:pPr>
                  <w:r>
                    <w:rPr>
                      <w:rFonts w:hint="eastAsia"/>
                      <w:bCs/>
                      <w:color w:val="auto"/>
                      <w:kern w:val="0"/>
                      <w:szCs w:val="21"/>
                      <w:highlight w:val="none"/>
                      <w:lang w:bidi="ar"/>
                    </w:rPr>
                    <w:t>机械设备</w:t>
                  </w:r>
                </w:p>
              </w:tc>
              <w:tc>
                <w:tcPr>
                  <w:tcW w:w="527" w:type="pct"/>
                  <w:tcBorders>
                    <w:tl2br w:val="nil"/>
                    <w:tr2bl w:val="nil"/>
                  </w:tcBorders>
                  <w:vAlign w:val="center"/>
                </w:tcPr>
                <w:p w14:paraId="2F6B3468">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2814A0F4">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033C492A">
                  <w:pPr>
                    <w:widowControl/>
                    <w:jc w:val="center"/>
                    <w:textAlignment w:val="center"/>
                    <w:rPr>
                      <w:bCs/>
                      <w:color w:val="auto"/>
                      <w:kern w:val="0"/>
                      <w:szCs w:val="21"/>
                      <w:highlight w:val="none"/>
                      <w:lang w:bidi="ar"/>
                    </w:rPr>
                  </w:pPr>
                </w:p>
              </w:tc>
              <w:tc>
                <w:tcPr>
                  <w:tcW w:w="636" w:type="pct"/>
                  <w:gridSpan w:val="2"/>
                  <w:tcBorders>
                    <w:tl2br w:val="nil"/>
                    <w:tr2bl w:val="nil"/>
                  </w:tcBorders>
                  <w:vAlign w:val="center"/>
                </w:tcPr>
                <w:p w14:paraId="16554EFE">
                  <w:pPr>
                    <w:widowControl/>
                    <w:jc w:val="center"/>
                    <w:textAlignment w:val="center"/>
                    <w:rPr>
                      <w:bCs/>
                      <w:color w:val="auto"/>
                      <w:kern w:val="0"/>
                      <w:szCs w:val="21"/>
                      <w:highlight w:val="none"/>
                      <w:lang w:bidi="ar"/>
                    </w:rPr>
                  </w:pPr>
                </w:p>
              </w:tc>
              <w:tc>
                <w:tcPr>
                  <w:tcW w:w="1763" w:type="pct"/>
                  <w:tcBorders>
                    <w:tl2br w:val="nil"/>
                    <w:tr2bl w:val="nil"/>
                  </w:tcBorders>
                  <w:vAlign w:val="center"/>
                </w:tcPr>
                <w:p w14:paraId="7FB81FB7">
                  <w:pPr>
                    <w:rPr>
                      <w:rStyle w:val="87"/>
                      <w:rFonts w:ascii="Times New Roman"/>
                      <w:color w:val="auto"/>
                      <w:sz w:val="21"/>
                      <w:szCs w:val="21"/>
                      <w:highlight w:val="none"/>
                    </w:rPr>
                  </w:pPr>
                </w:p>
              </w:tc>
            </w:tr>
            <w:tr w14:paraId="15169E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05802171">
                  <w:pPr>
                    <w:widowControl/>
                    <w:jc w:val="center"/>
                    <w:textAlignment w:val="center"/>
                    <w:rPr>
                      <w:bCs/>
                      <w:color w:val="auto"/>
                      <w:kern w:val="0"/>
                      <w:szCs w:val="21"/>
                      <w:highlight w:val="none"/>
                      <w:lang w:bidi="ar"/>
                    </w:rPr>
                  </w:pPr>
                  <w:r>
                    <w:rPr>
                      <w:rFonts w:hint="eastAsia"/>
                      <w:bCs/>
                      <w:color w:val="auto"/>
                      <w:kern w:val="0"/>
                      <w:szCs w:val="21"/>
                      <w:highlight w:val="none"/>
                      <w:lang w:bidi="ar"/>
                    </w:rPr>
                    <w:t>59</w:t>
                  </w:r>
                </w:p>
              </w:tc>
              <w:tc>
                <w:tcPr>
                  <w:tcW w:w="316" w:type="pct"/>
                  <w:tcBorders>
                    <w:tl2br w:val="nil"/>
                    <w:tr2bl w:val="nil"/>
                  </w:tcBorders>
                  <w:vAlign w:val="center"/>
                </w:tcPr>
                <w:p w14:paraId="44B15AA0">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74863331">
                  <w:pPr>
                    <w:widowControl/>
                    <w:jc w:val="center"/>
                    <w:textAlignment w:val="center"/>
                    <w:rPr>
                      <w:bCs/>
                      <w:color w:val="auto"/>
                      <w:kern w:val="0"/>
                      <w:szCs w:val="21"/>
                      <w:highlight w:val="none"/>
                      <w:lang w:bidi="ar"/>
                    </w:rPr>
                  </w:pPr>
                  <w:r>
                    <w:rPr>
                      <w:rFonts w:hint="eastAsia"/>
                      <w:bCs/>
                      <w:color w:val="auto"/>
                      <w:kern w:val="0"/>
                      <w:szCs w:val="21"/>
                      <w:highlight w:val="none"/>
                      <w:lang w:bidi="ar"/>
                    </w:rPr>
                    <w:t>配电柜，控制柜</w:t>
                  </w:r>
                </w:p>
              </w:tc>
              <w:tc>
                <w:tcPr>
                  <w:tcW w:w="527" w:type="pct"/>
                  <w:tcBorders>
                    <w:tl2br w:val="nil"/>
                    <w:tr2bl w:val="nil"/>
                  </w:tcBorders>
                  <w:vAlign w:val="center"/>
                </w:tcPr>
                <w:p w14:paraId="1736CADB">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6FE2AF97">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400879A1">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603BDC6E">
                  <w:pPr>
                    <w:widowControl/>
                    <w:jc w:val="center"/>
                    <w:textAlignment w:val="center"/>
                    <w:rPr>
                      <w:bCs/>
                      <w:color w:val="auto"/>
                      <w:kern w:val="0"/>
                      <w:szCs w:val="21"/>
                      <w:highlight w:val="none"/>
                      <w:lang w:bidi="ar"/>
                    </w:rPr>
                  </w:pPr>
                </w:p>
              </w:tc>
              <w:tc>
                <w:tcPr>
                  <w:tcW w:w="1773" w:type="pct"/>
                  <w:gridSpan w:val="2"/>
                  <w:vMerge w:val="restart"/>
                  <w:tcBorders>
                    <w:tl2br w:val="nil"/>
                    <w:tr2bl w:val="nil"/>
                  </w:tcBorders>
                  <w:vAlign w:val="center"/>
                </w:tcPr>
                <w:p w14:paraId="6C3E2D18">
                  <w:pPr>
                    <w:spacing w:line="240" w:lineRule="exact"/>
                    <w:rPr>
                      <w:color w:val="auto"/>
                      <w:sz w:val="20"/>
                      <w:szCs w:val="20"/>
                      <w:highlight w:val="none"/>
                    </w:rPr>
                  </w:pPr>
                  <w:r>
                    <w:rPr>
                      <w:rFonts w:hint="eastAsia"/>
                      <w:color w:val="auto"/>
                      <w:sz w:val="20"/>
                      <w:szCs w:val="20"/>
                      <w:highlight w:val="none"/>
                    </w:rPr>
                    <w:t>国标GGD柜（包括禁区外围设备控制）、主要元件德力西或原厂正泰元件为基准，电源柜设智能断路器、22KW以上动力软启动，控制柜不包含计算机、显示器、西门子 WINCC控制软件系统，多点温度、压力、流量、料位显示（关键点闭环自控）；设备逻辑连锁控制、电机启停及电流监控、故障报警及提示、数据处理系统(系统所需压缩空气来自全厂公用压缩空气站)。</w:t>
                  </w:r>
                </w:p>
              </w:tc>
            </w:tr>
            <w:tr w14:paraId="711243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2C7811D">
                  <w:pPr>
                    <w:widowControl/>
                    <w:jc w:val="center"/>
                    <w:textAlignment w:val="center"/>
                    <w:rPr>
                      <w:bCs/>
                      <w:color w:val="auto"/>
                      <w:kern w:val="0"/>
                      <w:szCs w:val="21"/>
                      <w:highlight w:val="none"/>
                      <w:lang w:bidi="ar"/>
                    </w:rPr>
                  </w:pPr>
                  <w:r>
                    <w:rPr>
                      <w:rFonts w:hint="eastAsia"/>
                      <w:bCs/>
                      <w:color w:val="auto"/>
                      <w:kern w:val="0"/>
                      <w:szCs w:val="21"/>
                      <w:highlight w:val="none"/>
                      <w:lang w:bidi="ar"/>
                    </w:rPr>
                    <w:t>60</w:t>
                  </w:r>
                </w:p>
              </w:tc>
              <w:tc>
                <w:tcPr>
                  <w:tcW w:w="316" w:type="pct"/>
                  <w:tcBorders>
                    <w:tl2br w:val="nil"/>
                    <w:tr2bl w:val="nil"/>
                  </w:tcBorders>
                  <w:vAlign w:val="center"/>
                </w:tcPr>
                <w:p w14:paraId="5EF9AA2D">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09FE82AD">
                  <w:pPr>
                    <w:widowControl/>
                    <w:jc w:val="center"/>
                    <w:textAlignment w:val="center"/>
                    <w:rPr>
                      <w:bCs/>
                      <w:color w:val="auto"/>
                      <w:kern w:val="0"/>
                      <w:szCs w:val="21"/>
                      <w:highlight w:val="none"/>
                      <w:lang w:bidi="ar"/>
                    </w:rPr>
                  </w:pPr>
                  <w:r>
                    <w:rPr>
                      <w:rFonts w:hint="eastAsia"/>
                      <w:bCs/>
                      <w:color w:val="auto"/>
                      <w:kern w:val="0"/>
                      <w:szCs w:val="21"/>
                      <w:highlight w:val="none"/>
                      <w:lang w:bidi="ar"/>
                    </w:rPr>
                    <w:t>电脑自动控制系统</w:t>
                  </w:r>
                </w:p>
              </w:tc>
              <w:tc>
                <w:tcPr>
                  <w:tcW w:w="527" w:type="pct"/>
                  <w:tcBorders>
                    <w:tl2br w:val="nil"/>
                    <w:tr2bl w:val="nil"/>
                  </w:tcBorders>
                  <w:vAlign w:val="center"/>
                </w:tcPr>
                <w:p w14:paraId="36D5E29A">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4B46B566">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519959BB">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0E5C64B1">
                  <w:pPr>
                    <w:widowControl/>
                    <w:jc w:val="center"/>
                    <w:textAlignment w:val="center"/>
                    <w:rPr>
                      <w:bCs/>
                      <w:color w:val="auto"/>
                      <w:kern w:val="0"/>
                      <w:szCs w:val="21"/>
                      <w:highlight w:val="none"/>
                      <w:lang w:bidi="ar"/>
                    </w:rPr>
                  </w:pPr>
                </w:p>
              </w:tc>
              <w:tc>
                <w:tcPr>
                  <w:tcW w:w="1773" w:type="pct"/>
                  <w:gridSpan w:val="2"/>
                  <w:vMerge w:val="continue"/>
                  <w:tcBorders>
                    <w:tl2br w:val="nil"/>
                    <w:tr2bl w:val="nil"/>
                  </w:tcBorders>
                  <w:vAlign w:val="center"/>
                </w:tcPr>
                <w:p w14:paraId="265B94FF">
                  <w:pPr>
                    <w:spacing w:line="240" w:lineRule="exact"/>
                    <w:rPr>
                      <w:color w:val="auto"/>
                      <w:sz w:val="20"/>
                      <w:szCs w:val="20"/>
                      <w:highlight w:val="none"/>
                    </w:rPr>
                  </w:pPr>
                </w:p>
              </w:tc>
            </w:tr>
            <w:tr w14:paraId="5D95AB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337B46E7">
                  <w:pPr>
                    <w:widowControl/>
                    <w:jc w:val="center"/>
                    <w:textAlignment w:val="center"/>
                    <w:rPr>
                      <w:bCs/>
                      <w:color w:val="auto"/>
                      <w:kern w:val="0"/>
                      <w:szCs w:val="21"/>
                      <w:highlight w:val="none"/>
                      <w:lang w:bidi="ar"/>
                    </w:rPr>
                  </w:pPr>
                  <w:r>
                    <w:rPr>
                      <w:rFonts w:hint="eastAsia"/>
                      <w:bCs/>
                      <w:color w:val="auto"/>
                      <w:kern w:val="0"/>
                      <w:szCs w:val="21"/>
                      <w:highlight w:val="none"/>
                      <w:lang w:bidi="ar"/>
                    </w:rPr>
                    <w:t>61</w:t>
                  </w:r>
                </w:p>
              </w:tc>
              <w:tc>
                <w:tcPr>
                  <w:tcW w:w="316" w:type="pct"/>
                  <w:tcBorders>
                    <w:tl2br w:val="nil"/>
                    <w:tr2bl w:val="nil"/>
                  </w:tcBorders>
                  <w:vAlign w:val="center"/>
                </w:tcPr>
                <w:p w14:paraId="7E445958">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5E25F41A">
                  <w:pPr>
                    <w:widowControl/>
                    <w:jc w:val="center"/>
                    <w:textAlignment w:val="center"/>
                    <w:rPr>
                      <w:bCs/>
                      <w:color w:val="auto"/>
                      <w:kern w:val="0"/>
                      <w:szCs w:val="21"/>
                      <w:highlight w:val="none"/>
                      <w:lang w:bidi="ar"/>
                    </w:rPr>
                  </w:pPr>
                  <w:r>
                    <w:rPr>
                      <w:rFonts w:hint="eastAsia"/>
                      <w:bCs/>
                      <w:color w:val="auto"/>
                      <w:kern w:val="0"/>
                      <w:szCs w:val="21"/>
                      <w:highlight w:val="none"/>
                      <w:lang w:bidi="ar"/>
                    </w:rPr>
                    <w:t>阀门、现场仪表</w:t>
                  </w:r>
                </w:p>
              </w:tc>
              <w:tc>
                <w:tcPr>
                  <w:tcW w:w="527" w:type="pct"/>
                  <w:tcBorders>
                    <w:tl2br w:val="nil"/>
                    <w:tr2bl w:val="nil"/>
                  </w:tcBorders>
                  <w:vAlign w:val="center"/>
                </w:tcPr>
                <w:p w14:paraId="5CA49F94">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57837875">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77235D6B">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0D9AE277">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42369709">
                  <w:pPr>
                    <w:spacing w:line="240" w:lineRule="exact"/>
                    <w:rPr>
                      <w:color w:val="auto"/>
                      <w:sz w:val="20"/>
                      <w:szCs w:val="20"/>
                      <w:highlight w:val="none"/>
                    </w:rPr>
                  </w:pPr>
                  <w:r>
                    <w:rPr>
                      <w:rFonts w:hint="eastAsia"/>
                      <w:color w:val="auto"/>
                      <w:sz w:val="20"/>
                      <w:szCs w:val="20"/>
                      <w:highlight w:val="none"/>
                    </w:rPr>
                    <w:t xml:space="preserve">国产品牌铸钢蒸汽截止阀门郑州高山）、球阀（不锈钢阀芯、碳钢阀体），蝶阀、安全阀、过滤器、液位及管道视窗等，北京铸钢&amp;amp；同品质浮球式疏水器、现场显示温度、压力、 </w:t>
                  </w:r>
                </w:p>
                <w:p w14:paraId="35601B91">
                  <w:pPr>
                    <w:spacing w:line="240" w:lineRule="exact"/>
                    <w:rPr>
                      <w:color w:val="auto"/>
                      <w:sz w:val="20"/>
                      <w:szCs w:val="20"/>
                      <w:highlight w:val="none"/>
                    </w:rPr>
                  </w:pPr>
                  <w:r>
                    <w:rPr>
                      <w:rFonts w:hint="eastAsia"/>
                      <w:color w:val="auto"/>
                      <w:sz w:val="20"/>
                      <w:szCs w:val="20"/>
                      <w:highlight w:val="none"/>
                    </w:rPr>
                    <w:t>流量、液位仪表。</w:t>
                  </w:r>
                </w:p>
              </w:tc>
            </w:tr>
            <w:tr w14:paraId="4ABEE9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4A623361">
                  <w:pPr>
                    <w:widowControl/>
                    <w:jc w:val="center"/>
                    <w:textAlignment w:val="center"/>
                    <w:rPr>
                      <w:bCs/>
                      <w:color w:val="auto"/>
                      <w:kern w:val="0"/>
                      <w:szCs w:val="21"/>
                      <w:highlight w:val="none"/>
                      <w:lang w:bidi="ar"/>
                    </w:rPr>
                  </w:pPr>
                  <w:r>
                    <w:rPr>
                      <w:rFonts w:hint="eastAsia"/>
                      <w:bCs/>
                      <w:color w:val="auto"/>
                      <w:kern w:val="0"/>
                      <w:szCs w:val="21"/>
                      <w:highlight w:val="none"/>
                      <w:lang w:bidi="ar"/>
                    </w:rPr>
                    <w:t>62</w:t>
                  </w:r>
                </w:p>
              </w:tc>
              <w:tc>
                <w:tcPr>
                  <w:tcW w:w="316" w:type="pct"/>
                  <w:tcBorders>
                    <w:tl2br w:val="nil"/>
                    <w:tr2bl w:val="nil"/>
                  </w:tcBorders>
                  <w:vAlign w:val="center"/>
                </w:tcPr>
                <w:p w14:paraId="7F69A46B">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759BC95C">
                  <w:pPr>
                    <w:widowControl/>
                    <w:jc w:val="center"/>
                    <w:textAlignment w:val="center"/>
                    <w:rPr>
                      <w:bCs/>
                      <w:color w:val="auto"/>
                      <w:kern w:val="0"/>
                      <w:szCs w:val="21"/>
                      <w:highlight w:val="none"/>
                      <w:lang w:bidi="ar"/>
                    </w:rPr>
                  </w:pPr>
                  <w:r>
                    <w:rPr>
                      <w:rFonts w:hint="eastAsia"/>
                      <w:bCs/>
                      <w:color w:val="auto"/>
                      <w:kern w:val="0"/>
                      <w:szCs w:val="21"/>
                      <w:highlight w:val="none"/>
                      <w:lang w:bidi="ar"/>
                    </w:rPr>
                    <w:t>机械安装材料</w:t>
                  </w:r>
                </w:p>
              </w:tc>
              <w:tc>
                <w:tcPr>
                  <w:tcW w:w="527" w:type="pct"/>
                  <w:tcBorders>
                    <w:tl2br w:val="nil"/>
                    <w:tr2bl w:val="nil"/>
                  </w:tcBorders>
                  <w:vAlign w:val="center"/>
                </w:tcPr>
                <w:p w14:paraId="615B4E58">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304F73BE">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299C7367">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4EED1AC7">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59114E2C">
                  <w:pPr>
                    <w:spacing w:line="240" w:lineRule="exact"/>
                    <w:rPr>
                      <w:color w:val="auto"/>
                      <w:sz w:val="20"/>
                      <w:szCs w:val="20"/>
                      <w:highlight w:val="none"/>
                    </w:rPr>
                  </w:pPr>
                  <w:r>
                    <w:rPr>
                      <w:rFonts w:hint="eastAsia"/>
                      <w:color w:val="auto"/>
                      <w:sz w:val="20"/>
                      <w:szCs w:val="20"/>
                      <w:highlight w:val="none"/>
                    </w:rPr>
                    <w:t>管道、管件、法兰、标件、垫片、托架及辅助安装材料、设备检修平台等. 蒸脱机到一蒸自由汽体的管道、混合油管道材质（从第一蒸发器出口到毛油冷凝器出口，冷凝器回溶剂管、尾气管）采用不锈钢，蒸发器、浸出器自由汽管碳钢）、碳钢法兰。</w:t>
                  </w:r>
                </w:p>
              </w:tc>
            </w:tr>
            <w:tr w14:paraId="7F3F39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6DE88A75">
                  <w:pPr>
                    <w:widowControl/>
                    <w:jc w:val="center"/>
                    <w:textAlignment w:val="center"/>
                    <w:rPr>
                      <w:bCs/>
                      <w:color w:val="auto"/>
                      <w:kern w:val="0"/>
                      <w:szCs w:val="21"/>
                      <w:highlight w:val="none"/>
                      <w:lang w:bidi="ar"/>
                    </w:rPr>
                  </w:pPr>
                  <w:r>
                    <w:rPr>
                      <w:rFonts w:hint="eastAsia"/>
                      <w:bCs/>
                      <w:color w:val="auto"/>
                      <w:kern w:val="0"/>
                      <w:szCs w:val="21"/>
                      <w:highlight w:val="none"/>
                      <w:lang w:bidi="ar"/>
                    </w:rPr>
                    <w:t>63</w:t>
                  </w:r>
                </w:p>
              </w:tc>
              <w:tc>
                <w:tcPr>
                  <w:tcW w:w="316" w:type="pct"/>
                  <w:tcBorders>
                    <w:tl2br w:val="nil"/>
                    <w:tr2bl w:val="nil"/>
                  </w:tcBorders>
                  <w:vAlign w:val="center"/>
                </w:tcPr>
                <w:p w14:paraId="4A043BCC">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1317FB90">
                  <w:pPr>
                    <w:widowControl/>
                    <w:jc w:val="center"/>
                    <w:textAlignment w:val="center"/>
                    <w:rPr>
                      <w:bCs/>
                      <w:color w:val="auto"/>
                      <w:kern w:val="0"/>
                      <w:szCs w:val="21"/>
                      <w:highlight w:val="none"/>
                      <w:lang w:bidi="ar"/>
                    </w:rPr>
                  </w:pPr>
                  <w:r>
                    <w:rPr>
                      <w:rFonts w:hint="eastAsia"/>
                      <w:bCs/>
                      <w:color w:val="auto"/>
                      <w:kern w:val="0"/>
                      <w:szCs w:val="21"/>
                      <w:highlight w:val="none"/>
                      <w:lang w:bidi="ar"/>
                    </w:rPr>
                    <w:t>电器安装材料</w:t>
                  </w:r>
                </w:p>
              </w:tc>
              <w:tc>
                <w:tcPr>
                  <w:tcW w:w="527" w:type="pct"/>
                  <w:tcBorders>
                    <w:tl2br w:val="nil"/>
                    <w:tr2bl w:val="nil"/>
                  </w:tcBorders>
                  <w:vAlign w:val="center"/>
                </w:tcPr>
                <w:p w14:paraId="02D269F3">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174AF6ED">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41D66104">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23428A28">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1409497C">
                  <w:pPr>
                    <w:spacing w:line="240" w:lineRule="exact"/>
                    <w:rPr>
                      <w:rFonts w:hint="eastAsia" w:eastAsia="宋体"/>
                      <w:color w:val="auto"/>
                      <w:sz w:val="20"/>
                      <w:szCs w:val="20"/>
                      <w:highlight w:val="none"/>
                      <w:lang w:eastAsia="zh-CN"/>
                    </w:rPr>
                  </w:pPr>
                  <w:r>
                    <w:rPr>
                      <w:rFonts w:hint="eastAsia"/>
                      <w:color w:val="auto"/>
                      <w:sz w:val="20"/>
                      <w:szCs w:val="20"/>
                      <w:highlight w:val="none"/>
                    </w:rPr>
                    <w:t>国标铜芯交联（YJV）电缆（选上海远东或等同）、桥架穿线管及附件，不含车间照明</w:t>
                  </w:r>
                  <w:r>
                    <w:rPr>
                      <w:rFonts w:hint="eastAsia"/>
                      <w:color w:val="auto"/>
                      <w:sz w:val="20"/>
                      <w:szCs w:val="20"/>
                      <w:highlight w:val="none"/>
                      <w:lang w:eastAsia="zh-CN"/>
                    </w:rPr>
                    <w:t>。</w:t>
                  </w:r>
                </w:p>
              </w:tc>
            </w:tr>
            <w:tr w14:paraId="133063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5" w:type="pct"/>
                  <w:tcBorders>
                    <w:tl2br w:val="nil"/>
                    <w:tr2bl w:val="nil"/>
                  </w:tcBorders>
                  <w:vAlign w:val="center"/>
                </w:tcPr>
                <w:p w14:paraId="1D6F64EC">
                  <w:pPr>
                    <w:widowControl/>
                    <w:jc w:val="center"/>
                    <w:textAlignment w:val="center"/>
                    <w:rPr>
                      <w:bCs/>
                      <w:color w:val="auto"/>
                      <w:kern w:val="0"/>
                      <w:szCs w:val="21"/>
                      <w:highlight w:val="none"/>
                      <w:lang w:bidi="ar"/>
                    </w:rPr>
                  </w:pPr>
                  <w:r>
                    <w:rPr>
                      <w:rFonts w:hint="eastAsia"/>
                      <w:bCs/>
                      <w:color w:val="auto"/>
                      <w:kern w:val="0"/>
                      <w:szCs w:val="21"/>
                      <w:highlight w:val="none"/>
                      <w:lang w:bidi="ar"/>
                    </w:rPr>
                    <w:t>64</w:t>
                  </w:r>
                </w:p>
              </w:tc>
              <w:tc>
                <w:tcPr>
                  <w:tcW w:w="316" w:type="pct"/>
                  <w:tcBorders>
                    <w:tl2br w:val="nil"/>
                    <w:tr2bl w:val="nil"/>
                  </w:tcBorders>
                  <w:vAlign w:val="center"/>
                </w:tcPr>
                <w:p w14:paraId="0C125A41">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278A423C">
                  <w:pPr>
                    <w:widowControl/>
                    <w:jc w:val="center"/>
                    <w:textAlignment w:val="center"/>
                    <w:rPr>
                      <w:bCs/>
                      <w:color w:val="auto"/>
                      <w:kern w:val="0"/>
                      <w:szCs w:val="21"/>
                      <w:highlight w:val="none"/>
                      <w:lang w:bidi="ar"/>
                    </w:rPr>
                  </w:pPr>
                  <w:r>
                    <w:rPr>
                      <w:rFonts w:hint="eastAsia"/>
                      <w:bCs/>
                      <w:color w:val="auto"/>
                      <w:kern w:val="0"/>
                      <w:szCs w:val="21"/>
                      <w:highlight w:val="none"/>
                      <w:lang w:bidi="ar"/>
                    </w:rPr>
                    <w:t>电机，减速机</w:t>
                  </w:r>
                </w:p>
              </w:tc>
              <w:tc>
                <w:tcPr>
                  <w:tcW w:w="527" w:type="pct"/>
                  <w:tcBorders>
                    <w:tl2br w:val="nil"/>
                    <w:tr2bl w:val="nil"/>
                  </w:tcBorders>
                  <w:vAlign w:val="center"/>
                </w:tcPr>
                <w:p w14:paraId="3E182089">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118F3A0B">
                  <w:pPr>
                    <w:widowControl/>
                    <w:jc w:val="center"/>
                    <w:textAlignment w:val="center"/>
                    <w:rPr>
                      <w:bCs/>
                      <w:color w:val="auto"/>
                      <w:kern w:val="0"/>
                      <w:szCs w:val="21"/>
                      <w:highlight w:val="none"/>
                      <w:lang w:bidi="ar"/>
                    </w:rPr>
                  </w:pPr>
                </w:p>
              </w:tc>
              <w:tc>
                <w:tcPr>
                  <w:tcW w:w="549" w:type="pct"/>
                  <w:tcBorders>
                    <w:tl2br w:val="nil"/>
                    <w:tr2bl w:val="nil"/>
                  </w:tcBorders>
                  <w:vAlign w:val="center"/>
                </w:tcPr>
                <w:p w14:paraId="40964A5B">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72244FD7">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01F57EDE">
                  <w:pPr>
                    <w:spacing w:line="240" w:lineRule="exact"/>
                    <w:rPr>
                      <w:color w:val="auto"/>
                      <w:sz w:val="20"/>
                      <w:szCs w:val="20"/>
                      <w:highlight w:val="none"/>
                    </w:rPr>
                  </w:pPr>
                  <w:r>
                    <w:rPr>
                      <w:rStyle w:val="87"/>
                      <w:rFonts w:ascii="Times New Roman"/>
                      <w:color w:val="auto"/>
                      <w:sz w:val="21"/>
                      <w:highlight w:val="none"/>
                    </w:rPr>
                    <w:t>国茂，硬齿面减速机</w:t>
                  </w:r>
                  <w:r>
                    <w:rPr>
                      <w:rStyle w:val="87"/>
                      <w:rFonts w:hint="eastAsia"/>
                      <w:color w:val="auto"/>
                      <w:sz w:val="21"/>
                      <w:highlight w:val="none"/>
                    </w:rPr>
                    <w:t>。</w:t>
                  </w:r>
                </w:p>
              </w:tc>
            </w:tr>
            <w:tr w14:paraId="7C6E92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185" w:type="pct"/>
                  <w:tcBorders>
                    <w:tl2br w:val="nil"/>
                    <w:tr2bl w:val="nil"/>
                  </w:tcBorders>
                  <w:vAlign w:val="center"/>
                </w:tcPr>
                <w:p w14:paraId="1E6218F1">
                  <w:pPr>
                    <w:widowControl/>
                    <w:jc w:val="center"/>
                    <w:textAlignment w:val="center"/>
                    <w:rPr>
                      <w:rFonts w:hint="eastAsia" w:eastAsia="宋体"/>
                      <w:bCs/>
                      <w:color w:val="auto"/>
                      <w:kern w:val="0"/>
                      <w:szCs w:val="21"/>
                      <w:highlight w:val="none"/>
                      <w:lang w:eastAsia="zh-CN" w:bidi="ar"/>
                    </w:rPr>
                  </w:pPr>
                  <w:r>
                    <w:rPr>
                      <w:rFonts w:hint="eastAsia"/>
                      <w:bCs/>
                      <w:color w:val="auto"/>
                      <w:kern w:val="0"/>
                      <w:szCs w:val="21"/>
                      <w:highlight w:val="none"/>
                      <w:lang w:bidi="ar"/>
                    </w:rPr>
                    <w:t>6</w:t>
                  </w:r>
                  <w:r>
                    <w:rPr>
                      <w:rFonts w:hint="eastAsia"/>
                      <w:bCs/>
                      <w:color w:val="auto"/>
                      <w:kern w:val="0"/>
                      <w:szCs w:val="21"/>
                      <w:highlight w:val="none"/>
                      <w:lang w:val="en-US" w:eastAsia="zh-CN" w:bidi="ar"/>
                    </w:rPr>
                    <w:t>5</w:t>
                  </w:r>
                </w:p>
              </w:tc>
              <w:tc>
                <w:tcPr>
                  <w:tcW w:w="316" w:type="pct"/>
                  <w:tcBorders>
                    <w:tl2br w:val="nil"/>
                    <w:tr2bl w:val="nil"/>
                  </w:tcBorders>
                  <w:vAlign w:val="center"/>
                </w:tcPr>
                <w:p w14:paraId="64D186E2">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21D5CCA4">
                  <w:pPr>
                    <w:widowControl/>
                    <w:jc w:val="center"/>
                    <w:textAlignment w:val="center"/>
                    <w:rPr>
                      <w:bCs/>
                      <w:color w:val="auto"/>
                      <w:kern w:val="0"/>
                      <w:szCs w:val="21"/>
                      <w:highlight w:val="none"/>
                      <w:lang w:bidi="ar"/>
                    </w:rPr>
                  </w:pPr>
                  <w:r>
                    <w:rPr>
                      <w:rFonts w:hint="default" w:ascii="Times New Roman" w:hAnsi="Times New Roman" w:eastAsia="宋体" w:cs="Times New Roman"/>
                      <w:color w:val="auto"/>
                      <w:highlight w:val="none"/>
                      <w:lang w:val="en-US" w:eastAsia="zh-CN"/>
                    </w:rPr>
                    <w:t>水处理设备</w:t>
                  </w:r>
                </w:p>
              </w:tc>
              <w:tc>
                <w:tcPr>
                  <w:tcW w:w="527" w:type="pct"/>
                  <w:tcBorders>
                    <w:tl2br w:val="nil"/>
                    <w:tr2bl w:val="nil"/>
                  </w:tcBorders>
                  <w:vAlign w:val="center"/>
                </w:tcPr>
                <w:p w14:paraId="7C176CAF">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4286BAD9">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1套</w:t>
                  </w:r>
                </w:p>
              </w:tc>
              <w:tc>
                <w:tcPr>
                  <w:tcW w:w="549" w:type="pct"/>
                  <w:tcBorders>
                    <w:tl2br w:val="nil"/>
                    <w:tr2bl w:val="nil"/>
                  </w:tcBorders>
                  <w:vAlign w:val="center"/>
                </w:tcPr>
                <w:p w14:paraId="685502C9">
                  <w:pPr>
                    <w:widowControl/>
                    <w:jc w:val="center"/>
                    <w:textAlignment w:val="center"/>
                    <w:rPr>
                      <w:bCs/>
                      <w:color w:val="auto"/>
                      <w:kern w:val="0"/>
                      <w:szCs w:val="21"/>
                      <w:highlight w:val="none"/>
                      <w:lang w:bidi="ar"/>
                    </w:rPr>
                  </w:pPr>
                </w:p>
              </w:tc>
              <w:tc>
                <w:tcPr>
                  <w:tcW w:w="626" w:type="pct"/>
                  <w:tcBorders>
                    <w:tl2br w:val="nil"/>
                    <w:tr2bl w:val="nil"/>
                  </w:tcBorders>
                  <w:vAlign w:val="center"/>
                </w:tcPr>
                <w:p w14:paraId="2970D8C2">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18DEE36A">
                  <w:pPr>
                    <w:rPr>
                      <w:rStyle w:val="87"/>
                      <w:rFonts w:ascii="Times New Roman"/>
                      <w:color w:val="auto"/>
                      <w:sz w:val="21"/>
                      <w:highlight w:val="none"/>
                    </w:rPr>
                  </w:pPr>
                </w:p>
              </w:tc>
            </w:tr>
            <w:tr w14:paraId="24F129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185" w:type="pct"/>
                  <w:tcBorders>
                    <w:tl2br w:val="nil"/>
                    <w:tr2bl w:val="nil"/>
                  </w:tcBorders>
                  <w:vAlign w:val="center"/>
                </w:tcPr>
                <w:p w14:paraId="001A1880">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66</w:t>
                  </w:r>
                </w:p>
              </w:tc>
              <w:tc>
                <w:tcPr>
                  <w:tcW w:w="316" w:type="pct"/>
                  <w:tcBorders>
                    <w:tl2br w:val="nil"/>
                    <w:tr2bl w:val="nil"/>
                  </w:tcBorders>
                  <w:vAlign w:val="center"/>
                </w:tcPr>
                <w:p w14:paraId="565F590F">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5094E765">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泵</w:t>
                  </w:r>
                </w:p>
              </w:tc>
              <w:tc>
                <w:tcPr>
                  <w:tcW w:w="527" w:type="pct"/>
                  <w:tcBorders>
                    <w:tl2br w:val="nil"/>
                    <w:tr2bl w:val="nil"/>
                  </w:tcBorders>
                  <w:vAlign w:val="center"/>
                </w:tcPr>
                <w:p w14:paraId="67F22FBA">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2EF6FED0">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2</w:t>
                  </w:r>
                </w:p>
              </w:tc>
              <w:tc>
                <w:tcPr>
                  <w:tcW w:w="549" w:type="pct"/>
                  <w:tcBorders>
                    <w:tl2br w:val="nil"/>
                    <w:tr2bl w:val="nil"/>
                  </w:tcBorders>
                  <w:vAlign w:val="center"/>
                </w:tcPr>
                <w:p w14:paraId="67F9CCDB">
                  <w:pPr>
                    <w:widowControl/>
                    <w:jc w:val="center"/>
                    <w:textAlignment w:val="center"/>
                    <w:rPr>
                      <w:rFonts w:hint="eastAsia"/>
                      <w:bCs/>
                      <w:color w:val="auto"/>
                      <w:kern w:val="0"/>
                      <w:szCs w:val="21"/>
                      <w:highlight w:val="none"/>
                      <w:lang w:bidi="ar"/>
                    </w:rPr>
                  </w:pPr>
                </w:p>
              </w:tc>
              <w:tc>
                <w:tcPr>
                  <w:tcW w:w="626" w:type="pct"/>
                  <w:tcBorders>
                    <w:tl2br w:val="nil"/>
                    <w:tr2bl w:val="nil"/>
                  </w:tcBorders>
                  <w:vAlign w:val="center"/>
                </w:tcPr>
                <w:p w14:paraId="3E3088F2">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5307BB34">
                  <w:pPr>
                    <w:rPr>
                      <w:rStyle w:val="87"/>
                      <w:rFonts w:ascii="Times New Roman"/>
                      <w:color w:val="auto"/>
                      <w:sz w:val="21"/>
                      <w:highlight w:val="none"/>
                    </w:rPr>
                  </w:pPr>
                </w:p>
              </w:tc>
            </w:tr>
            <w:tr w14:paraId="5EDEB3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67" w:hRule="atLeast"/>
              </w:trPr>
              <w:tc>
                <w:tcPr>
                  <w:tcW w:w="185" w:type="pct"/>
                  <w:tcBorders>
                    <w:tl2br w:val="nil"/>
                    <w:tr2bl w:val="nil"/>
                  </w:tcBorders>
                  <w:vAlign w:val="center"/>
                </w:tcPr>
                <w:p w14:paraId="63291A67">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67</w:t>
                  </w:r>
                </w:p>
              </w:tc>
              <w:tc>
                <w:tcPr>
                  <w:tcW w:w="316" w:type="pct"/>
                  <w:tcBorders>
                    <w:tl2br w:val="nil"/>
                    <w:tr2bl w:val="nil"/>
                  </w:tcBorders>
                  <w:vAlign w:val="center"/>
                </w:tcPr>
                <w:p w14:paraId="38C42DC1">
                  <w:pPr>
                    <w:widowControl/>
                    <w:jc w:val="center"/>
                    <w:textAlignment w:val="center"/>
                    <w:rPr>
                      <w:bCs/>
                      <w:color w:val="auto"/>
                      <w:kern w:val="0"/>
                      <w:szCs w:val="21"/>
                      <w:highlight w:val="none"/>
                      <w:lang w:bidi="ar"/>
                    </w:rPr>
                  </w:pPr>
                </w:p>
              </w:tc>
              <w:tc>
                <w:tcPr>
                  <w:tcW w:w="612" w:type="pct"/>
                  <w:tcBorders>
                    <w:tl2br w:val="nil"/>
                    <w:tr2bl w:val="nil"/>
                  </w:tcBorders>
                  <w:vAlign w:val="center"/>
                </w:tcPr>
                <w:p w14:paraId="360AD871">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软化水制备装置</w:t>
                  </w:r>
                </w:p>
              </w:tc>
              <w:tc>
                <w:tcPr>
                  <w:tcW w:w="527" w:type="pct"/>
                  <w:tcBorders>
                    <w:tl2br w:val="nil"/>
                    <w:tr2bl w:val="nil"/>
                  </w:tcBorders>
                  <w:vAlign w:val="center"/>
                </w:tcPr>
                <w:p w14:paraId="4261C5EF">
                  <w:pPr>
                    <w:widowControl/>
                    <w:jc w:val="center"/>
                    <w:textAlignment w:val="center"/>
                    <w:rPr>
                      <w:bCs/>
                      <w:color w:val="auto"/>
                      <w:kern w:val="0"/>
                      <w:szCs w:val="21"/>
                      <w:highlight w:val="none"/>
                      <w:lang w:bidi="ar"/>
                    </w:rPr>
                  </w:pPr>
                </w:p>
              </w:tc>
              <w:tc>
                <w:tcPr>
                  <w:tcW w:w="408" w:type="pct"/>
                  <w:tcBorders>
                    <w:tl2br w:val="nil"/>
                    <w:tr2bl w:val="nil"/>
                  </w:tcBorders>
                  <w:vAlign w:val="center"/>
                </w:tcPr>
                <w:p w14:paraId="6BA0A162">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1台</w:t>
                  </w:r>
                </w:p>
              </w:tc>
              <w:tc>
                <w:tcPr>
                  <w:tcW w:w="549" w:type="pct"/>
                  <w:tcBorders>
                    <w:tl2br w:val="nil"/>
                    <w:tr2bl w:val="nil"/>
                  </w:tcBorders>
                  <w:vAlign w:val="center"/>
                </w:tcPr>
                <w:p w14:paraId="65849106">
                  <w:pPr>
                    <w:widowControl/>
                    <w:jc w:val="center"/>
                    <w:textAlignment w:val="center"/>
                    <w:rPr>
                      <w:rFonts w:hint="eastAsia"/>
                      <w:bCs/>
                      <w:color w:val="auto"/>
                      <w:kern w:val="0"/>
                      <w:szCs w:val="21"/>
                      <w:highlight w:val="none"/>
                      <w:lang w:bidi="ar"/>
                    </w:rPr>
                  </w:pPr>
                </w:p>
              </w:tc>
              <w:tc>
                <w:tcPr>
                  <w:tcW w:w="626" w:type="pct"/>
                  <w:tcBorders>
                    <w:tl2br w:val="nil"/>
                    <w:tr2bl w:val="nil"/>
                  </w:tcBorders>
                  <w:vAlign w:val="center"/>
                </w:tcPr>
                <w:p w14:paraId="71D1401F">
                  <w:pPr>
                    <w:widowControl/>
                    <w:jc w:val="center"/>
                    <w:textAlignment w:val="center"/>
                    <w:rPr>
                      <w:bCs/>
                      <w:color w:val="auto"/>
                      <w:kern w:val="0"/>
                      <w:szCs w:val="21"/>
                      <w:highlight w:val="none"/>
                      <w:lang w:bidi="ar"/>
                    </w:rPr>
                  </w:pPr>
                </w:p>
              </w:tc>
              <w:tc>
                <w:tcPr>
                  <w:tcW w:w="1773" w:type="pct"/>
                  <w:gridSpan w:val="2"/>
                  <w:tcBorders>
                    <w:tl2br w:val="nil"/>
                    <w:tr2bl w:val="nil"/>
                  </w:tcBorders>
                  <w:vAlign w:val="center"/>
                </w:tcPr>
                <w:p w14:paraId="5129011C">
                  <w:pPr>
                    <w:rPr>
                      <w:rStyle w:val="87"/>
                      <w:rFonts w:ascii="Times New Roman"/>
                      <w:color w:val="auto"/>
                      <w:sz w:val="21"/>
                      <w:highlight w:val="none"/>
                    </w:rPr>
                  </w:pPr>
                </w:p>
              </w:tc>
            </w:tr>
          </w:tbl>
          <w:p w14:paraId="18E69365">
            <w:pPr>
              <w:spacing w:line="360" w:lineRule="auto"/>
              <w:rPr>
                <w:rFonts w:eastAsia="黑体"/>
                <w:bCs/>
                <w:color w:val="auto"/>
                <w:sz w:val="28"/>
                <w:szCs w:val="28"/>
                <w:highlight w:val="none"/>
              </w:rPr>
            </w:pPr>
            <w:r>
              <w:rPr>
                <w:rFonts w:hint="eastAsia" w:eastAsia="黑体"/>
                <w:bCs/>
                <w:color w:val="auto"/>
                <w:sz w:val="28"/>
                <w:szCs w:val="28"/>
                <w:highlight w:val="none"/>
              </w:rPr>
              <w:t>四、主要原辅材料</w:t>
            </w:r>
          </w:p>
          <w:p w14:paraId="12460B42">
            <w:pPr>
              <w:pStyle w:val="72"/>
              <w:spacing w:line="480" w:lineRule="exact"/>
              <w:rPr>
                <w:rFonts w:cs="宋体"/>
                <w:color w:val="auto"/>
                <w:szCs w:val="21"/>
                <w:highlight w:val="none"/>
              </w:rPr>
            </w:pPr>
            <w:r>
              <w:rPr>
                <w:rFonts w:hint="eastAsia" w:cs="宋体"/>
                <w:color w:val="auto"/>
                <w:szCs w:val="21"/>
                <w:highlight w:val="none"/>
              </w:rPr>
              <w:t>本项目主要原辅材料及能源消耗情况见表2-4。</w:t>
            </w:r>
          </w:p>
          <w:p w14:paraId="4029DDEF">
            <w:pPr>
              <w:pStyle w:val="95"/>
              <w:ind w:firstLine="0"/>
              <w:rPr>
                <w:color w:val="auto"/>
                <w:highlight w:val="none"/>
              </w:rPr>
            </w:pPr>
            <w:r>
              <w:rPr>
                <w:rFonts w:hint="eastAsia"/>
                <w:color w:val="auto"/>
                <w:highlight w:val="none"/>
              </w:rPr>
              <w:t>表2-4 主要原辅材料及能源消耗情况一览表（年用量）</w:t>
            </w:r>
          </w:p>
          <w:tbl>
            <w:tblPr>
              <w:tblStyle w:val="142"/>
              <w:tblW w:w="499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415"/>
              <w:gridCol w:w="1486"/>
              <w:gridCol w:w="2947"/>
            </w:tblGrid>
            <w:tr w14:paraId="702776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top w:val="single" w:color="000000" w:sz="12" w:space="0"/>
                  </w:tcBorders>
                  <w:vAlign w:val="center"/>
                </w:tcPr>
                <w:p w14:paraId="5677038A">
                  <w:pPr>
                    <w:widowControl/>
                    <w:jc w:val="center"/>
                    <w:textAlignment w:val="center"/>
                    <w:rPr>
                      <w:bCs/>
                      <w:color w:val="auto"/>
                      <w:kern w:val="0"/>
                      <w:szCs w:val="21"/>
                      <w:highlight w:val="none"/>
                      <w:lang w:bidi="ar"/>
                    </w:rPr>
                  </w:pPr>
                  <w:r>
                    <w:rPr>
                      <w:rFonts w:hint="eastAsia"/>
                      <w:bCs/>
                      <w:color w:val="auto"/>
                      <w:kern w:val="0"/>
                      <w:szCs w:val="21"/>
                      <w:highlight w:val="none"/>
                      <w:lang w:bidi="ar"/>
                    </w:rPr>
                    <w:t>项目</w:t>
                  </w:r>
                </w:p>
              </w:tc>
              <w:tc>
                <w:tcPr>
                  <w:tcW w:w="839" w:type="pct"/>
                  <w:tcBorders>
                    <w:top w:val="single" w:color="000000" w:sz="12" w:space="0"/>
                  </w:tcBorders>
                  <w:vAlign w:val="center"/>
                </w:tcPr>
                <w:p w14:paraId="6331AD4F">
                  <w:pPr>
                    <w:widowControl/>
                    <w:jc w:val="center"/>
                    <w:textAlignment w:val="center"/>
                    <w:rPr>
                      <w:bCs/>
                      <w:color w:val="auto"/>
                      <w:kern w:val="0"/>
                      <w:szCs w:val="21"/>
                      <w:highlight w:val="none"/>
                      <w:lang w:bidi="ar"/>
                    </w:rPr>
                  </w:pPr>
                  <w:r>
                    <w:rPr>
                      <w:rFonts w:hint="eastAsia"/>
                      <w:bCs/>
                      <w:color w:val="auto"/>
                      <w:kern w:val="0"/>
                      <w:szCs w:val="21"/>
                      <w:highlight w:val="none"/>
                      <w:lang w:bidi="ar"/>
                    </w:rPr>
                    <w:t>单位</w:t>
                  </w:r>
                </w:p>
              </w:tc>
              <w:tc>
                <w:tcPr>
                  <w:tcW w:w="1665" w:type="pct"/>
                  <w:tcBorders>
                    <w:top w:val="single" w:color="000000" w:sz="12" w:space="0"/>
                    <w:right w:val="nil"/>
                  </w:tcBorders>
                  <w:vAlign w:val="center"/>
                </w:tcPr>
                <w:p w14:paraId="040E45BB">
                  <w:pPr>
                    <w:widowControl/>
                    <w:jc w:val="center"/>
                    <w:textAlignment w:val="center"/>
                    <w:rPr>
                      <w:bCs/>
                      <w:color w:val="auto"/>
                      <w:kern w:val="0"/>
                      <w:szCs w:val="21"/>
                      <w:highlight w:val="none"/>
                      <w:lang w:bidi="ar"/>
                    </w:rPr>
                  </w:pPr>
                  <w:r>
                    <w:rPr>
                      <w:rFonts w:hint="eastAsia"/>
                      <w:bCs/>
                      <w:color w:val="auto"/>
                      <w:kern w:val="0"/>
                      <w:szCs w:val="21"/>
                      <w:highlight w:val="none"/>
                      <w:lang w:bidi="ar"/>
                    </w:rPr>
                    <w:t>年需求量</w:t>
                  </w:r>
                </w:p>
              </w:tc>
            </w:tr>
            <w:tr w14:paraId="332671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7F73251F">
                  <w:pPr>
                    <w:widowControl/>
                    <w:jc w:val="center"/>
                    <w:textAlignment w:val="center"/>
                    <w:rPr>
                      <w:bCs/>
                      <w:color w:val="auto"/>
                      <w:kern w:val="0"/>
                      <w:szCs w:val="21"/>
                      <w:highlight w:val="none"/>
                      <w:lang w:bidi="ar"/>
                    </w:rPr>
                  </w:pPr>
                  <w:r>
                    <w:rPr>
                      <w:rFonts w:hint="eastAsia"/>
                      <w:bCs/>
                      <w:color w:val="auto"/>
                      <w:kern w:val="0"/>
                      <w:szCs w:val="21"/>
                      <w:highlight w:val="none"/>
                      <w:lang w:bidi="ar"/>
                    </w:rPr>
                    <w:t>一、原料</w:t>
                  </w:r>
                </w:p>
              </w:tc>
              <w:tc>
                <w:tcPr>
                  <w:tcW w:w="839" w:type="pct"/>
                  <w:vAlign w:val="center"/>
                </w:tcPr>
                <w:p w14:paraId="229BA651">
                  <w:pPr>
                    <w:widowControl/>
                    <w:jc w:val="center"/>
                    <w:textAlignment w:val="center"/>
                    <w:rPr>
                      <w:bCs/>
                      <w:color w:val="auto"/>
                      <w:kern w:val="0"/>
                      <w:szCs w:val="21"/>
                      <w:highlight w:val="none"/>
                      <w:lang w:bidi="ar"/>
                    </w:rPr>
                  </w:pPr>
                </w:p>
              </w:tc>
              <w:tc>
                <w:tcPr>
                  <w:tcW w:w="1665" w:type="pct"/>
                  <w:tcBorders>
                    <w:right w:val="nil"/>
                  </w:tcBorders>
                  <w:vAlign w:val="center"/>
                </w:tcPr>
                <w:p w14:paraId="3A6AA2AE">
                  <w:pPr>
                    <w:widowControl/>
                    <w:jc w:val="center"/>
                    <w:textAlignment w:val="center"/>
                    <w:rPr>
                      <w:bCs/>
                      <w:color w:val="auto"/>
                      <w:kern w:val="0"/>
                      <w:szCs w:val="21"/>
                      <w:highlight w:val="none"/>
                      <w:lang w:bidi="ar"/>
                    </w:rPr>
                  </w:pPr>
                </w:p>
              </w:tc>
            </w:tr>
            <w:tr w14:paraId="29C46C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jc w:val="center"/>
              </w:trPr>
              <w:tc>
                <w:tcPr>
                  <w:tcW w:w="2494" w:type="pct"/>
                  <w:tcBorders>
                    <w:left w:val="nil"/>
                  </w:tcBorders>
                  <w:vAlign w:val="center"/>
                </w:tcPr>
                <w:p w14:paraId="060AAAF4">
                  <w:pPr>
                    <w:widowControl/>
                    <w:jc w:val="center"/>
                    <w:textAlignment w:val="center"/>
                    <w:rPr>
                      <w:bCs/>
                      <w:color w:val="auto"/>
                      <w:kern w:val="0"/>
                      <w:szCs w:val="21"/>
                      <w:highlight w:val="none"/>
                      <w:lang w:bidi="ar"/>
                    </w:rPr>
                  </w:pPr>
                  <w:r>
                    <w:rPr>
                      <w:rFonts w:hint="eastAsia"/>
                      <w:bCs/>
                      <w:color w:val="auto"/>
                      <w:kern w:val="0"/>
                      <w:szCs w:val="21"/>
                      <w:highlight w:val="none"/>
                      <w:lang w:bidi="ar"/>
                    </w:rPr>
                    <w:t>非转基因大豆、米糠</w:t>
                  </w:r>
                </w:p>
              </w:tc>
              <w:tc>
                <w:tcPr>
                  <w:tcW w:w="839" w:type="pct"/>
                  <w:vAlign w:val="center"/>
                </w:tcPr>
                <w:p w14:paraId="21CF23FF">
                  <w:pPr>
                    <w:widowControl/>
                    <w:jc w:val="center"/>
                    <w:textAlignment w:val="center"/>
                    <w:rPr>
                      <w:bCs/>
                      <w:color w:val="auto"/>
                      <w:kern w:val="0"/>
                      <w:szCs w:val="21"/>
                      <w:highlight w:val="none"/>
                      <w:lang w:bidi="ar"/>
                    </w:rPr>
                  </w:pPr>
                  <w:r>
                    <w:rPr>
                      <w:rFonts w:hint="eastAsia"/>
                      <w:bCs/>
                      <w:color w:val="auto"/>
                      <w:kern w:val="0"/>
                      <w:szCs w:val="21"/>
                      <w:highlight w:val="none"/>
                      <w:lang w:bidi="ar"/>
                    </w:rPr>
                    <w:t>吨</w:t>
                  </w:r>
                </w:p>
              </w:tc>
              <w:tc>
                <w:tcPr>
                  <w:tcW w:w="1665" w:type="pct"/>
                  <w:tcBorders>
                    <w:right w:val="nil"/>
                  </w:tcBorders>
                  <w:vAlign w:val="center"/>
                </w:tcPr>
                <w:p w14:paraId="16FE17DF">
                  <w:pPr>
                    <w:widowControl/>
                    <w:jc w:val="center"/>
                    <w:textAlignment w:val="center"/>
                    <w:rPr>
                      <w:bCs/>
                      <w:color w:val="auto"/>
                      <w:kern w:val="0"/>
                      <w:szCs w:val="21"/>
                      <w:highlight w:val="none"/>
                      <w:lang w:bidi="ar"/>
                    </w:rPr>
                  </w:pPr>
                  <w:r>
                    <w:rPr>
                      <w:bCs/>
                      <w:color w:val="auto"/>
                      <w:kern w:val="0"/>
                      <w:szCs w:val="21"/>
                      <w:highlight w:val="none"/>
                      <w:lang w:bidi="ar"/>
                    </w:rPr>
                    <w:t>150,000</w:t>
                  </w:r>
                </w:p>
              </w:tc>
            </w:tr>
            <w:tr w14:paraId="2DE3EB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7029834E">
                  <w:pPr>
                    <w:widowControl/>
                    <w:jc w:val="center"/>
                    <w:textAlignment w:val="center"/>
                    <w:rPr>
                      <w:bCs/>
                      <w:color w:val="auto"/>
                      <w:kern w:val="0"/>
                      <w:szCs w:val="21"/>
                      <w:highlight w:val="none"/>
                      <w:lang w:bidi="ar"/>
                    </w:rPr>
                  </w:pPr>
                  <w:r>
                    <w:rPr>
                      <w:rFonts w:hint="eastAsia"/>
                      <w:bCs/>
                      <w:color w:val="auto"/>
                      <w:kern w:val="0"/>
                      <w:szCs w:val="21"/>
                      <w:highlight w:val="none"/>
                      <w:lang w:bidi="ar"/>
                    </w:rPr>
                    <w:t>二、辅料</w:t>
                  </w:r>
                </w:p>
              </w:tc>
              <w:tc>
                <w:tcPr>
                  <w:tcW w:w="839" w:type="pct"/>
                  <w:vAlign w:val="center"/>
                </w:tcPr>
                <w:p w14:paraId="0D27C8D8">
                  <w:pPr>
                    <w:widowControl/>
                    <w:jc w:val="center"/>
                    <w:textAlignment w:val="center"/>
                    <w:rPr>
                      <w:bCs/>
                      <w:color w:val="auto"/>
                      <w:kern w:val="0"/>
                      <w:szCs w:val="21"/>
                      <w:highlight w:val="none"/>
                      <w:lang w:bidi="ar"/>
                    </w:rPr>
                  </w:pPr>
                  <w:r>
                    <w:rPr>
                      <w:rFonts w:hint="eastAsia"/>
                      <w:bCs/>
                      <w:color w:val="auto"/>
                      <w:kern w:val="0"/>
                      <w:szCs w:val="21"/>
                      <w:highlight w:val="none"/>
                      <w:lang w:bidi="ar"/>
                    </w:rPr>
                    <w:t>吨</w:t>
                  </w:r>
                </w:p>
              </w:tc>
              <w:tc>
                <w:tcPr>
                  <w:tcW w:w="1665" w:type="pct"/>
                  <w:tcBorders>
                    <w:right w:val="nil"/>
                  </w:tcBorders>
                  <w:vAlign w:val="center"/>
                </w:tcPr>
                <w:p w14:paraId="6AD725D5">
                  <w:pPr>
                    <w:widowControl/>
                    <w:jc w:val="center"/>
                    <w:textAlignment w:val="center"/>
                    <w:rPr>
                      <w:bCs/>
                      <w:color w:val="auto"/>
                      <w:kern w:val="0"/>
                      <w:szCs w:val="21"/>
                      <w:highlight w:val="none"/>
                      <w:lang w:bidi="ar"/>
                    </w:rPr>
                  </w:pPr>
                </w:p>
              </w:tc>
            </w:tr>
            <w:tr w14:paraId="6AD2D5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60C26872">
                  <w:pPr>
                    <w:widowControl/>
                    <w:jc w:val="center"/>
                    <w:textAlignment w:val="center"/>
                    <w:rPr>
                      <w:bCs/>
                      <w:color w:val="auto"/>
                      <w:kern w:val="0"/>
                      <w:szCs w:val="21"/>
                      <w:highlight w:val="none"/>
                      <w:lang w:bidi="ar"/>
                    </w:rPr>
                  </w:pPr>
                  <w:r>
                    <w:rPr>
                      <w:rFonts w:hint="eastAsia"/>
                      <w:bCs/>
                      <w:color w:val="auto"/>
                      <w:kern w:val="0"/>
                      <w:szCs w:val="21"/>
                      <w:highlight w:val="none"/>
                      <w:lang w:bidi="ar"/>
                    </w:rPr>
                    <w:t>溶剂（正己烷）</w:t>
                  </w:r>
                </w:p>
              </w:tc>
              <w:tc>
                <w:tcPr>
                  <w:tcW w:w="839" w:type="pct"/>
                  <w:vAlign w:val="center"/>
                </w:tcPr>
                <w:p w14:paraId="03FC7643">
                  <w:pPr>
                    <w:widowControl/>
                    <w:jc w:val="center"/>
                    <w:textAlignment w:val="center"/>
                    <w:rPr>
                      <w:bCs/>
                      <w:color w:val="auto"/>
                      <w:kern w:val="0"/>
                      <w:szCs w:val="21"/>
                      <w:highlight w:val="none"/>
                      <w:lang w:bidi="ar"/>
                    </w:rPr>
                  </w:pPr>
                  <w:r>
                    <w:rPr>
                      <w:rFonts w:hint="eastAsia"/>
                      <w:bCs/>
                      <w:color w:val="auto"/>
                      <w:kern w:val="0"/>
                      <w:szCs w:val="21"/>
                      <w:highlight w:val="none"/>
                      <w:lang w:bidi="ar"/>
                    </w:rPr>
                    <w:t>吨</w:t>
                  </w:r>
                </w:p>
              </w:tc>
              <w:tc>
                <w:tcPr>
                  <w:tcW w:w="1665" w:type="pct"/>
                  <w:tcBorders>
                    <w:right w:val="nil"/>
                  </w:tcBorders>
                  <w:vAlign w:val="center"/>
                </w:tcPr>
                <w:p w14:paraId="378C7358">
                  <w:pPr>
                    <w:widowControl/>
                    <w:jc w:val="center"/>
                    <w:textAlignment w:val="center"/>
                    <w:rPr>
                      <w:bCs/>
                      <w:color w:val="auto"/>
                      <w:kern w:val="0"/>
                      <w:szCs w:val="21"/>
                      <w:highlight w:val="none"/>
                      <w:lang w:bidi="ar"/>
                    </w:rPr>
                  </w:pPr>
                  <w:r>
                    <w:rPr>
                      <w:bCs/>
                      <w:color w:val="auto"/>
                      <w:kern w:val="0"/>
                      <w:szCs w:val="21"/>
                      <w:highlight w:val="none"/>
                      <w:lang w:bidi="ar"/>
                    </w:rPr>
                    <w:t>180</w:t>
                  </w:r>
                </w:p>
              </w:tc>
            </w:tr>
            <w:tr w14:paraId="7B37C6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7D607FF8">
                  <w:pPr>
                    <w:widowControl/>
                    <w:jc w:val="center"/>
                    <w:textAlignment w:val="center"/>
                    <w:rPr>
                      <w:bCs/>
                      <w:color w:val="auto"/>
                      <w:kern w:val="0"/>
                      <w:szCs w:val="21"/>
                      <w:highlight w:val="none"/>
                      <w:lang w:bidi="ar"/>
                    </w:rPr>
                  </w:pPr>
                  <w:r>
                    <w:rPr>
                      <w:rFonts w:hint="eastAsia"/>
                      <w:bCs/>
                      <w:color w:val="auto"/>
                      <w:kern w:val="0"/>
                      <w:szCs w:val="21"/>
                      <w:highlight w:val="none"/>
                      <w:lang w:bidi="ar"/>
                    </w:rPr>
                    <w:t>纸箱</w:t>
                  </w:r>
                </w:p>
              </w:tc>
              <w:tc>
                <w:tcPr>
                  <w:tcW w:w="839" w:type="pct"/>
                  <w:vAlign w:val="center"/>
                </w:tcPr>
                <w:p w14:paraId="26556545">
                  <w:pPr>
                    <w:widowControl/>
                    <w:jc w:val="center"/>
                    <w:textAlignment w:val="center"/>
                    <w:rPr>
                      <w:bCs/>
                      <w:color w:val="auto"/>
                      <w:kern w:val="0"/>
                      <w:szCs w:val="21"/>
                      <w:highlight w:val="none"/>
                      <w:lang w:bidi="ar"/>
                    </w:rPr>
                  </w:pPr>
                  <w:r>
                    <w:rPr>
                      <w:rFonts w:hint="eastAsia"/>
                      <w:bCs/>
                      <w:color w:val="auto"/>
                      <w:kern w:val="0"/>
                      <w:szCs w:val="21"/>
                      <w:highlight w:val="none"/>
                      <w:lang w:bidi="ar"/>
                    </w:rPr>
                    <w:t>万个</w:t>
                  </w:r>
                </w:p>
              </w:tc>
              <w:tc>
                <w:tcPr>
                  <w:tcW w:w="1665" w:type="pct"/>
                  <w:tcBorders>
                    <w:right w:val="nil"/>
                  </w:tcBorders>
                  <w:vAlign w:val="center"/>
                </w:tcPr>
                <w:p w14:paraId="5C269C7F">
                  <w:pPr>
                    <w:widowControl/>
                    <w:jc w:val="center"/>
                    <w:textAlignment w:val="center"/>
                    <w:rPr>
                      <w:bCs/>
                      <w:color w:val="auto"/>
                      <w:kern w:val="0"/>
                      <w:szCs w:val="21"/>
                      <w:highlight w:val="none"/>
                      <w:lang w:bidi="ar"/>
                    </w:rPr>
                  </w:pPr>
                  <w:r>
                    <w:rPr>
                      <w:bCs/>
                      <w:color w:val="auto"/>
                      <w:kern w:val="0"/>
                      <w:szCs w:val="21"/>
                      <w:highlight w:val="none"/>
                      <w:lang w:bidi="ar"/>
                    </w:rPr>
                    <w:t xml:space="preserve">26.79 </w:t>
                  </w:r>
                </w:p>
              </w:tc>
            </w:tr>
            <w:tr w14:paraId="1756CA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6E560D96">
                  <w:pPr>
                    <w:widowControl/>
                    <w:jc w:val="center"/>
                    <w:textAlignment w:val="center"/>
                    <w:rPr>
                      <w:rFonts w:hint="eastAsia" w:eastAsia="宋体"/>
                      <w:bCs/>
                      <w:color w:val="auto"/>
                      <w:kern w:val="0"/>
                      <w:szCs w:val="21"/>
                      <w:highlight w:val="none"/>
                      <w:lang w:eastAsia="zh-CN" w:bidi="ar"/>
                    </w:rPr>
                  </w:pPr>
                  <w:r>
                    <w:rPr>
                      <w:rFonts w:hint="eastAsia"/>
                      <w:bCs/>
                      <w:color w:val="auto"/>
                      <w:kern w:val="0"/>
                      <w:szCs w:val="21"/>
                      <w:highlight w:val="none"/>
                      <w:lang w:eastAsia="zh-CN" w:bidi="ar"/>
                    </w:rPr>
                    <w:t>石蜡</w:t>
                  </w:r>
                </w:p>
              </w:tc>
              <w:tc>
                <w:tcPr>
                  <w:tcW w:w="839" w:type="pct"/>
                  <w:vAlign w:val="center"/>
                </w:tcPr>
                <w:p w14:paraId="13660DB5">
                  <w:pPr>
                    <w:widowControl/>
                    <w:jc w:val="center"/>
                    <w:textAlignment w:val="center"/>
                    <w:rPr>
                      <w:rFonts w:hint="eastAsia"/>
                      <w:bCs/>
                      <w:color w:val="auto"/>
                      <w:kern w:val="0"/>
                      <w:szCs w:val="21"/>
                      <w:highlight w:val="none"/>
                      <w:lang w:bidi="ar"/>
                    </w:rPr>
                  </w:pPr>
                  <w:r>
                    <w:rPr>
                      <w:rFonts w:hint="eastAsia"/>
                      <w:bCs/>
                      <w:color w:val="auto"/>
                      <w:kern w:val="0"/>
                      <w:szCs w:val="21"/>
                      <w:highlight w:val="none"/>
                      <w:lang w:bidi="ar"/>
                    </w:rPr>
                    <w:t>吨</w:t>
                  </w:r>
                </w:p>
              </w:tc>
              <w:tc>
                <w:tcPr>
                  <w:tcW w:w="1665" w:type="pct"/>
                  <w:tcBorders>
                    <w:right w:val="nil"/>
                  </w:tcBorders>
                  <w:vAlign w:val="center"/>
                </w:tcPr>
                <w:p w14:paraId="08F5A6E4">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18</w:t>
                  </w:r>
                </w:p>
              </w:tc>
            </w:tr>
            <w:tr w14:paraId="19CB52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1817E8F4">
                  <w:pPr>
                    <w:widowControl/>
                    <w:jc w:val="center"/>
                    <w:textAlignment w:val="center"/>
                    <w:rPr>
                      <w:bCs/>
                      <w:color w:val="auto"/>
                      <w:kern w:val="0"/>
                      <w:szCs w:val="21"/>
                      <w:highlight w:val="none"/>
                      <w:lang w:bidi="ar"/>
                    </w:rPr>
                  </w:pPr>
                  <w:r>
                    <w:rPr>
                      <w:rFonts w:hint="eastAsia"/>
                      <w:bCs/>
                      <w:color w:val="auto"/>
                      <w:kern w:val="0"/>
                      <w:szCs w:val="21"/>
                      <w:highlight w:val="none"/>
                      <w:lang w:bidi="ar"/>
                    </w:rPr>
                    <w:t>2.5 升塑料桶</w:t>
                  </w:r>
                </w:p>
              </w:tc>
              <w:tc>
                <w:tcPr>
                  <w:tcW w:w="839" w:type="pct"/>
                  <w:vAlign w:val="center"/>
                </w:tcPr>
                <w:p w14:paraId="305D53EF">
                  <w:pPr>
                    <w:widowControl/>
                    <w:jc w:val="center"/>
                    <w:textAlignment w:val="center"/>
                    <w:rPr>
                      <w:bCs/>
                      <w:color w:val="auto"/>
                      <w:kern w:val="0"/>
                      <w:szCs w:val="21"/>
                      <w:highlight w:val="none"/>
                      <w:lang w:bidi="ar"/>
                    </w:rPr>
                  </w:pPr>
                  <w:r>
                    <w:rPr>
                      <w:rFonts w:hint="eastAsia"/>
                      <w:bCs/>
                      <w:color w:val="auto"/>
                      <w:kern w:val="0"/>
                      <w:szCs w:val="21"/>
                      <w:highlight w:val="none"/>
                      <w:lang w:bidi="ar"/>
                    </w:rPr>
                    <w:t>万个</w:t>
                  </w:r>
                </w:p>
              </w:tc>
              <w:tc>
                <w:tcPr>
                  <w:tcW w:w="1665" w:type="pct"/>
                  <w:tcBorders>
                    <w:right w:val="nil"/>
                  </w:tcBorders>
                  <w:vAlign w:val="center"/>
                </w:tcPr>
                <w:p w14:paraId="1231BEE9">
                  <w:pPr>
                    <w:widowControl/>
                    <w:jc w:val="center"/>
                    <w:textAlignment w:val="center"/>
                    <w:rPr>
                      <w:bCs/>
                      <w:color w:val="auto"/>
                      <w:kern w:val="0"/>
                      <w:szCs w:val="21"/>
                      <w:highlight w:val="none"/>
                      <w:lang w:bidi="ar"/>
                    </w:rPr>
                  </w:pPr>
                  <w:r>
                    <w:rPr>
                      <w:bCs/>
                      <w:color w:val="auto"/>
                      <w:kern w:val="0"/>
                      <w:szCs w:val="21"/>
                      <w:highlight w:val="none"/>
                      <w:lang w:bidi="ar"/>
                    </w:rPr>
                    <w:t xml:space="preserve">107.14 </w:t>
                  </w:r>
                </w:p>
              </w:tc>
            </w:tr>
            <w:tr w14:paraId="0F5DDB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578237A9">
                  <w:pPr>
                    <w:widowControl/>
                    <w:jc w:val="center"/>
                    <w:textAlignment w:val="center"/>
                    <w:rPr>
                      <w:rFonts w:hint="default" w:eastAsia="宋体"/>
                      <w:bCs/>
                      <w:color w:val="auto"/>
                      <w:kern w:val="0"/>
                      <w:szCs w:val="21"/>
                      <w:highlight w:val="none"/>
                      <w:lang w:val="en-US" w:eastAsia="zh-CN" w:bidi="ar"/>
                    </w:rPr>
                  </w:pPr>
                  <w:r>
                    <w:rPr>
                      <w:rFonts w:hint="eastAsia"/>
                      <w:bCs/>
                      <w:color w:val="auto"/>
                      <w:kern w:val="0"/>
                      <w:szCs w:val="21"/>
                      <w:highlight w:val="none"/>
                      <w:lang w:val="en-US" w:eastAsia="zh-CN" w:bidi="ar"/>
                    </w:rPr>
                    <w:t>燃料量</w:t>
                  </w:r>
                </w:p>
              </w:tc>
              <w:tc>
                <w:tcPr>
                  <w:tcW w:w="839" w:type="pct"/>
                  <w:vAlign w:val="center"/>
                </w:tcPr>
                <w:p w14:paraId="76833575">
                  <w:pPr>
                    <w:widowControl/>
                    <w:jc w:val="center"/>
                    <w:textAlignment w:val="center"/>
                    <w:rPr>
                      <w:rFonts w:hint="eastAsia" w:eastAsia="宋体"/>
                      <w:bCs/>
                      <w:color w:val="auto"/>
                      <w:kern w:val="0"/>
                      <w:szCs w:val="21"/>
                      <w:highlight w:val="none"/>
                      <w:lang w:val="en-US" w:eastAsia="zh-CN" w:bidi="ar"/>
                    </w:rPr>
                  </w:pPr>
                  <w:r>
                    <w:rPr>
                      <w:rFonts w:hint="eastAsia"/>
                      <w:bCs/>
                      <w:color w:val="auto"/>
                      <w:kern w:val="0"/>
                      <w:szCs w:val="21"/>
                      <w:highlight w:val="none"/>
                      <w:lang w:val="en-US" w:eastAsia="zh-CN" w:bidi="ar"/>
                    </w:rPr>
                    <w:t>t</w:t>
                  </w:r>
                </w:p>
              </w:tc>
              <w:tc>
                <w:tcPr>
                  <w:tcW w:w="1665" w:type="pct"/>
                  <w:tcBorders>
                    <w:right w:val="nil"/>
                  </w:tcBorders>
                  <w:vAlign w:val="center"/>
                </w:tcPr>
                <w:p w14:paraId="4074CA10">
                  <w:pPr>
                    <w:widowControl/>
                    <w:jc w:val="center"/>
                    <w:textAlignment w:val="center"/>
                    <w:rPr>
                      <w:bCs/>
                      <w:color w:val="auto"/>
                      <w:kern w:val="0"/>
                      <w:szCs w:val="21"/>
                      <w:highlight w:val="none"/>
                      <w:lang w:bidi="ar"/>
                    </w:rPr>
                  </w:pPr>
                  <w:r>
                    <w:rPr>
                      <w:rFonts w:hint="eastAsia"/>
                      <w:bCs/>
                      <w:color w:val="auto"/>
                      <w:kern w:val="0"/>
                      <w:szCs w:val="21"/>
                      <w:highlight w:val="none"/>
                      <w:lang w:val="en-US" w:eastAsia="zh-CN" w:bidi="ar"/>
                    </w:rPr>
                    <w:t>33226.68</w:t>
                  </w:r>
                </w:p>
              </w:tc>
            </w:tr>
            <w:tr w14:paraId="1395AC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179AB0F8">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石</w:t>
                  </w:r>
                  <w:r>
                    <w:rPr>
                      <w:rFonts w:hint="eastAsia" w:eastAsia="宋体"/>
                      <w:bCs/>
                      <w:color w:val="auto"/>
                      <w:kern w:val="0"/>
                      <w:szCs w:val="21"/>
                      <w:highlight w:val="none"/>
                      <w:lang w:val="en-US" w:eastAsia="zh-CN" w:bidi="ar"/>
                    </w:rPr>
                    <w:t>灰</w:t>
                  </w:r>
                </w:p>
              </w:tc>
              <w:tc>
                <w:tcPr>
                  <w:tcW w:w="839" w:type="pct"/>
                  <w:vAlign w:val="center"/>
                </w:tcPr>
                <w:p w14:paraId="60C1E830">
                  <w:pPr>
                    <w:widowControl/>
                    <w:jc w:val="center"/>
                    <w:textAlignment w:val="center"/>
                    <w:rPr>
                      <w:rFonts w:hint="eastAsia"/>
                      <w:bCs/>
                      <w:color w:val="auto"/>
                      <w:kern w:val="0"/>
                      <w:szCs w:val="21"/>
                      <w:highlight w:val="none"/>
                      <w:lang w:val="en-US" w:eastAsia="zh-CN" w:bidi="ar"/>
                    </w:rPr>
                  </w:pPr>
                  <w:r>
                    <w:rPr>
                      <w:rFonts w:hint="eastAsia"/>
                      <w:bCs/>
                      <w:color w:val="auto"/>
                      <w:kern w:val="0"/>
                      <w:szCs w:val="21"/>
                      <w:highlight w:val="none"/>
                      <w:lang w:val="en-US" w:eastAsia="zh-CN" w:bidi="ar"/>
                    </w:rPr>
                    <w:t>t</w:t>
                  </w:r>
                </w:p>
              </w:tc>
              <w:tc>
                <w:tcPr>
                  <w:tcW w:w="1665" w:type="pct"/>
                  <w:tcBorders>
                    <w:right w:val="nil"/>
                  </w:tcBorders>
                  <w:vAlign w:val="center"/>
                </w:tcPr>
                <w:p w14:paraId="635E057D">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20</w:t>
                  </w:r>
                </w:p>
              </w:tc>
            </w:tr>
            <w:tr w14:paraId="1B4DCB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221A3A97">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活性炭</w:t>
                  </w:r>
                </w:p>
              </w:tc>
              <w:tc>
                <w:tcPr>
                  <w:tcW w:w="839" w:type="pct"/>
                  <w:vAlign w:val="center"/>
                </w:tcPr>
                <w:p w14:paraId="18AC2128">
                  <w:pPr>
                    <w:widowControl/>
                    <w:jc w:val="center"/>
                    <w:textAlignment w:val="center"/>
                    <w:rPr>
                      <w:rFonts w:hint="eastAsia"/>
                      <w:bCs/>
                      <w:color w:val="auto"/>
                      <w:kern w:val="0"/>
                      <w:szCs w:val="21"/>
                      <w:highlight w:val="none"/>
                      <w:lang w:val="en-US" w:eastAsia="zh-CN" w:bidi="ar"/>
                    </w:rPr>
                  </w:pPr>
                  <w:r>
                    <w:rPr>
                      <w:rFonts w:hint="eastAsia"/>
                      <w:bCs/>
                      <w:color w:val="auto"/>
                      <w:kern w:val="0"/>
                      <w:szCs w:val="21"/>
                      <w:highlight w:val="none"/>
                      <w:lang w:val="en-US" w:eastAsia="zh-CN" w:bidi="ar"/>
                    </w:rPr>
                    <w:t>t</w:t>
                  </w:r>
                </w:p>
              </w:tc>
              <w:tc>
                <w:tcPr>
                  <w:tcW w:w="1665" w:type="pct"/>
                  <w:tcBorders>
                    <w:right w:val="nil"/>
                  </w:tcBorders>
                  <w:vAlign w:val="center"/>
                </w:tcPr>
                <w:p w14:paraId="5EA2F0C3">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0.5</w:t>
                  </w:r>
                </w:p>
              </w:tc>
            </w:tr>
            <w:tr w14:paraId="50E686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494" w:type="pct"/>
                  <w:tcBorders>
                    <w:left w:val="nil"/>
                  </w:tcBorders>
                  <w:vAlign w:val="center"/>
                </w:tcPr>
                <w:p w14:paraId="682728DE">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絮凝剂</w:t>
                  </w:r>
                </w:p>
              </w:tc>
              <w:tc>
                <w:tcPr>
                  <w:tcW w:w="839" w:type="pct"/>
                  <w:vAlign w:val="center"/>
                </w:tcPr>
                <w:p w14:paraId="44DB95E4">
                  <w:pPr>
                    <w:widowControl/>
                    <w:jc w:val="center"/>
                    <w:textAlignment w:val="center"/>
                    <w:rPr>
                      <w:rFonts w:hint="eastAsia"/>
                      <w:bCs/>
                      <w:color w:val="auto"/>
                      <w:kern w:val="0"/>
                      <w:szCs w:val="21"/>
                      <w:highlight w:val="none"/>
                      <w:lang w:val="en-US" w:eastAsia="zh-CN" w:bidi="ar"/>
                    </w:rPr>
                  </w:pPr>
                  <w:r>
                    <w:rPr>
                      <w:rFonts w:hint="eastAsia"/>
                      <w:bCs/>
                      <w:color w:val="auto"/>
                      <w:kern w:val="0"/>
                      <w:szCs w:val="21"/>
                      <w:highlight w:val="none"/>
                      <w:lang w:val="en-US" w:eastAsia="zh-CN" w:bidi="ar"/>
                    </w:rPr>
                    <w:t>t</w:t>
                  </w:r>
                </w:p>
              </w:tc>
              <w:tc>
                <w:tcPr>
                  <w:tcW w:w="1665" w:type="pct"/>
                  <w:tcBorders>
                    <w:right w:val="nil"/>
                  </w:tcBorders>
                  <w:vAlign w:val="center"/>
                </w:tcPr>
                <w:p w14:paraId="5BE84E6A">
                  <w:pPr>
                    <w:widowControl/>
                    <w:jc w:val="center"/>
                    <w:textAlignment w:val="center"/>
                    <w:rPr>
                      <w:rFonts w:hint="default"/>
                      <w:bCs/>
                      <w:color w:val="auto"/>
                      <w:kern w:val="0"/>
                      <w:szCs w:val="21"/>
                      <w:highlight w:val="none"/>
                      <w:lang w:val="en-US" w:eastAsia="zh-CN" w:bidi="ar"/>
                    </w:rPr>
                  </w:pPr>
                  <w:r>
                    <w:rPr>
                      <w:rFonts w:hint="eastAsia"/>
                      <w:bCs/>
                      <w:color w:val="auto"/>
                      <w:kern w:val="0"/>
                      <w:szCs w:val="21"/>
                      <w:highlight w:val="none"/>
                      <w:lang w:val="en-US" w:eastAsia="zh-CN" w:bidi="ar"/>
                    </w:rPr>
                    <w:t>0.5</w:t>
                  </w:r>
                </w:p>
              </w:tc>
            </w:tr>
          </w:tbl>
          <w:p w14:paraId="7E6DB7C3">
            <w:pPr>
              <w:bidi w:val="0"/>
              <w:jc w:val="center"/>
              <w:rPr>
                <w:rFonts w:hint="eastAsia" w:eastAsia="宋体"/>
                <w:color w:val="auto"/>
                <w:highlight w:val="none"/>
                <w:lang w:eastAsia="zh-CN"/>
              </w:rPr>
            </w:pP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1938020</wp:posOffset>
                      </wp:positionH>
                      <wp:positionV relativeFrom="paragraph">
                        <wp:posOffset>328930</wp:posOffset>
                      </wp:positionV>
                      <wp:extent cx="1169670" cy="298450"/>
                      <wp:effectExtent l="0" t="0" r="11430" b="6350"/>
                      <wp:wrapNone/>
                      <wp:docPr id="57" name="文本框 57"/>
                      <wp:cNvGraphicFramePr/>
                      <a:graphic xmlns:a="http://schemas.openxmlformats.org/drawingml/2006/main">
                        <a:graphicData uri="http://schemas.microsoft.com/office/word/2010/wordprocessingShape">
                          <wps:wsp>
                            <wps:cNvSpPr txBox="1"/>
                            <wps:spPr>
                              <a:xfrm>
                                <a:off x="0" y="0"/>
                                <a:ext cx="1169670" cy="298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CD58846">
                                  <w:pPr>
                                    <w:rPr>
                                      <w:rFonts w:hint="default" w:eastAsia="宋体"/>
                                      <w:lang w:val="en-US" w:eastAsia="zh-CN"/>
                                    </w:rPr>
                                  </w:pPr>
                                  <w:r>
                                    <w:rPr>
                                      <w:rFonts w:hint="eastAsia"/>
                                      <w:lang w:val="en-US" w:eastAsia="zh-CN"/>
                                    </w:rPr>
                                    <w:t>循环利用600t/h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6pt;margin-top:25.9pt;height:23.5pt;width:92.1pt;z-index:251687936;mso-width-relative:page;mso-height-relative:page;" fillcolor="#FFFFFF [3201]" filled="t" stroked="f" coordsize="21600,21600" o:gfxdata="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4yY4jVAAAACQEAAA8AAAAA&#10;AAAAAQAgAAAAIgAAAGRycy9kb3ducmV2LnhtbFBLAQIUABQAAAAIAIdO4kC/rxHHUAIAAJEEAAAO&#10;AAAAAAAAAAEAIAAAACQBAABkcnMvZTJvRG9jLnhtbFBLBQYAAAAABgAGAFkBAADmBQAAAAA=&#10;">
                      <v:fill on="t" focussize="0,0"/>
                      <v:stroke on="f" weight="0.5pt"/>
                      <v:imagedata o:title=""/>
                      <o:lock v:ext="edit" aspectratio="f"/>
                      <v:textbox>
                        <w:txbxContent>
                          <w:p w14:paraId="3CD58846">
                            <w:pPr>
                              <w:rPr>
                                <w:rFonts w:hint="default" w:eastAsia="宋体"/>
                                <w:lang w:val="en-US" w:eastAsia="zh-CN"/>
                              </w:rPr>
                            </w:pPr>
                            <w:r>
                              <w:rPr>
                                <w:rFonts w:hint="eastAsia"/>
                                <w:lang w:val="en-US" w:eastAsia="zh-CN"/>
                              </w:rPr>
                              <w:t>循环利用600t/h</w:t>
                            </w:r>
                          </w:p>
                        </w:txbxContent>
                      </v:textbox>
                    </v:shape>
                  </w:pict>
                </mc:Fallback>
              </mc:AlternateContent>
            </w:r>
            <w:r>
              <w:rPr>
                <w:color w:val="auto"/>
              </w:rPr>
              <w:drawing>
                <wp:inline distT="0" distB="0" distL="114300" distR="114300">
                  <wp:extent cx="5624195" cy="6824980"/>
                  <wp:effectExtent l="0" t="0" r="14605" b="1397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13"/>
                          <a:stretch>
                            <a:fillRect/>
                          </a:stretch>
                        </pic:blipFill>
                        <pic:spPr>
                          <a:xfrm>
                            <a:off x="0" y="0"/>
                            <a:ext cx="5624195" cy="6824980"/>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1064260</wp:posOffset>
                      </wp:positionH>
                      <wp:positionV relativeFrom="paragraph">
                        <wp:posOffset>1189990</wp:posOffset>
                      </wp:positionV>
                      <wp:extent cx="619125" cy="263525"/>
                      <wp:effectExtent l="0" t="0" r="9525" b="3175"/>
                      <wp:wrapNone/>
                      <wp:docPr id="56" name="文本框 56"/>
                      <wp:cNvGraphicFramePr/>
                      <a:graphic xmlns:a="http://schemas.openxmlformats.org/drawingml/2006/main">
                        <a:graphicData uri="http://schemas.microsoft.com/office/word/2010/wordprocessingShape">
                          <wps:wsp>
                            <wps:cNvSpPr txBox="1"/>
                            <wps:spPr>
                              <a:xfrm>
                                <a:off x="2275840" y="1922780"/>
                                <a:ext cx="619125" cy="2635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8F88585">
                                  <w:pPr>
                                    <w:rPr>
                                      <w:rFonts w:hint="default" w:eastAsia="宋体"/>
                                      <w:lang w:val="en-US" w:eastAsia="zh-CN"/>
                                    </w:rPr>
                                  </w:pPr>
                                  <w:r>
                                    <w:rPr>
                                      <w:rFonts w:hint="eastAsia"/>
                                      <w:lang w:val="en-US" w:eastAsia="zh-CN"/>
                                    </w:rPr>
                                    <w:t>600t/h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8pt;margin-top:93.7pt;height:20.75pt;width:48.75pt;z-index:251686912;mso-width-relative:page;mso-height-relative:page;" fillcolor="#FFFFFF [3201]" filled="t" stroked="f" coordsize="21600,21600" o:gfxdata="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WNOYTVAAAA&#10;CwEAAA8AAAAAAAAAAQAgAAAAIgAAAGRycy9kb3ducmV2LnhtbFBLAQIUABQAAAAIAIdO4kBrXw0F&#10;WQIAAJwEAAAOAAAAAAAAAAEAIAAAACQBAABkcnMvZTJvRG9jLnhtbFBLBQYAAAAABgAGAFkBAADv&#10;BQAAAAA=&#10;">
                      <v:fill on="t" focussize="0,0"/>
                      <v:stroke on="f" weight="0.5pt"/>
                      <v:imagedata o:title=""/>
                      <o:lock v:ext="edit" aspectratio="f"/>
                      <v:textbox>
                        <w:txbxContent>
                          <w:p w14:paraId="48F88585">
                            <w:pPr>
                              <w:rPr>
                                <w:rFonts w:hint="default" w:eastAsia="宋体"/>
                                <w:lang w:val="en-US" w:eastAsia="zh-CN"/>
                              </w:rPr>
                            </w:pPr>
                            <w:r>
                              <w:rPr>
                                <w:rFonts w:hint="eastAsia"/>
                                <w:lang w:val="en-US" w:eastAsia="zh-CN"/>
                              </w:rPr>
                              <w:t>600t/h</w:t>
                            </w:r>
                          </w:p>
                        </w:txbxContent>
                      </v:textbox>
                    </v:shape>
                  </w:pict>
                </mc:Fallback>
              </mc:AlternateContent>
            </w:r>
          </w:p>
          <w:p w14:paraId="58489A15">
            <w:pPr>
              <w:jc w:val="center"/>
              <w:rPr>
                <w:rFonts w:hint="default" w:eastAsia="黑体"/>
                <w:color w:val="auto"/>
                <w:sz w:val="24"/>
                <w:szCs w:val="18"/>
                <w:highlight w:val="none"/>
                <w:lang w:val="en-US" w:eastAsia="zh-CN"/>
              </w:rPr>
            </w:pPr>
            <w:r>
              <w:rPr>
                <w:rFonts w:hint="eastAsia" w:ascii="Times New Roman" w:hAnsi="Times New Roman" w:eastAsia="黑体" w:cs="Times New Roman"/>
                <w:color w:val="auto"/>
                <w:sz w:val="24"/>
                <w:szCs w:val="18"/>
                <w:highlight w:val="none"/>
                <w:lang w:val="en-US" w:eastAsia="zh-CN"/>
              </w:rPr>
              <w:t>图</w:t>
            </w:r>
            <w:r>
              <w:rPr>
                <w:rFonts w:hint="eastAsia" w:eastAsia="黑体"/>
                <w:color w:val="auto"/>
                <w:sz w:val="24"/>
                <w:szCs w:val="18"/>
                <w:highlight w:val="none"/>
                <w:lang w:val="en-US" w:eastAsia="zh-CN"/>
              </w:rPr>
              <w:t>2-1  水平衡图</w:t>
            </w:r>
          </w:p>
          <w:p w14:paraId="279F68F7">
            <w:pPr>
              <w:pStyle w:val="72"/>
              <w:spacing w:line="480" w:lineRule="exact"/>
              <w:rPr>
                <w:rFonts w:cs="宋体"/>
                <w:color w:val="auto"/>
                <w:szCs w:val="21"/>
                <w:highlight w:val="none"/>
              </w:rPr>
            </w:pPr>
            <w:r>
              <w:rPr>
                <w:rFonts w:hint="eastAsia" w:cs="宋体"/>
                <w:color w:val="auto"/>
                <w:szCs w:val="21"/>
                <w:highlight w:val="none"/>
              </w:rPr>
              <w:t>原辅材料理化性质：</w:t>
            </w:r>
          </w:p>
          <w:p w14:paraId="7252AE76">
            <w:pPr>
              <w:pStyle w:val="72"/>
              <w:spacing w:line="480" w:lineRule="exact"/>
              <w:rPr>
                <w:rFonts w:cs="宋体"/>
                <w:color w:val="auto"/>
                <w:szCs w:val="21"/>
                <w:highlight w:val="none"/>
              </w:rPr>
            </w:pPr>
            <w:r>
              <w:rPr>
                <w:rFonts w:hint="eastAsia" w:cs="宋体"/>
                <w:color w:val="auto"/>
                <w:szCs w:val="21"/>
                <w:highlight w:val="none"/>
              </w:rPr>
              <w:t>（1）本项目浸出容积采用工业己烷，其主要成分为正己烷。正己烷是良好的有机溶剂，属于低毒物质，其理化特性如下。</w:t>
            </w:r>
          </w:p>
          <w:p w14:paraId="052DDAD6">
            <w:pPr>
              <w:pStyle w:val="95"/>
              <w:ind w:firstLine="0"/>
              <w:rPr>
                <w:color w:val="auto"/>
                <w:highlight w:val="none"/>
              </w:rPr>
            </w:pPr>
            <w:r>
              <w:rPr>
                <w:rFonts w:hint="eastAsia"/>
                <w:color w:val="auto"/>
                <w:highlight w:val="none"/>
              </w:rPr>
              <w:t>表2-5  正己烷的理化性质及危险特性</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520"/>
              <w:gridCol w:w="1580"/>
              <w:gridCol w:w="1143"/>
              <w:gridCol w:w="210"/>
              <w:gridCol w:w="311"/>
              <w:gridCol w:w="1018"/>
              <w:gridCol w:w="269"/>
              <w:gridCol w:w="734"/>
              <w:gridCol w:w="222"/>
              <w:gridCol w:w="1271"/>
              <w:gridCol w:w="640"/>
              <w:gridCol w:w="945"/>
            </w:tblGrid>
            <w:tr w14:paraId="72AEAE9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restart"/>
                  <w:tcBorders>
                    <w:tl2br w:val="nil"/>
                    <w:tr2bl w:val="nil"/>
                  </w:tcBorders>
                  <w:vAlign w:val="center"/>
                </w:tcPr>
                <w:p w14:paraId="0995C18B">
                  <w:pPr>
                    <w:pStyle w:val="109"/>
                    <w:ind w:left="13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标识</w:t>
                  </w:r>
                </w:p>
              </w:tc>
              <w:tc>
                <w:tcPr>
                  <w:tcW w:w="5517" w:type="dxa"/>
                  <w:gridSpan w:val="8"/>
                  <w:tcBorders>
                    <w:tl2br w:val="nil"/>
                    <w:tr2bl w:val="nil"/>
                  </w:tcBorders>
                  <w:vAlign w:val="center"/>
                </w:tcPr>
                <w:p w14:paraId="02BC8D63">
                  <w:pPr>
                    <w:pStyle w:val="109"/>
                    <w:ind w:left="107"/>
                    <w:jc w:val="both"/>
                    <w:rPr>
                      <w:rFonts w:ascii="Times New Roman" w:hAnsi="Times New Roman"/>
                      <w:color w:val="auto"/>
                      <w:sz w:val="21"/>
                      <w:szCs w:val="21"/>
                      <w:highlight w:val="none"/>
                    </w:rPr>
                  </w:pPr>
                  <w:r>
                    <w:rPr>
                      <w:rFonts w:ascii="Times New Roman" w:hAnsi="Times New Roman"/>
                      <w:color w:val="auto"/>
                      <w:sz w:val="21"/>
                      <w:szCs w:val="21"/>
                      <w:highlight w:val="none"/>
                    </w:rPr>
                    <w:t>中文名：</w:t>
                  </w:r>
                  <w:r>
                    <w:rPr>
                      <w:rFonts w:hint="eastAsia" w:ascii="Times New Roman" w:hAnsi="Times New Roman"/>
                      <w:color w:val="auto"/>
                      <w:sz w:val="21"/>
                      <w:szCs w:val="21"/>
                      <w:highlight w:val="none"/>
                      <w:lang w:eastAsia="zh-CN"/>
                    </w:rPr>
                    <w:t>正己烷</w:t>
                  </w:r>
                  <w:r>
                    <w:rPr>
                      <w:rFonts w:ascii="Times New Roman" w:hAnsi="Times New Roman"/>
                      <w:color w:val="auto"/>
                      <w:sz w:val="21"/>
                      <w:szCs w:val="21"/>
                      <w:highlight w:val="none"/>
                    </w:rPr>
                    <w:t>；</w:t>
                  </w:r>
                  <w:r>
                    <w:rPr>
                      <w:rFonts w:hint="eastAsia" w:ascii="Times New Roman" w:hAnsi="Times New Roman"/>
                      <w:color w:val="auto"/>
                      <w:sz w:val="21"/>
                      <w:szCs w:val="21"/>
                      <w:highlight w:val="none"/>
                    </w:rPr>
                    <w:t>己烷</w:t>
                  </w:r>
                </w:p>
              </w:tc>
              <w:tc>
                <w:tcPr>
                  <w:tcW w:w="2872" w:type="dxa"/>
                  <w:gridSpan w:val="3"/>
                  <w:tcBorders>
                    <w:tl2br w:val="nil"/>
                    <w:tr2bl w:val="nil"/>
                  </w:tcBorders>
                  <w:vAlign w:val="center"/>
                </w:tcPr>
                <w:p w14:paraId="2963CACB">
                  <w:pPr>
                    <w:pStyle w:val="109"/>
                    <w:ind w:left="111"/>
                    <w:jc w:val="both"/>
                    <w:rPr>
                      <w:rFonts w:ascii="Times New Roman" w:hAnsi="Times New Roman"/>
                      <w:color w:val="auto"/>
                      <w:sz w:val="21"/>
                      <w:szCs w:val="21"/>
                      <w:highlight w:val="none"/>
                      <w:lang w:eastAsia="zh-CN"/>
                    </w:rPr>
                  </w:pPr>
                  <w:r>
                    <w:rPr>
                      <w:rFonts w:ascii="Times New Roman" w:hAnsi="Times New Roman"/>
                      <w:color w:val="auto"/>
                      <w:sz w:val="21"/>
                      <w:szCs w:val="21"/>
                      <w:highlight w:val="none"/>
                    </w:rPr>
                    <w:t>危险货物编号：3</w:t>
                  </w:r>
                  <w:r>
                    <w:rPr>
                      <w:rFonts w:hint="eastAsia" w:ascii="Times New Roman" w:hAnsi="Times New Roman"/>
                      <w:color w:val="auto"/>
                      <w:sz w:val="21"/>
                      <w:szCs w:val="21"/>
                      <w:highlight w:val="none"/>
                      <w:lang w:eastAsia="zh-CN"/>
                    </w:rPr>
                    <w:t>1005</w:t>
                  </w:r>
                </w:p>
              </w:tc>
            </w:tr>
            <w:tr w14:paraId="75C34B6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4C705D7A">
                  <w:pPr>
                    <w:jc w:val="center"/>
                    <w:rPr>
                      <w:color w:val="auto"/>
                      <w:szCs w:val="21"/>
                      <w:highlight w:val="none"/>
                    </w:rPr>
                  </w:pPr>
                </w:p>
              </w:tc>
              <w:tc>
                <w:tcPr>
                  <w:tcW w:w="5517" w:type="dxa"/>
                  <w:gridSpan w:val="8"/>
                  <w:tcBorders>
                    <w:tl2br w:val="nil"/>
                    <w:tr2bl w:val="nil"/>
                  </w:tcBorders>
                  <w:vAlign w:val="center"/>
                </w:tcPr>
                <w:p w14:paraId="449186EC">
                  <w:pPr>
                    <w:pStyle w:val="109"/>
                    <w:ind w:left="107"/>
                    <w:jc w:val="both"/>
                    <w:rPr>
                      <w:rFonts w:ascii="Times New Roman" w:hAnsi="Times New Roman"/>
                      <w:color w:val="auto"/>
                      <w:sz w:val="21"/>
                      <w:szCs w:val="21"/>
                      <w:highlight w:val="none"/>
                    </w:rPr>
                  </w:pPr>
                  <w:r>
                    <w:rPr>
                      <w:rFonts w:ascii="Times New Roman" w:hAnsi="Times New Roman"/>
                      <w:color w:val="auto"/>
                      <w:sz w:val="21"/>
                      <w:szCs w:val="21"/>
                      <w:highlight w:val="none"/>
                    </w:rPr>
                    <w:t>英文名：</w:t>
                  </w:r>
                  <w:r>
                    <w:rPr>
                      <w:rFonts w:hint="eastAsia" w:ascii="Times New Roman" w:hAnsi="Times New Roman"/>
                      <w:color w:val="auto"/>
                      <w:sz w:val="21"/>
                      <w:szCs w:val="21"/>
                      <w:highlight w:val="none"/>
                    </w:rPr>
                    <w:t>n-Hexane;Hexyl hydride</w:t>
                  </w:r>
                </w:p>
              </w:tc>
              <w:tc>
                <w:tcPr>
                  <w:tcW w:w="2872" w:type="dxa"/>
                  <w:gridSpan w:val="3"/>
                  <w:tcBorders>
                    <w:tl2br w:val="nil"/>
                    <w:tr2bl w:val="nil"/>
                  </w:tcBorders>
                  <w:vAlign w:val="center"/>
                </w:tcPr>
                <w:p w14:paraId="6FD1ED08">
                  <w:pPr>
                    <w:pStyle w:val="109"/>
                    <w:ind w:left="111"/>
                    <w:jc w:val="both"/>
                    <w:rPr>
                      <w:rFonts w:ascii="Times New Roman" w:hAnsi="Times New Roman"/>
                      <w:color w:val="auto"/>
                      <w:sz w:val="21"/>
                      <w:szCs w:val="21"/>
                      <w:highlight w:val="none"/>
                      <w:lang w:eastAsia="zh-CN"/>
                    </w:rPr>
                  </w:pPr>
                  <w:r>
                    <w:rPr>
                      <w:rFonts w:ascii="Times New Roman" w:hAnsi="Times New Roman"/>
                      <w:color w:val="auto"/>
                      <w:sz w:val="21"/>
                      <w:szCs w:val="21"/>
                      <w:highlight w:val="none"/>
                    </w:rPr>
                    <w:t>UN编号：12</w:t>
                  </w:r>
                  <w:r>
                    <w:rPr>
                      <w:rFonts w:hint="eastAsia" w:ascii="Times New Roman" w:hAnsi="Times New Roman"/>
                      <w:color w:val="auto"/>
                      <w:sz w:val="21"/>
                      <w:szCs w:val="21"/>
                      <w:highlight w:val="none"/>
                      <w:lang w:eastAsia="zh-CN"/>
                    </w:rPr>
                    <w:t>08</w:t>
                  </w:r>
                </w:p>
              </w:tc>
            </w:tr>
            <w:tr w14:paraId="4046B3B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31E37BE5">
                  <w:pPr>
                    <w:jc w:val="center"/>
                    <w:rPr>
                      <w:color w:val="auto"/>
                      <w:szCs w:val="21"/>
                      <w:highlight w:val="none"/>
                    </w:rPr>
                  </w:pPr>
                </w:p>
              </w:tc>
              <w:tc>
                <w:tcPr>
                  <w:tcW w:w="2949" w:type="dxa"/>
                  <w:gridSpan w:val="3"/>
                  <w:tcBorders>
                    <w:tl2br w:val="nil"/>
                    <w:tr2bl w:val="nil"/>
                  </w:tcBorders>
                  <w:vAlign w:val="center"/>
                </w:tcPr>
                <w:p w14:paraId="4CACEB00">
                  <w:pPr>
                    <w:pStyle w:val="109"/>
                    <w:ind w:left="107"/>
                    <w:jc w:val="both"/>
                    <w:rPr>
                      <w:rFonts w:ascii="Times New Roman" w:hAnsi="Times New Roman"/>
                      <w:color w:val="auto"/>
                      <w:sz w:val="21"/>
                      <w:szCs w:val="21"/>
                      <w:highlight w:val="none"/>
                    </w:rPr>
                  </w:pPr>
                  <w:r>
                    <w:rPr>
                      <w:rFonts w:ascii="Times New Roman" w:hAnsi="Times New Roman"/>
                      <w:color w:val="auto"/>
                      <w:sz w:val="21"/>
                      <w:szCs w:val="21"/>
                      <w:highlight w:val="none"/>
                    </w:rPr>
                    <w:t>分子式：</w:t>
                  </w:r>
                  <w:r>
                    <w:rPr>
                      <w:rFonts w:hint="eastAsia" w:ascii="Times New Roman" w:hAnsi="Times New Roman"/>
                      <w:color w:val="auto"/>
                      <w:sz w:val="21"/>
                      <w:szCs w:val="21"/>
                      <w:highlight w:val="none"/>
                    </w:rPr>
                    <w:t>C</w:t>
                  </w:r>
                  <w:r>
                    <w:rPr>
                      <w:rFonts w:hint="eastAsia" w:ascii="Times New Roman" w:hAnsi="Times New Roman"/>
                      <w:color w:val="auto"/>
                      <w:sz w:val="21"/>
                      <w:szCs w:val="21"/>
                      <w:highlight w:val="none"/>
                      <w:vertAlign w:val="subscript"/>
                    </w:rPr>
                    <w:t>6</w:t>
                  </w:r>
                  <w:r>
                    <w:rPr>
                      <w:rFonts w:hint="eastAsia" w:ascii="Times New Roman" w:hAnsi="Times New Roman"/>
                      <w:color w:val="auto"/>
                      <w:sz w:val="21"/>
                      <w:szCs w:val="21"/>
                      <w:highlight w:val="none"/>
                    </w:rPr>
                    <w:t>H</w:t>
                  </w:r>
                  <w:r>
                    <w:rPr>
                      <w:rFonts w:hint="eastAsia" w:ascii="Times New Roman" w:hAnsi="Times New Roman"/>
                      <w:color w:val="auto"/>
                      <w:sz w:val="21"/>
                      <w:szCs w:val="21"/>
                      <w:highlight w:val="none"/>
                      <w:vertAlign w:val="subscript"/>
                    </w:rPr>
                    <w:t>14</w:t>
                  </w:r>
                </w:p>
              </w:tc>
              <w:tc>
                <w:tcPr>
                  <w:tcW w:w="2568" w:type="dxa"/>
                  <w:gridSpan w:val="5"/>
                  <w:tcBorders>
                    <w:tl2br w:val="nil"/>
                    <w:tr2bl w:val="nil"/>
                  </w:tcBorders>
                  <w:vAlign w:val="center"/>
                </w:tcPr>
                <w:p w14:paraId="2FEEE6F8">
                  <w:pPr>
                    <w:pStyle w:val="109"/>
                    <w:ind w:left="107"/>
                    <w:jc w:val="both"/>
                    <w:rPr>
                      <w:rFonts w:ascii="Times New Roman" w:hAnsi="Times New Roman"/>
                      <w:color w:val="auto"/>
                      <w:sz w:val="21"/>
                      <w:szCs w:val="21"/>
                      <w:highlight w:val="none"/>
                      <w:lang w:eastAsia="zh-CN"/>
                    </w:rPr>
                  </w:pPr>
                  <w:r>
                    <w:rPr>
                      <w:rFonts w:ascii="Times New Roman" w:hAnsi="Times New Roman"/>
                      <w:color w:val="auto"/>
                      <w:sz w:val="21"/>
                      <w:szCs w:val="21"/>
                      <w:highlight w:val="none"/>
                    </w:rPr>
                    <w:t>分子量：</w:t>
                  </w:r>
                  <w:r>
                    <w:rPr>
                      <w:rFonts w:hint="eastAsia" w:ascii="Times New Roman" w:hAnsi="Times New Roman"/>
                      <w:color w:val="auto"/>
                      <w:sz w:val="21"/>
                      <w:szCs w:val="21"/>
                      <w:highlight w:val="none"/>
                      <w:lang w:eastAsia="zh-CN"/>
                    </w:rPr>
                    <w:t>86.18</w:t>
                  </w:r>
                </w:p>
              </w:tc>
              <w:tc>
                <w:tcPr>
                  <w:tcW w:w="2872" w:type="dxa"/>
                  <w:gridSpan w:val="3"/>
                  <w:tcBorders>
                    <w:tl2br w:val="nil"/>
                    <w:tr2bl w:val="nil"/>
                  </w:tcBorders>
                  <w:vAlign w:val="center"/>
                </w:tcPr>
                <w:p w14:paraId="4657CD8E">
                  <w:pPr>
                    <w:pStyle w:val="109"/>
                    <w:ind w:left="111"/>
                    <w:jc w:val="both"/>
                    <w:rPr>
                      <w:rFonts w:ascii="Times New Roman" w:hAnsi="Times New Roman"/>
                      <w:color w:val="auto"/>
                      <w:sz w:val="21"/>
                      <w:szCs w:val="21"/>
                      <w:highlight w:val="none"/>
                    </w:rPr>
                  </w:pPr>
                  <w:r>
                    <w:rPr>
                      <w:rFonts w:ascii="Times New Roman" w:hAnsi="Times New Roman"/>
                      <w:color w:val="auto"/>
                      <w:sz w:val="21"/>
                      <w:szCs w:val="21"/>
                      <w:highlight w:val="none"/>
                    </w:rPr>
                    <w:t>CAS号：</w:t>
                  </w:r>
                  <w:r>
                    <w:rPr>
                      <w:rFonts w:hint="eastAsia" w:ascii="Times New Roman" w:hAnsi="Times New Roman"/>
                      <w:color w:val="auto"/>
                      <w:sz w:val="21"/>
                      <w:szCs w:val="21"/>
                      <w:highlight w:val="none"/>
                    </w:rPr>
                    <w:t>110-54-3</w:t>
                  </w:r>
                </w:p>
              </w:tc>
            </w:tr>
            <w:tr w14:paraId="30C1892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restart"/>
                  <w:tcBorders>
                    <w:tl2br w:val="nil"/>
                    <w:tr2bl w:val="nil"/>
                  </w:tcBorders>
                  <w:vAlign w:val="center"/>
                </w:tcPr>
                <w:p w14:paraId="7310C0E8">
                  <w:pPr>
                    <w:pStyle w:val="109"/>
                    <w:spacing w:before="1"/>
                    <w:ind w:left="13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理化性质</w:t>
                  </w:r>
                </w:p>
              </w:tc>
              <w:tc>
                <w:tcPr>
                  <w:tcW w:w="1589" w:type="dxa"/>
                  <w:tcBorders>
                    <w:tl2br w:val="nil"/>
                    <w:tr2bl w:val="nil"/>
                  </w:tcBorders>
                  <w:vAlign w:val="center"/>
                </w:tcPr>
                <w:p w14:paraId="50A38CA5">
                  <w:pPr>
                    <w:pStyle w:val="109"/>
                    <w:ind w:left="185" w:right="83" w:hanging="184" w:hangingChars="88"/>
                    <w:jc w:val="center"/>
                    <w:rPr>
                      <w:rFonts w:ascii="Times New Roman" w:hAnsi="Times New Roman"/>
                      <w:color w:val="auto"/>
                      <w:sz w:val="21"/>
                      <w:szCs w:val="21"/>
                      <w:highlight w:val="none"/>
                    </w:rPr>
                  </w:pPr>
                  <w:r>
                    <w:rPr>
                      <w:rFonts w:ascii="Times New Roman" w:hAnsi="Times New Roman"/>
                      <w:color w:val="auto"/>
                      <w:sz w:val="21"/>
                      <w:szCs w:val="21"/>
                      <w:highlight w:val="none"/>
                    </w:rPr>
                    <w:t>外观与性状</w:t>
                  </w:r>
                </w:p>
              </w:tc>
              <w:tc>
                <w:tcPr>
                  <w:tcW w:w="6800" w:type="dxa"/>
                  <w:gridSpan w:val="10"/>
                  <w:tcBorders>
                    <w:tl2br w:val="nil"/>
                    <w:tr2bl w:val="nil"/>
                  </w:tcBorders>
                  <w:vAlign w:val="center"/>
                </w:tcPr>
                <w:p w14:paraId="5C7024BD">
                  <w:pPr>
                    <w:pStyle w:val="109"/>
                    <w:ind w:left="109"/>
                    <w:jc w:val="both"/>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无色具汽油味，有挥发性的液体</w:t>
                  </w:r>
                </w:p>
              </w:tc>
            </w:tr>
            <w:tr w14:paraId="61D7A74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6F0BCA84">
                  <w:pPr>
                    <w:jc w:val="center"/>
                    <w:rPr>
                      <w:color w:val="auto"/>
                      <w:szCs w:val="21"/>
                      <w:highlight w:val="none"/>
                    </w:rPr>
                  </w:pPr>
                </w:p>
              </w:tc>
              <w:tc>
                <w:tcPr>
                  <w:tcW w:w="1589" w:type="dxa"/>
                  <w:tcBorders>
                    <w:tl2br w:val="nil"/>
                    <w:tr2bl w:val="nil"/>
                  </w:tcBorders>
                  <w:vAlign w:val="center"/>
                </w:tcPr>
                <w:p w14:paraId="569E86E4">
                  <w:pPr>
                    <w:pStyle w:val="109"/>
                    <w:ind w:left="185" w:right="83" w:hanging="184" w:hangingChars="88"/>
                    <w:jc w:val="center"/>
                    <w:rPr>
                      <w:rFonts w:ascii="Times New Roman" w:hAnsi="Times New Roman"/>
                      <w:color w:val="auto"/>
                      <w:sz w:val="21"/>
                      <w:szCs w:val="21"/>
                      <w:highlight w:val="none"/>
                    </w:rPr>
                  </w:pPr>
                  <w:r>
                    <w:rPr>
                      <w:rFonts w:ascii="Times New Roman" w:hAnsi="Times New Roman"/>
                      <w:color w:val="auto"/>
                      <w:sz w:val="21"/>
                      <w:szCs w:val="21"/>
                      <w:highlight w:val="none"/>
                    </w:rPr>
                    <w:t>熔点（℃）</w:t>
                  </w:r>
                </w:p>
              </w:tc>
              <w:tc>
                <w:tcPr>
                  <w:tcW w:w="1149" w:type="dxa"/>
                  <w:tcBorders>
                    <w:tl2br w:val="nil"/>
                    <w:tr2bl w:val="nil"/>
                  </w:tcBorders>
                  <w:vAlign w:val="center"/>
                </w:tcPr>
                <w:p w14:paraId="2DDCDCEC">
                  <w:pPr>
                    <w:pStyle w:val="109"/>
                    <w:ind w:right="75" w:rightChars="36"/>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rPr>
                    <w:t>-9</w:t>
                  </w:r>
                  <w:r>
                    <w:rPr>
                      <w:rFonts w:hint="eastAsia" w:ascii="Times New Roman" w:hAnsi="Times New Roman"/>
                      <w:color w:val="auto"/>
                      <w:sz w:val="21"/>
                      <w:szCs w:val="21"/>
                      <w:highlight w:val="none"/>
                      <w:lang w:eastAsia="zh-CN"/>
                    </w:rPr>
                    <w:t>5</w:t>
                  </w:r>
                </w:p>
              </w:tc>
              <w:tc>
                <w:tcPr>
                  <w:tcW w:w="1818" w:type="dxa"/>
                  <w:gridSpan w:val="4"/>
                  <w:tcBorders>
                    <w:tl2br w:val="nil"/>
                    <w:tr2bl w:val="nil"/>
                  </w:tcBorders>
                  <w:vAlign w:val="center"/>
                </w:tcPr>
                <w:p w14:paraId="45C8CB66">
                  <w:pPr>
                    <w:pStyle w:val="109"/>
                    <w:ind w:right="75" w:rightChars="36"/>
                    <w:jc w:val="center"/>
                    <w:rPr>
                      <w:rFonts w:ascii="Times New Roman" w:hAnsi="Times New Roman"/>
                      <w:color w:val="auto"/>
                      <w:sz w:val="21"/>
                      <w:szCs w:val="21"/>
                      <w:highlight w:val="none"/>
                    </w:rPr>
                  </w:pPr>
                  <w:r>
                    <w:rPr>
                      <w:rFonts w:ascii="Times New Roman" w:hAnsi="Times New Roman"/>
                      <w:color w:val="auto"/>
                      <w:sz w:val="21"/>
                      <w:szCs w:val="21"/>
                      <w:highlight w:val="none"/>
                    </w:rPr>
                    <w:t>相对密度(水=1)</w:t>
                  </w:r>
                </w:p>
              </w:tc>
              <w:tc>
                <w:tcPr>
                  <w:tcW w:w="961" w:type="dxa"/>
                  <w:gridSpan w:val="2"/>
                  <w:tcBorders>
                    <w:tl2br w:val="nil"/>
                    <w:tr2bl w:val="nil"/>
                  </w:tcBorders>
                  <w:vAlign w:val="center"/>
                </w:tcPr>
                <w:p w14:paraId="662E9930">
                  <w:pPr>
                    <w:pStyle w:val="109"/>
                    <w:ind w:right="90" w:rightChars="43"/>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rPr>
                    <w:t>0.</w:t>
                  </w:r>
                  <w:r>
                    <w:rPr>
                      <w:rFonts w:hint="eastAsia" w:ascii="Times New Roman" w:hAnsi="Times New Roman"/>
                      <w:color w:val="auto"/>
                      <w:sz w:val="21"/>
                      <w:szCs w:val="21"/>
                      <w:highlight w:val="none"/>
                      <w:lang w:eastAsia="zh-CN"/>
                    </w:rPr>
                    <w:t>659</w:t>
                  </w:r>
                </w:p>
              </w:tc>
              <w:tc>
                <w:tcPr>
                  <w:tcW w:w="1922" w:type="dxa"/>
                  <w:gridSpan w:val="2"/>
                  <w:tcBorders>
                    <w:tl2br w:val="nil"/>
                    <w:tr2bl w:val="nil"/>
                  </w:tcBorders>
                  <w:vAlign w:val="center"/>
                </w:tcPr>
                <w:p w14:paraId="799506BF">
                  <w:pPr>
                    <w:pStyle w:val="109"/>
                    <w:ind w:left="302" w:right="56" w:hanging="302" w:hangingChars="144"/>
                    <w:jc w:val="center"/>
                    <w:rPr>
                      <w:rFonts w:ascii="Times New Roman" w:hAnsi="Times New Roman"/>
                      <w:color w:val="auto"/>
                      <w:sz w:val="21"/>
                      <w:szCs w:val="21"/>
                      <w:highlight w:val="none"/>
                    </w:rPr>
                  </w:pPr>
                  <w:r>
                    <w:rPr>
                      <w:rFonts w:ascii="Times New Roman" w:hAnsi="Times New Roman"/>
                      <w:color w:val="auto"/>
                      <w:sz w:val="21"/>
                      <w:szCs w:val="21"/>
                      <w:highlight w:val="none"/>
                    </w:rPr>
                    <w:t>相对密度(空气=1)</w:t>
                  </w:r>
                </w:p>
              </w:tc>
              <w:tc>
                <w:tcPr>
                  <w:tcW w:w="950" w:type="dxa"/>
                  <w:tcBorders>
                    <w:tl2br w:val="nil"/>
                    <w:tr2bl w:val="nil"/>
                  </w:tcBorders>
                  <w:vAlign w:val="center"/>
                </w:tcPr>
                <w:p w14:paraId="5473273D">
                  <w:pPr>
                    <w:pStyle w:val="109"/>
                    <w:ind w:right="75" w:rightChars="36"/>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2.97</w:t>
                  </w:r>
                </w:p>
              </w:tc>
            </w:tr>
            <w:tr w14:paraId="38B235E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518C112B">
                  <w:pPr>
                    <w:jc w:val="center"/>
                    <w:rPr>
                      <w:color w:val="auto"/>
                      <w:szCs w:val="21"/>
                      <w:highlight w:val="none"/>
                    </w:rPr>
                  </w:pPr>
                </w:p>
              </w:tc>
              <w:tc>
                <w:tcPr>
                  <w:tcW w:w="1589" w:type="dxa"/>
                  <w:tcBorders>
                    <w:tl2br w:val="nil"/>
                    <w:tr2bl w:val="nil"/>
                  </w:tcBorders>
                  <w:vAlign w:val="center"/>
                </w:tcPr>
                <w:p w14:paraId="17DD3ABB">
                  <w:pPr>
                    <w:pStyle w:val="109"/>
                    <w:ind w:left="185" w:right="83" w:hanging="184" w:hangingChars="88"/>
                    <w:jc w:val="center"/>
                    <w:rPr>
                      <w:rFonts w:ascii="Times New Roman" w:hAnsi="Times New Roman"/>
                      <w:color w:val="auto"/>
                      <w:sz w:val="21"/>
                      <w:szCs w:val="21"/>
                      <w:highlight w:val="none"/>
                    </w:rPr>
                  </w:pPr>
                  <w:r>
                    <w:rPr>
                      <w:rFonts w:ascii="Times New Roman" w:hAnsi="Times New Roman"/>
                      <w:color w:val="auto"/>
                      <w:sz w:val="21"/>
                      <w:szCs w:val="21"/>
                      <w:highlight w:val="none"/>
                    </w:rPr>
                    <w:t>沸点（℃）</w:t>
                  </w:r>
                </w:p>
              </w:tc>
              <w:tc>
                <w:tcPr>
                  <w:tcW w:w="1149" w:type="dxa"/>
                  <w:tcBorders>
                    <w:tl2br w:val="nil"/>
                    <w:tr2bl w:val="nil"/>
                  </w:tcBorders>
                  <w:vAlign w:val="center"/>
                </w:tcPr>
                <w:p w14:paraId="1D6433C9">
                  <w:pPr>
                    <w:pStyle w:val="109"/>
                    <w:ind w:right="75" w:rightChars="36"/>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rPr>
                    <w:t>6</w:t>
                  </w:r>
                  <w:r>
                    <w:rPr>
                      <w:rFonts w:hint="eastAsia" w:ascii="Times New Roman" w:hAnsi="Times New Roman"/>
                      <w:color w:val="auto"/>
                      <w:sz w:val="21"/>
                      <w:szCs w:val="21"/>
                      <w:highlight w:val="none"/>
                      <w:lang w:eastAsia="zh-CN"/>
                    </w:rPr>
                    <w:t>8.95</w:t>
                  </w:r>
                </w:p>
              </w:tc>
              <w:tc>
                <w:tcPr>
                  <w:tcW w:w="2779" w:type="dxa"/>
                  <w:gridSpan w:val="6"/>
                  <w:tcBorders>
                    <w:tl2br w:val="nil"/>
                    <w:tr2bl w:val="nil"/>
                  </w:tcBorders>
                  <w:vAlign w:val="center"/>
                </w:tcPr>
                <w:p w14:paraId="31C81FFB">
                  <w:pPr>
                    <w:pStyle w:val="109"/>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饱和蒸气压（</w:t>
                  </w:r>
                  <w:r>
                    <w:rPr>
                      <w:rFonts w:hint="eastAsia" w:ascii="Times New Roman" w:hAnsi="Times New Roman"/>
                      <w:color w:val="auto"/>
                      <w:sz w:val="21"/>
                      <w:szCs w:val="21"/>
                      <w:highlight w:val="none"/>
                      <w:lang w:eastAsia="zh-CN"/>
                    </w:rPr>
                    <w:t>mm Hg</w:t>
                  </w:r>
                  <w:r>
                    <w:rPr>
                      <w:rFonts w:ascii="Times New Roman" w:hAnsi="Times New Roman"/>
                      <w:color w:val="auto"/>
                      <w:sz w:val="21"/>
                      <w:szCs w:val="21"/>
                      <w:highlight w:val="none"/>
                      <w:lang w:eastAsia="zh-CN"/>
                    </w:rPr>
                    <w:t>）</w:t>
                  </w:r>
                </w:p>
              </w:tc>
              <w:tc>
                <w:tcPr>
                  <w:tcW w:w="2872" w:type="dxa"/>
                  <w:gridSpan w:val="3"/>
                  <w:tcBorders>
                    <w:tl2br w:val="nil"/>
                    <w:tr2bl w:val="nil"/>
                  </w:tcBorders>
                  <w:vAlign w:val="center"/>
                </w:tcPr>
                <w:p w14:paraId="611802E2">
                  <w:pPr>
                    <w:pStyle w:val="109"/>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eastAsia="zh-CN"/>
                    </w:rPr>
                    <w:t>40</w:t>
                  </w:r>
                  <w:r>
                    <w:rPr>
                      <w:rFonts w:ascii="Times New Roman" w:hAnsi="Times New Roman"/>
                      <w:color w:val="auto"/>
                      <w:sz w:val="21"/>
                      <w:szCs w:val="21"/>
                      <w:highlight w:val="none"/>
                    </w:rPr>
                    <w:t>/2</w:t>
                  </w:r>
                  <w:r>
                    <w:rPr>
                      <w:rFonts w:hint="eastAsia" w:ascii="Times New Roman" w:hAnsi="Times New Roman"/>
                      <w:color w:val="auto"/>
                      <w:sz w:val="21"/>
                      <w:szCs w:val="21"/>
                      <w:highlight w:val="none"/>
                      <w:lang w:eastAsia="zh-CN"/>
                    </w:rPr>
                    <w:t>0</w:t>
                  </w:r>
                  <w:r>
                    <w:rPr>
                      <w:rFonts w:ascii="Times New Roman" w:hAnsi="Times New Roman"/>
                      <w:color w:val="auto"/>
                      <w:sz w:val="21"/>
                      <w:szCs w:val="21"/>
                      <w:highlight w:val="none"/>
                    </w:rPr>
                    <w:t>℃</w:t>
                  </w:r>
                </w:p>
              </w:tc>
            </w:tr>
            <w:tr w14:paraId="199908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7B85145C">
                  <w:pPr>
                    <w:jc w:val="center"/>
                    <w:rPr>
                      <w:color w:val="auto"/>
                      <w:szCs w:val="21"/>
                      <w:highlight w:val="none"/>
                    </w:rPr>
                  </w:pPr>
                </w:p>
              </w:tc>
              <w:tc>
                <w:tcPr>
                  <w:tcW w:w="1589" w:type="dxa"/>
                  <w:tcBorders>
                    <w:tl2br w:val="nil"/>
                    <w:tr2bl w:val="nil"/>
                  </w:tcBorders>
                  <w:vAlign w:val="center"/>
                </w:tcPr>
                <w:p w14:paraId="2EA6D044">
                  <w:pPr>
                    <w:pStyle w:val="109"/>
                    <w:ind w:left="185" w:right="83" w:hanging="184" w:hangingChars="88"/>
                    <w:jc w:val="center"/>
                    <w:rPr>
                      <w:rFonts w:ascii="Times New Roman" w:hAnsi="Times New Roman"/>
                      <w:color w:val="auto"/>
                      <w:sz w:val="21"/>
                      <w:szCs w:val="21"/>
                      <w:highlight w:val="none"/>
                    </w:rPr>
                  </w:pPr>
                  <w:r>
                    <w:rPr>
                      <w:rFonts w:ascii="Times New Roman" w:hAnsi="Times New Roman"/>
                      <w:color w:val="auto"/>
                      <w:sz w:val="21"/>
                      <w:szCs w:val="21"/>
                      <w:highlight w:val="none"/>
                    </w:rPr>
                    <w:t>溶解性</w:t>
                  </w:r>
                </w:p>
              </w:tc>
              <w:tc>
                <w:tcPr>
                  <w:tcW w:w="6800" w:type="dxa"/>
                  <w:gridSpan w:val="10"/>
                  <w:tcBorders>
                    <w:tl2br w:val="nil"/>
                    <w:tr2bl w:val="nil"/>
                  </w:tcBorders>
                  <w:vAlign w:val="center"/>
                </w:tcPr>
                <w:p w14:paraId="6EE2145F">
                  <w:pPr>
                    <w:pStyle w:val="109"/>
                    <w:ind w:left="109"/>
                    <w:jc w:val="both"/>
                    <w:rPr>
                      <w:rFonts w:ascii="Times New Roman" w:hAnsi="Times New Roman"/>
                      <w:color w:val="auto"/>
                      <w:sz w:val="21"/>
                      <w:szCs w:val="21"/>
                      <w:highlight w:val="none"/>
                    </w:rPr>
                  </w:pPr>
                  <w:r>
                    <w:rPr>
                      <w:rFonts w:hint="eastAsia" w:ascii="Times New Roman" w:hAnsi="Times New Roman"/>
                      <w:color w:val="auto"/>
                      <w:sz w:val="21"/>
                      <w:szCs w:val="21"/>
                      <w:highlight w:val="none"/>
                    </w:rPr>
                    <w:t>几乎不溶于水，易溶于氯仿、乙醚、乙醇</w:t>
                  </w:r>
                </w:p>
              </w:tc>
            </w:tr>
            <w:tr w14:paraId="45A7A30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restart"/>
                  <w:tcBorders>
                    <w:tl2br w:val="nil"/>
                    <w:tr2bl w:val="nil"/>
                  </w:tcBorders>
                  <w:vAlign w:val="center"/>
                </w:tcPr>
                <w:p w14:paraId="47008E80">
                  <w:pPr>
                    <w:pStyle w:val="109"/>
                    <w:ind w:left="13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毒性及健康危害</w:t>
                  </w:r>
                </w:p>
              </w:tc>
              <w:tc>
                <w:tcPr>
                  <w:tcW w:w="1589" w:type="dxa"/>
                  <w:tcBorders>
                    <w:tl2br w:val="nil"/>
                    <w:tr2bl w:val="nil"/>
                  </w:tcBorders>
                  <w:vAlign w:val="center"/>
                </w:tcPr>
                <w:p w14:paraId="1DC0E8EE">
                  <w:pPr>
                    <w:pStyle w:val="109"/>
                    <w:ind w:right="83"/>
                    <w:jc w:val="center"/>
                    <w:rPr>
                      <w:rFonts w:ascii="Times New Roman" w:hAnsi="Times New Roman"/>
                      <w:color w:val="auto"/>
                      <w:sz w:val="21"/>
                      <w:szCs w:val="21"/>
                      <w:highlight w:val="none"/>
                    </w:rPr>
                  </w:pPr>
                  <w:r>
                    <w:rPr>
                      <w:rFonts w:ascii="Times New Roman" w:hAnsi="Times New Roman"/>
                      <w:color w:val="auto"/>
                      <w:sz w:val="21"/>
                      <w:szCs w:val="21"/>
                      <w:highlight w:val="none"/>
                    </w:rPr>
                    <w:t>侵入途径</w:t>
                  </w:r>
                </w:p>
              </w:tc>
              <w:tc>
                <w:tcPr>
                  <w:tcW w:w="6800" w:type="dxa"/>
                  <w:gridSpan w:val="10"/>
                  <w:tcBorders>
                    <w:tl2br w:val="nil"/>
                    <w:tr2bl w:val="nil"/>
                  </w:tcBorders>
                  <w:vAlign w:val="center"/>
                </w:tcPr>
                <w:p w14:paraId="6B3F5E83">
                  <w:pPr>
                    <w:pStyle w:val="109"/>
                    <w:ind w:right="76"/>
                    <w:jc w:val="both"/>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吸入、食入、经皮吸收。</w:t>
                  </w:r>
                </w:p>
              </w:tc>
            </w:tr>
            <w:tr w14:paraId="494C79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77CF354A">
                  <w:pPr>
                    <w:jc w:val="center"/>
                    <w:rPr>
                      <w:color w:val="auto"/>
                      <w:szCs w:val="21"/>
                      <w:highlight w:val="none"/>
                    </w:rPr>
                  </w:pPr>
                </w:p>
              </w:tc>
              <w:tc>
                <w:tcPr>
                  <w:tcW w:w="1589" w:type="dxa"/>
                  <w:tcBorders>
                    <w:tl2br w:val="nil"/>
                    <w:tr2bl w:val="nil"/>
                  </w:tcBorders>
                  <w:vAlign w:val="center"/>
                </w:tcPr>
                <w:p w14:paraId="0255751E">
                  <w:pPr>
                    <w:pStyle w:val="109"/>
                    <w:jc w:val="center"/>
                    <w:rPr>
                      <w:rFonts w:ascii="Times New Roman" w:hAnsi="Times New Roman"/>
                      <w:color w:val="auto"/>
                      <w:sz w:val="21"/>
                      <w:szCs w:val="21"/>
                      <w:highlight w:val="none"/>
                    </w:rPr>
                  </w:pPr>
                  <w:r>
                    <w:rPr>
                      <w:rFonts w:ascii="Times New Roman" w:hAnsi="Times New Roman"/>
                      <w:color w:val="auto"/>
                      <w:sz w:val="21"/>
                      <w:szCs w:val="21"/>
                      <w:highlight w:val="none"/>
                    </w:rPr>
                    <w:t>毒性</w:t>
                  </w:r>
                </w:p>
              </w:tc>
              <w:tc>
                <w:tcPr>
                  <w:tcW w:w="6800" w:type="dxa"/>
                  <w:gridSpan w:val="10"/>
                  <w:tcBorders>
                    <w:tl2br w:val="nil"/>
                    <w:tr2bl w:val="nil"/>
                  </w:tcBorders>
                </w:tcPr>
                <w:p w14:paraId="6C00A136">
                  <w:pPr>
                    <w:pStyle w:val="109"/>
                    <w:ind w:right="76"/>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LD</w:t>
                  </w:r>
                  <w:r>
                    <w:rPr>
                      <w:rFonts w:hint="eastAsia" w:ascii="Times New Roman" w:hAnsi="Times New Roman"/>
                      <w:color w:val="auto"/>
                      <w:sz w:val="21"/>
                      <w:szCs w:val="21"/>
                      <w:highlight w:val="none"/>
                      <w:vertAlign w:val="subscript"/>
                      <w:lang w:eastAsia="zh-CN"/>
                    </w:rPr>
                    <w:t>50</w:t>
                  </w:r>
                  <w:r>
                    <w:rPr>
                      <w:rFonts w:hint="eastAsia" w:ascii="Times New Roman" w:hAnsi="Times New Roman"/>
                      <w:color w:val="auto"/>
                      <w:sz w:val="21"/>
                      <w:szCs w:val="21"/>
                      <w:highlight w:val="none"/>
                      <w:lang w:eastAsia="zh-CN"/>
                    </w:rPr>
                    <w:t>：28710mg/kg(大鼠经口)；人吸入12.5g/m</w:t>
                  </w:r>
                  <w:r>
                    <w:rPr>
                      <w:rFonts w:hint="eastAsia" w:ascii="Times New Roman" w:hAnsi="Times New Roman"/>
                      <w:color w:val="auto"/>
                      <w:sz w:val="21"/>
                      <w:szCs w:val="21"/>
                      <w:highlight w:val="none"/>
                      <w:vertAlign w:val="superscript"/>
                      <w:lang w:eastAsia="zh-CN"/>
                    </w:rPr>
                    <w:t>3</w:t>
                  </w:r>
                  <w:r>
                    <w:rPr>
                      <w:rFonts w:hint="eastAsia" w:ascii="Times New Roman" w:hAnsi="Times New Roman"/>
                      <w:color w:val="auto"/>
                      <w:sz w:val="21"/>
                      <w:szCs w:val="21"/>
                      <w:highlight w:val="none"/>
                      <w:lang w:eastAsia="zh-CN"/>
                    </w:rPr>
                    <w:t>，轻度中毒、头痛、恶心、眼和呼吸刺激症状。</w:t>
                  </w:r>
                </w:p>
              </w:tc>
            </w:tr>
            <w:tr w14:paraId="719A778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1502C4C7">
                  <w:pPr>
                    <w:jc w:val="center"/>
                    <w:rPr>
                      <w:color w:val="auto"/>
                      <w:szCs w:val="21"/>
                      <w:highlight w:val="none"/>
                    </w:rPr>
                  </w:pPr>
                </w:p>
              </w:tc>
              <w:tc>
                <w:tcPr>
                  <w:tcW w:w="1589" w:type="dxa"/>
                  <w:tcBorders>
                    <w:tl2br w:val="nil"/>
                    <w:tr2bl w:val="nil"/>
                  </w:tcBorders>
                  <w:vAlign w:val="center"/>
                </w:tcPr>
                <w:p w14:paraId="28BAC8AE">
                  <w:pPr>
                    <w:pStyle w:val="109"/>
                    <w:ind w:right="68"/>
                    <w:jc w:val="center"/>
                    <w:rPr>
                      <w:rFonts w:ascii="Times New Roman" w:hAnsi="Times New Roman"/>
                      <w:color w:val="auto"/>
                      <w:sz w:val="21"/>
                      <w:szCs w:val="21"/>
                      <w:highlight w:val="none"/>
                    </w:rPr>
                  </w:pPr>
                  <w:r>
                    <w:rPr>
                      <w:rFonts w:ascii="Times New Roman" w:hAnsi="Times New Roman"/>
                      <w:color w:val="auto"/>
                      <w:sz w:val="21"/>
                      <w:szCs w:val="21"/>
                      <w:highlight w:val="none"/>
                    </w:rPr>
                    <w:t>健康危害</w:t>
                  </w:r>
                </w:p>
              </w:tc>
              <w:tc>
                <w:tcPr>
                  <w:tcW w:w="6800" w:type="dxa"/>
                  <w:gridSpan w:val="10"/>
                  <w:tcBorders>
                    <w:tl2br w:val="nil"/>
                    <w:tr2bl w:val="nil"/>
                  </w:tcBorders>
                </w:tcPr>
                <w:p w14:paraId="3D16D70B">
                  <w:pPr>
                    <w:pStyle w:val="109"/>
                    <w:spacing w:before="4"/>
                    <w:ind w:right="76"/>
                    <w:rPr>
                      <w:rFonts w:ascii="Times New Roman" w:hAnsi="Times New Roman"/>
                      <w:color w:val="auto"/>
                      <w:sz w:val="21"/>
                      <w:szCs w:val="21"/>
                      <w:highlight w:val="none"/>
                    </w:rPr>
                  </w:pPr>
                  <w:r>
                    <w:rPr>
                      <w:rFonts w:hint="eastAsia" w:ascii="Times New Roman" w:hAnsi="Times New Roman"/>
                      <w:color w:val="auto"/>
                      <w:sz w:val="21"/>
                      <w:szCs w:val="21"/>
                      <w:highlight w:val="none"/>
                      <w:lang w:eastAsia="zh-CN"/>
                    </w:rPr>
                    <w:t>吸入或暴露超过500mg/kg可引起头痛。急性腹泻、脸发烧、手指和脚趾麻木与虚弱。暴露超过1300mg/kg还可引起恶心、鼻炎及咽喉炎。暴露超过Chemicalbook1500mg/kg除可引起上述症状外，还引起视力模糊、食欲减退和降低体重。如果停止暴露则大多数症状在几个月内消失。</w:t>
                  </w:r>
                  <w:r>
                    <w:rPr>
                      <w:rFonts w:hint="eastAsia" w:ascii="Times New Roman" w:hAnsi="Times New Roman"/>
                      <w:color w:val="auto"/>
                      <w:sz w:val="21"/>
                      <w:szCs w:val="21"/>
                      <w:highlight w:val="none"/>
                    </w:rPr>
                    <w:t>液体正己烷吸到肺部可引起肺炎。</w:t>
                  </w:r>
                </w:p>
              </w:tc>
            </w:tr>
            <w:tr w14:paraId="54F4942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vAlign w:val="center"/>
                </w:tcPr>
                <w:p w14:paraId="6C5CA489">
                  <w:pPr>
                    <w:jc w:val="center"/>
                    <w:rPr>
                      <w:color w:val="auto"/>
                      <w:szCs w:val="21"/>
                      <w:highlight w:val="none"/>
                    </w:rPr>
                  </w:pPr>
                </w:p>
              </w:tc>
              <w:tc>
                <w:tcPr>
                  <w:tcW w:w="1589" w:type="dxa"/>
                  <w:tcBorders>
                    <w:tl2br w:val="nil"/>
                    <w:tr2bl w:val="nil"/>
                  </w:tcBorders>
                  <w:vAlign w:val="center"/>
                </w:tcPr>
                <w:p w14:paraId="59E9BD9E">
                  <w:pPr>
                    <w:pStyle w:val="109"/>
                    <w:spacing w:before="1"/>
                    <w:ind w:right="68"/>
                    <w:jc w:val="center"/>
                    <w:rPr>
                      <w:rFonts w:ascii="Times New Roman" w:hAnsi="Times New Roman"/>
                      <w:color w:val="auto"/>
                      <w:sz w:val="21"/>
                      <w:szCs w:val="21"/>
                      <w:highlight w:val="none"/>
                    </w:rPr>
                  </w:pPr>
                  <w:r>
                    <w:rPr>
                      <w:rFonts w:ascii="Times New Roman" w:hAnsi="Times New Roman"/>
                      <w:color w:val="auto"/>
                      <w:sz w:val="21"/>
                      <w:szCs w:val="21"/>
                      <w:highlight w:val="none"/>
                    </w:rPr>
                    <w:t>急救方法</w:t>
                  </w:r>
                </w:p>
              </w:tc>
              <w:tc>
                <w:tcPr>
                  <w:tcW w:w="6800" w:type="dxa"/>
                  <w:gridSpan w:val="10"/>
                  <w:tcBorders>
                    <w:tl2br w:val="nil"/>
                    <w:tr2bl w:val="nil"/>
                  </w:tcBorders>
                </w:tcPr>
                <w:p w14:paraId="0F260155">
                  <w:pPr>
                    <w:pStyle w:val="109"/>
                    <w:spacing w:before="7"/>
                    <w:ind w:right="76"/>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皮肤接触：脱去被污染的衣着，用肥皂水和清水彻底冲洗皮肤。</w:t>
                  </w:r>
                </w:p>
                <w:p w14:paraId="6EDE5CD0">
                  <w:pPr>
                    <w:pStyle w:val="109"/>
                    <w:spacing w:before="7"/>
                    <w:ind w:right="76"/>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眼睛接触：提起眼睑，用流动清水或生理盐水冲洗。就医。</w:t>
                  </w:r>
                </w:p>
                <w:p w14:paraId="3AABB6C4">
                  <w:pPr>
                    <w:pStyle w:val="109"/>
                    <w:spacing w:before="7"/>
                    <w:ind w:right="76"/>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吸入：迅速脱离现场至空气新鲜处。保持呼吸道通畅。如呼吸困难，给输氧。如呼吸停止，立即进行人工呼吸。就医。</w:t>
                  </w:r>
                </w:p>
                <w:p w14:paraId="1BF652A9">
                  <w:pPr>
                    <w:pStyle w:val="109"/>
                    <w:spacing w:before="7"/>
                    <w:ind w:right="76"/>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食入：饮足量温水，催吐，就医。</w:t>
                  </w:r>
                </w:p>
              </w:tc>
            </w:tr>
            <w:tr w14:paraId="03E5437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restart"/>
                  <w:tcBorders>
                    <w:tl2br w:val="nil"/>
                    <w:tr2bl w:val="nil"/>
                  </w:tcBorders>
                  <w:vAlign w:val="center"/>
                </w:tcPr>
                <w:p w14:paraId="3B14FFFB">
                  <w:pPr>
                    <w:pStyle w:val="109"/>
                    <w:spacing w:before="97"/>
                    <w:ind w:left="13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燃烧爆炸危险性</w:t>
                  </w:r>
                </w:p>
              </w:tc>
              <w:tc>
                <w:tcPr>
                  <w:tcW w:w="1589" w:type="dxa"/>
                  <w:tcBorders>
                    <w:tl2br w:val="nil"/>
                    <w:tr2bl w:val="nil"/>
                  </w:tcBorders>
                  <w:vAlign w:val="center"/>
                </w:tcPr>
                <w:p w14:paraId="53755420">
                  <w:pPr>
                    <w:pStyle w:val="109"/>
                    <w:ind w:left="15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燃烧性</w:t>
                  </w:r>
                </w:p>
              </w:tc>
              <w:tc>
                <w:tcPr>
                  <w:tcW w:w="1673" w:type="dxa"/>
                  <w:gridSpan w:val="3"/>
                  <w:tcBorders>
                    <w:tl2br w:val="nil"/>
                    <w:tr2bl w:val="nil"/>
                  </w:tcBorders>
                  <w:vAlign w:val="center"/>
                </w:tcPr>
                <w:p w14:paraId="3C86DB6F">
                  <w:pPr>
                    <w:pStyle w:val="109"/>
                    <w:ind w:left="474" w:right="458"/>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极易燃</w:t>
                  </w:r>
                </w:p>
              </w:tc>
              <w:tc>
                <w:tcPr>
                  <w:tcW w:w="2032" w:type="dxa"/>
                  <w:gridSpan w:val="3"/>
                  <w:tcBorders>
                    <w:tl2br w:val="nil"/>
                    <w:tr2bl w:val="nil"/>
                  </w:tcBorders>
                  <w:vAlign w:val="center"/>
                </w:tcPr>
                <w:p w14:paraId="383D0617">
                  <w:pPr>
                    <w:pStyle w:val="109"/>
                    <w:ind w:right="60"/>
                    <w:jc w:val="center"/>
                    <w:rPr>
                      <w:rFonts w:ascii="Times New Roman" w:hAnsi="Times New Roman"/>
                      <w:color w:val="auto"/>
                      <w:sz w:val="21"/>
                      <w:szCs w:val="21"/>
                      <w:highlight w:val="none"/>
                    </w:rPr>
                  </w:pPr>
                  <w:r>
                    <w:rPr>
                      <w:rFonts w:ascii="Times New Roman" w:hAnsi="Times New Roman"/>
                      <w:color w:val="auto"/>
                      <w:sz w:val="21"/>
                      <w:szCs w:val="21"/>
                      <w:highlight w:val="none"/>
                    </w:rPr>
                    <w:t>燃烧分解物</w:t>
                  </w:r>
                </w:p>
              </w:tc>
              <w:tc>
                <w:tcPr>
                  <w:tcW w:w="3095" w:type="dxa"/>
                  <w:gridSpan w:val="4"/>
                  <w:tcBorders>
                    <w:tl2br w:val="nil"/>
                    <w:tr2bl w:val="nil"/>
                  </w:tcBorders>
                  <w:vAlign w:val="center"/>
                </w:tcPr>
                <w:p w14:paraId="14FB23FF">
                  <w:pPr>
                    <w:pStyle w:val="109"/>
                    <w:ind w:right="60"/>
                    <w:jc w:val="center"/>
                    <w:rPr>
                      <w:rFonts w:ascii="Times New Roman" w:hAnsi="Times New Roman"/>
                      <w:color w:val="auto"/>
                      <w:sz w:val="21"/>
                      <w:szCs w:val="21"/>
                      <w:highlight w:val="none"/>
                    </w:rPr>
                  </w:pPr>
                  <w:r>
                    <w:rPr>
                      <w:rFonts w:ascii="Times New Roman" w:hAnsi="Times New Roman"/>
                      <w:color w:val="auto"/>
                      <w:sz w:val="21"/>
                      <w:szCs w:val="21"/>
                      <w:highlight w:val="none"/>
                    </w:rPr>
                    <w:t>一氧化碳、二氧化碳。</w:t>
                  </w:r>
                </w:p>
              </w:tc>
            </w:tr>
            <w:tr w14:paraId="62B1279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27EA5D41">
                  <w:pPr>
                    <w:rPr>
                      <w:color w:val="auto"/>
                      <w:szCs w:val="21"/>
                      <w:highlight w:val="none"/>
                    </w:rPr>
                  </w:pPr>
                </w:p>
              </w:tc>
              <w:tc>
                <w:tcPr>
                  <w:tcW w:w="1589" w:type="dxa"/>
                  <w:tcBorders>
                    <w:tl2br w:val="nil"/>
                    <w:tr2bl w:val="nil"/>
                  </w:tcBorders>
                  <w:vAlign w:val="center"/>
                </w:tcPr>
                <w:p w14:paraId="2FAC6914">
                  <w:pPr>
                    <w:pStyle w:val="109"/>
                    <w:ind w:left="149"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闪点(℃)</w:t>
                  </w:r>
                </w:p>
              </w:tc>
              <w:tc>
                <w:tcPr>
                  <w:tcW w:w="1673" w:type="dxa"/>
                  <w:gridSpan w:val="3"/>
                  <w:tcBorders>
                    <w:tl2br w:val="nil"/>
                    <w:tr2bl w:val="nil"/>
                  </w:tcBorders>
                  <w:vAlign w:val="center"/>
                </w:tcPr>
                <w:p w14:paraId="497039CE">
                  <w:pPr>
                    <w:pStyle w:val="109"/>
                    <w:ind w:left="469" w:right="458"/>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-22</w:t>
                  </w:r>
                </w:p>
              </w:tc>
              <w:tc>
                <w:tcPr>
                  <w:tcW w:w="2032" w:type="dxa"/>
                  <w:gridSpan w:val="3"/>
                  <w:tcBorders>
                    <w:tl2br w:val="nil"/>
                    <w:tr2bl w:val="nil"/>
                  </w:tcBorders>
                  <w:vAlign w:val="center"/>
                </w:tcPr>
                <w:p w14:paraId="1C40BD22">
                  <w:pPr>
                    <w:pStyle w:val="109"/>
                    <w:ind w:right="60"/>
                    <w:jc w:val="center"/>
                    <w:rPr>
                      <w:rFonts w:ascii="Times New Roman" w:hAnsi="Times New Roman"/>
                      <w:color w:val="auto"/>
                      <w:sz w:val="21"/>
                      <w:szCs w:val="21"/>
                      <w:highlight w:val="none"/>
                    </w:rPr>
                  </w:pPr>
                  <w:r>
                    <w:rPr>
                      <w:rFonts w:ascii="Times New Roman" w:hAnsi="Times New Roman"/>
                      <w:color w:val="auto"/>
                      <w:sz w:val="21"/>
                      <w:szCs w:val="21"/>
                      <w:highlight w:val="none"/>
                    </w:rPr>
                    <w:t>爆炸上限（v%）</w:t>
                  </w:r>
                </w:p>
              </w:tc>
              <w:tc>
                <w:tcPr>
                  <w:tcW w:w="3095" w:type="dxa"/>
                  <w:gridSpan w:val="4"/>
                  <w:tcBorders>
                    <w:tl2br w:val="nil"/>
                    <w:tr2bl w:val="nil"/>
                  </w:tcBorders>
                  <w:vAlign w:val="center"/>
                </w:tcPr>
                <w:p w14:paraId="4B873B48">
                  <w:pPr>
                    <w:pStyle w:val="109"/>
                    <w:ind w:right="6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7.5</w:t>
                  </w:r>
                </w:p>
              </w:tc>
            </w:tr>
            <w:tr w14:paraId="0EB4C9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5E6AEAAE">
                  <w:pPr>
                    <w:rPr>
                      <w:color w:val="auto"/>
                      <w:szCs w:val="21"/>
                      <w:highlight w:val="none"/>
                    </w:rPr>
                  </w:pPr>
                </w:p>
              </w:tc>
              <w:tc>
                <w:tcPr>
                  <w:tcW w:w="1589" w:type="dxa"/>
                  <w:tcBorders>
                    <w:tl2br w:val="nil"/>
                    <w:tr2bl w:val="nil"/>
                  </w:tcBorders>
                  <w:vAlign w:val="center"/>
                </w:tcPr>
                <w:p w14:paraId="174A9BDC">
                  <w:pPr>
                    <w:pStyle w:val="109"/>
                    <w:ind w:left="149"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引燃温度(℃)</w:t>
                  </w:r>
                </w:p>
              </w:tc>
              <w:tc>
                <w:tcPr>
                  <w:tcW w:w="1673" w:type="dxa"/>
                  <w:gridSpan w:val="3"/>
                  <w:tcBorders>
                    <w:tl2br w:val="nil"/>
                    <w:tr2bl w:val="nil"/>
                  </w:tcBorders>
                  <w:vAlign w:val="center"/>
                </w:tcPr>
                <w:p w14:paraId="34DB75B1">
                  <w:pPr>
                    <w:pStyle w:val="109"/>
                    <w:ind w:left="474" w:right="458"/>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225</w:t>
                  </w:r>
                </w:p>
              </w:tc>
              <w:tc>
                <w:tcPr>
                  <w:tcW w:w="2032" w:type="dxa"/>
                  <w:gridSpan w:val="3"/>
                  <w:tcBorders>
                    <w:tl2br w:val="nil"/>
                    <w:tr2bl w:val="nil"/>
                  </w:tcBorders>
                  <w:vAlign w:val="center"/>
                </w:tcPr>
                <w:p w14:paraId="514C7CF7">
                  <w:pPr>
                    <w:pStyle w:val="109"/>
                    <w:ind w:right="60"/>
                    <w:jc w:val="center"/>
                    <w:rPr>
                      <w:rFonts w:ascii="Times New Roman" w:hAnsi="Times New Roman"/>
                      <w:color w:val="auto"/>
                      <w:sz w:val="21"/>
                      <w:szCs w:val="21"/>
                      <w:highlight w:val="none"/>
                    </w:rPr>
                  </w:pPr>
                  <w:r>
                    <w:rPr>
                      <w:rFonts w:ascii="Times New Roman" w:hAnsi="Times New Roman"/>
                      <w:color w:val="auto"/>
                      <w:sz w:val="21"/>
                      <w:szCs w:val="21"/>
                      <w:highlight w:val="none"/>
                    </w:rPr>
                    <w:t>爆炸下限（v%）</w:t>
                  </w:r>
                </w:p>
              </w:tc>
              <w:tc>
                <w:tcPr>
                  <w:tcW w:w="3095" w:type="dxa"/>
                  <w:gridSpan w:val="4"/>
                  <w:tcBorders>
                    <w:tl2br w:val="nil"/>
                    <w:tr2bl w:val="nil"/>
                  </w:tcBorders>
                  <w:vAlign w:val="center"/>
                </w:tcPr>
                <w:p w14:paraId="0BFBA350">
                  <w:pPr>
                    <w:pStyle w:val="109"/>
                    <w:ind w:right="60"/>
                    <w:jc w:val="center"/>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1.1</w:t>
                  </w:r>
                </w:p>
              </w:tc>
            </w:tr>
            <w:tr w14:paraId="53ABC1F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05FD02D9">
                  <w:pPr>
                    <w:rPr>
                      <w:color w:val="auto"/>
                      <w:szCs w:val="21"/>
                      <w:highlight w:val="none"/>
                    </w:rPr>
                  </w:pPr>
                </w:p>
              </w:tc>
              <w:tc>
                <w:tcPr>
                  <w:tcW w:w="1589" w:type="dxa"/>
                  <w:tcBorders>
                    <w:tl2br w:val="nil"/>
                    <w:tr2bl w:val="nil"/>
                  </w:tcBorders>
                  <w:vAlign w:val="center"/>
                </w:tcPr>
                <w:p w14:paraId="6D96DD0B">
                  <w:pPr>
                    <w:pStyle w:val="109"/>
                    <w:ind w:left="158" w:right="143"/>
                    <w:jc w:val="center"/>
                    <w:rPr>
                      <w:rFonts w:ascii="Times New Roman" w:hAnsi="Times New Roman"/>
                      <w:color w:val="auto"/>
                      <w:sz w:val="21"/>
                      <w:szCs w:val="21"/>
                      <w:highlight w:val="none"/>
                    </w:rPr>
                  </w:pPr>
                  <w:r>
                    <w:rPr>
                      <w:rFonts w:ascii="Times New Roman" w:hAnsi="Times New Roman"/>
                      <w:color w:val="auto"/>
                      <w:sz w:val="21"/>
                      <w:szCs w:val="21"/>
                      <w:highlight w:val="none"/>
                    </w:rPr>
                    <w:t>建规火险分级</w:t>
                  </w:r>
                </w:p>
              </w:tc>
              <w:tc>
                <w:tcPr>
                  <w:tcW w:w="1673" w:type="dxa"/>
                  <w:gridSpan w:val="3"/>
                  <w:tcBorders>
                    <w:tl2br w:val="nil"/>
                    <w:tr2bl w:val="nil"/>
                  </w:tcBorders>
                  <w:vAlign w:val="center"/>
                </w:tcPr>
                <w:p w14:paraId="75F36A92">
                  <w:pPr>
                    <w:pStyle w:val="109"/>
                    <w:jc w:val="center"/>
                    <w:rPr>
                      <w:rFonts w:ascii="Times New Roman" w:hAnsi="Times New Roman"/>
                      <w:color w:val="auto"/>
                      <w:sz w:val="21"/>
                      <w:szCs w:val="21"/>
                      <w:highlight w:val="none"/>
                    </w:rPr>
                  </w:pPr>
                  <w:r>
                    <w:rPr>
                      <w:rFonts w:ascii="Times New Roman" w:hAnsi="Times New Roman"/>
                      <w:color w:val="auto"/>
                      <w:sz w:val="21"/>
                      <w:szCs w:val="21"/>
                      <w:highlight w:val="none"/>
                    </w:rPr>
                    <w:t>甲</w:t>
                  </w:r>
                </w:p>
              </w:tc>
              <w:tc>
                <w:tcPr>
                  <w:tcW w:w="1024" w:type="dxa"/>
                  <w:tcBorders>
                    <w:tl2br w:val="nil"/>
                    <w:tr2bl w:val="nil"/>
                  </w:tcBorders>
                  <w:vAlign w:val="center"/>
                </w:tcPr>
                <w:p w14:paraId="2F820BA7">
                  <w:pPr>
                    <w:pStyle w:val="109"/>
                    <w:ind w:left="510" w:hanging="510" w:hangingChars="243"/>
                    <w:jc w:val="center"/>
                    <w:rPr>
                      <w:rFonts w:ascii="Times New Roman" w:hAnsi="Times New Roman"/>
                      <w:color w:val="auto"/>
                      <w:sz w:val="21"/>
                      <w:szCs w:val="21"/>
                      <w:highlight w:val="none"/>
                    </w:rPr>
                  </w:pPr>
                  <w:r>
                    <w:rPr>
                      <w:rFonts w:ascii="Times New Roman" w:hAnsi="Times New Roman"/>
                      <w:color w:val="auto"/>
                      <w:sz w:val="21"/>
                      <w:szCs w:val="21"/>
                      <w:highlight w:val="none"/>
                    </w:rPr>
                    <w:t>稳定性</w:t>
                  </w:r>
                </w:p>
              </w:tc>
              <w:tc>
                <w:tcPr>
                  <w:tcW w:w="1008" w:type="dxa"/>
                  <w:gridSpan w:val="2"/>
                  <w:tcBorders>
                    <w:tl2br w:val="nil"/>
                    <w:tr2bl w:val="nil"/>
                  </w:tcBorders>
                  <w:vAlign w:val="center"/>
                </w:tcPr>
                <w:p w14:paraId="5C8B2536">
                  <w:pPr>
                    <w:pStyle w:val="109"/>
                    <w:ind w:left="510" w:hanging="510" w:hangingChars="243"/>
                    <w:jc w:val="center"/>
                    <w:rPr>
                      <w:rFonts w:ascii="Times New Roman" w:hAnsi="Times New Roman"/>
                      <w:color w:val="auto"/>
                      <w:sz w:val="21"/>
                      <w:szCs w:val="21"/>
                      <w:highlight w:val="none"/>
                    </w:rPr>
                  </w:pPr>
                  <w:r>
                    <w:rPr>
                      <w:rFonts w:ascii="Times New Roman" w:hAnsi="Times New Roman"/>
                      <w:color w:val="auto"/>
                      <w:sz w:val="21"/>
                      <w:szCs w:val="21"/>
                      <w:highlight w:val="none"/>
                    </w:rPr>
                    <w:t>稳定</w:t>
                  </w:r>
                </w:p>
              </w:tc>
              <w:tc>
                <w:tcPr>
                  <w:tcW w:w="1501" w:type="dxa"/>
                  <w:gridSpan w:val="2"/>
                  <w:tcBorders>
                    <w:tl2br w:val="nil"/>
                    <w:tr2bl w:val="nil"/>
                  </w:tcBorders>
                  <w:vAlign w:val="center"/>
                </w:tcPr>
                <w:p w14:paraId="65BAC5E7">
                  <w:pPr>
                    <w:pStyle w:val="109"/>
                    <w:ind w:left="510" w:hanging="510" w:hangingChars="243"/>
                    <w:jc w:val="center"/>
                    <w:rPr>
                      <w:rFonts w:ascii="Times New Roman" w:hAnsi="Times New Roman"/>
                      <w:color w:val="auto"/>
                      <w:sz w:val="21"/>
                      <w:szCs w:val="21"/>
                      <w:highlight w:val="none"/>
                    </w:rPr>
                  </w:pPr>
                  <w:r>
                    <w:rPr>
                      <w:rFonts w:ascii="Times New Roman" w:hAnsi="Times New Roman"/>
                      <w:color w:val="auto"/>
                      <w:sz w:val="21"/>
                      <w:szCs w:val="21"/>
                      <w:highlight w:val="none"/>
                    </w:rPr>
                    <w:t>聚合危害</w:t>
                  </w:r>
                </w:p>
              </w:tc>
              <w:tc>
                <w:tcPr>
                  <w:tcW w:w="1594" w:type="dxa"/>
                  <w:gridSpan w:val="2"/>
                  <w:tcBorders>
                    <w:tl2br w:val="nil"/>
                    <w:tr2bl w:val="nil"/>
                  </w:tcBorders>
                  <w:vAlign w:val="center"/>
                </w:tcPr>
                <w:p w14:paraId="4000B2C5">
                  <w:pPr>
                    <w:pStyle w:val="109"/>
                    <w:ind w:left="510" w:hanging="510" w:hangingChars="243"/>
                    <w:jc w:val="center"/>
                    <w:rPr>
                      <w:rFonts w:ascii="Times New Roman" w:hAnsi="Times New Roman"/>
                      <w:color w:val="auto"/>
                      <w:sz w:val="21"/>
                      <w:szCs w:val="21"/>
                      <w:highlight w:val="none"/>
                    </w:rPr>
                  </w:pPr>
                  <w:r>
                    <w:rPr>
                      <w:rFonts w:ascii="Times New Roman" w:hAnsi="Times New Roman"/>
                      <w:color w:val="auto"/>
                      <w:sz w:val="21"/>
                      <w:szCs w:val="21"/>
                      <w:highlight w:val="none"/>
                    </w:rPr>
                    <w:t>不聚合</w:t>
                  </w:r>
                </w:p>
              </w:tc>
            </w:tr>
            <w:tr w14:paraId="6FEA9A4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45ACC25F">
                  <w:pPr>
                    <w:rPr>
                      <w:color w:val="auto"/>
                      <w:szCs w:val="21"/>
                      <w:highlight w:val="none"/>
                    </w:rPr>
                  </w:pPr>
                </w:p>
              </w:tc>
              <w:tc>
                <w:tcPr>
                  <w:tcW w:w="1589" w:type="dxa"/>
                  <w:tcBorders>
                    <w:tl2br w:val="nil"/>
                    <w:tr2bl w:val="nil"/>
                  </w:tcBorders>
                  <w:vAlign w:val="center"/>
                </w:tcPr>
                <w:p w14:paraId="0B2F2E15">
                  <w:pPr>
                    <w:pStyle w:val="109"/>
                    <w:jc w:val="center"/>
                    <w:rPr>
                      <w:rFonts w:ascii="Times New Roman" w:hAnsi="Times New Roman"/>
                      <w:color w:val="auto"/>
                      <w:sz w:val="21"/>
                      <w:szCs w:val="21"/>
                      <w:highlight w:val="none"/>
                    </w:rPr>
                  </w:pPr>
                  <w:r>
                    <w:rPr>
                      <w:rFonts w:ascii="Times New Roman" w:hAnsi="Times New Roman"/>
                      <w:color w:val="auto"/>
                      <w:sz w:val="21"/>
                      <w:szCs w:val="21"/>
                      <w:highlight w:val="none"/>
                    </w:rPr>
                    <w:t>禁忌物</w:t>
                  </w:r>
                </w:p>
              </w:tc>
              <w:tc>
                <w:tcPr>
                  <w:tcW w:w="6800" w:type="dxa"/>
                  <w:gridSpan w:val="10"/>
                  <w:tcBorders>
                    <w:tl2br w:val="nil"/>
                    <w:tr2bl w:val="nil"/>
                  </w:tcBorders>
                  <w:vAlign w:val="center"/>
                </w:tcPr>
                <w:p w14:paraId="49729443">
                  <w:pPr>
                    <w:pStyle w:val="109"/>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强氧化剂、强酸、强碱、卤素</w:t>
                  </w:r>
                </w:p>
              </w:tc>
            </w:tr>
            <w:tr w14:paraId="4ADFDC2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759AF5CB">
                  <w:pPr>
                    <w:rPr>
                      <w:color w:val="auto"/>
                      <w:szCs w:val="21"/>
                      <w:highlight w:val="none"/>
                    </w:rPr>
                  </w:pPr>
                </w:p>
              </w:tc>
              <w:tc>
                <w:tcPr>
                  <w:tcW w:w="1589" w:type="dxa"/>
                  <w:tcBorders>
                    <w:tl2br w:val="nil"/>
                    <w:tr2bl w:val="nil"/>
                  </w:tcBorders>
                  <w:vAlign w:val="center"/>
                </w:tcPr>
                <w:p w14:paraId="74924AD8">
                  <w:pPr>
                    <w:pStyle w:val="109"/>
                    <w:jc w:val="center"/>
                    <w:rPr>
                      <w:rFonts w:ascii="Times New Roman" w:hAnsi="Times New Roman"/>
                      <w:color w:val="auto"/>
                      <w:sz w:val="21"/>
                      <w:szCs w:val="21"/>
                      <w:highlight w:val="none"/>
                    </w:rPr>
                  </w:pPr>
                  <w:r>
                    <w:rPr>
                      <w:rFonts w:ascii="Times New Roman" w:hAnsi="Times New Roman"/>
                      <w:color w:val="auto"/>
                      <w:sz w:val="21"/>
                      <w:szCs w:val="21"/>
                      <w:highlight w:val="none"/>
                    </w:rPr>
                    <w:t>危险特性</w:t>
                  </w:r>
                </w:p>
              </w:tc>
              <w:tc>
                <w:tcPr>
                  <w:tcW w:w="6800" w:type="dxa"/>
                  <w:gridSpan w:val="10"/>
                  <w:tcBorders>
                    <w:tl2br w:val="nil"/>
                    <w:tr2bl w:val="nil"/>
                  </w:tcBorders>
                  <w:vAlign w:val="center"/>
                </w:tcPr>
                <w:p w14:paraId="474295FF">
                  <w:pPr>
                    <w:pStyle w:val="109"/>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极易燃，其蒸气与空气可形成爆炸性混合物。遇明火、高热极易燃烧爆炸。与氧化剂接触发生强烈反应，甚至引起燃烧。在火场中，受热的容器有爆炸危险。其蒸气比空气重，能在较低处扩散到相当远的地方，遇明火会引着回燃。</w:t>
                  </w:r>
                </w:p>
              </w:tc>
            </w:tr>
            <w:tr w14:paraId="3C60669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32ADC87F">
                  <w:pPr>
                    <w:rPr>
                      <w:color w:val="auto"/>
                      <w:szCs w:val="21"/>
                      <w:highlight w:val="none"/>
                    </w:rPr>
                  </w:pPr>
                </w:p>
              </w:tc>
              <w:tc>
                <w:tcPr>
                  <w:tcW w:w="1589" w:type="dxa"/>
                  <w:tcBorders>
                    <w:tl2br w:val="nil"/>
                    <w:tr2bl w:val="nil"/>
                  </w:tcBorders>
                  <w:vAlign w:val="center"/>
                </w:tcPr>
                <w:p w14:paraId="67ED2B26">
                  <w:pPr>
                    <w:pStyle w:val="109"/>
                    <w:ind w:firstLine="115"/>
                    <w:jc w:val="center"/>
                    <w:rPr>
                      <w:rFonts w:ascii="Times New Roman" w:hAnsi="Times New Roman"/>
                      <w:color w:val="auto"/>
                      <w:sz w:val="21"/>
                      <w:szCs w:val="21"/>
                      <w:highlight w:val="none"/>
                    </w:rPr>
                  </w:pPr>
                  <w:r>
                    <w:rPr>
                      <w:rFonts w:ascii="Times New Roman" w:hAnsi="Times New Roman"/>
                      <w:color w:val="auto"/>
                      <w:sz w:val="21"/>
                      <w:szCs w:val="21"/>
                      <w:highlight w:val="none"/>
                    </w:rPr>
                    <w:t>储运条件与泄漏处理</w:t>
                  </w:r>
                </w:p>
              </w:tc>
              <w:tc>
                <w:tcPr>
                  <w:tcW w:w="6800" w:type="dxa"/>
                  <w:gridSpan w:val="10"/>
                  <w:tcBorders>
                    <w:tl2br w:val="nil"/>
                    <w:tr2bl w:val="nil"/>
                  </w:tcBorders>
                  <w:vAlign w:val="center"/>
                </w:tcPr>
                <w:p w14:paraId="619FCC3B">
                  <w:pPr>
                    <w:pStyle w:val="109"/>
                    <w:rPr>
                      <w:rFonts w:ascii="Times New Roman" w:hAnsi="Times New Roman"/>
                      <w:bCs/>
                      <w:color w:val="auto"/>
                      <w:sz w:val="21"/>
                      <w:szCs w:val="21"/>
                      <w:highlight w:val="none"/>
                      <w:lang w:eastAsia="zh-CN"/>
                    </w:rPr>
                  </w:pPr>
                  <w:r>
                    <w:rPr>
                      <w:rFonts w:ascii="Times New Roman" w:hAnsi="Times New Roman"/>
                      <w:bCs/>
                      <w:color w:val="auto"/>
                      <w:sz w:val="21"/>
                      <w:szCs w:val="21"/>
                      <w:highlight w:val="none"/>
                      <w:lang w:eastAsia="zh-CN"/>
                    </w:rPr>
                    <w:t>储运条件：</w:t>
                  </w:r>
                  <w:r>
                    <w:rPr>
                      <w:rFonts w:hint="eastAsia" w:ascii="Times New Roman" w:hAnsi="Times New Roman"/>
                      <w:bCs/>
                      <w:color w:val="auto"/>
                      <w:sz w:val="21"/>
                      <w:szCs w:val="21"/>
                      <w:highlight w:val="none"/>
                      <w:lang w:eastAsia="zh-CN"/>
                    </w:rPr>
                    <w:t>储存于阴凉、通风仓间内。远离火种、热源。仓温不宜超过30℃。防止阳光直射保持容器密封。应与氧化剂分开存放。储存间内的照明、通风等设施应采用防爆型，开关设在仓外。配备相应品种和数量的消防器材。桶装堆垛不可过大，应留墙距顶距、柱距及必要的防火裣查走道。若是储罐存放，储罐区域要有禁火标志和防火防爆技术措施。禁止使用易产生火花的设备和工具，灌装时应注流速（不超过3m/s）且有接地装置，防止静电积聚。</w:t>
                  </w:r>
                </w:p>
                <w:p w14:paraId="64BFC082">
                  <w:pPr>
                    <w:pStyle w:val="109"/>
                    <w:rPr>
                      <w:rFonts w:ascii="Times New Roman" w:hAnsi="Times New Roman"/>
                      <w:color w:val="auto"/>
                      <w:sz w:val="21"/>
                      <w:szCs w:val="21"/>
                      <w:highlight w:val="none"/>
                      <w:lang w:eastAsia="zh-CN"/>
                    </w:rPr>
                  </w:pPr>
                  <w:r>
                    <w:rPr>
                      <w:rFonts w:ascii="Times New Roman" w:hAnsi="Times New Roman"/>
                      <w:bCs/>
                      <w:color w:val="auto"/>
                      <w:sz w:val="21"/>
                      <w:szCs w:val="21"/>
                      <w:highlight w:val="none"/>
                      <w:lang w:eastAsia="zh-CN"/>
                    </w:rPr>
                    <w:t>泄漏处理：</w:t>
                  </w:r>
                  <w:r>
                    <w:rPr>
                      <w:rFonts w:hint="eastAsia" w:ascii="Times New Roman" w:hAnsi="Times New Roman"/>
                      <w:bCs/>
                      <w:color w:val="auto"/>
                      <w:sz w:val="21"/>
                      <w:szCs w:val="21"/>
                      <w:highlight w:val="none"/>
                      <w:lang w:eastAsia="zh-CN"/>
                    </w:rPr>
                    <w:t>迅速撤离泄漏污染区人员至安全区，并进行隔离，严格限制出入。切断火源。建议应急处理人员戴自给正压式呼吸器，穿消防防护服。尽可能切断泄漏源。防止进入下水道、排洪沟等限制性空间。小量泄漏：用砂土或其它不燃材</w:t>
                  </w:r>
                  <w:r>
                    <w:rPr>
                      <w:rFonts w:hint="eastAsia" w:ascii="Times New Roman" w:hAnsi="Times New Roman"/>
                      <w:color w:val="auto"/>
                      <w:sz w:val="21"/>
                      <w:szCs w:val="21"/>
                      <w:highlight w:val="none"/>
                      <w:lang w:eastAsia="zh-CN"/>
                    </w:rPr>
                    <w:t>料吸附或吸收。也可以用不燃性分散剂制成的乳液刷洗，洗液稀释后放入废水系统。大量泄漏：构筑围堤或挖坑收容；用泡沫覆盖，降低蒸气灾害。用防爆泵转移至槽车或专用收集器内，回收或运至废物处理场所处置。</w:t>
                  </w:r>
                </w:p>
              </w:tc>
            </w:tr>
            <w:tr w14:paraId="387D13A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23" w:type="dxa"/>
                  <w:vMerge w:val="continue"/>
                  <w:tcBorders>
                    <w:tl2br w:val="nil"/>
                    <w:tr2bl w:val="nil"/>
                  </w:tcBorders>
                </w:tcPr>
                <w:p w14:paraId="6ABD7B96">
                  <w:pPr>
                    <w:rPr>
                      <w:color w:val="auto"/>
                      <w:szCs w:val="21"/>
                      <w:highlight w:val="none"/>
                    </w:rPr>
                  </w:pPr>
                </w:p>
              </w:tc>
              <w:tc>
                <w:tcPr>
                  <w:tcW w:w="1589" w:type="dxa"/>
                  <w:tcBorders>
                    <w:tl2br w:val="nil"/>
                    <w:tr2bl w:val="nil"/>
                  </w:tcBorders>
                  <w:vAlign w:val="center"/>
                </w:tcPr>
                <w:p w14:paraId="58C18E25">
                  <w:pPr>
                    <w:pStyle w:val="109"/>
                    <w:jc w:val="center"/>
                    <w:rPr>
                      <w:rFonts w:ascii="Times New Roman" w:hAnsi="Times New Roman"/>
                      <w:color w:val="auto"/>
                      <w:sz w:val="21"/>
                      <w:szCs w:val="21"/>
                      <w:highlight w:val="none"/>
                    </w:rPr>
                  </w:pPr>
                  <w:r>
                    <w:rPr>
                      <w:rFonts w:ascii="Times New Roman" w:hAnsi="Times New Roman"/>
                      <w:color w:val="auto"/>
                      <w:sz w:val="21"/>
                      <w:szCs w:val="21"/>
                      <w:highlight w:val="none"/>
                    </w:rPr>
                    <w:t>灭火方法</w:t>
                  </w:r>
                </w:p>
              </w:tc>
              <w:tc>
                <w:tcPr>
                  <w:tcW w:w="6800" w:type="dxa"/>
                  <w:gridSpan w:val="10"/>
                  <w:tcBorders>
                    <w:tl2br w:val="nil"/>
                    <w:tr2bl w:val="nil"/>
                  </w:tcBorders>
                  <w:vAlign w:val="center"/>
                </w:tcPr>
                <w:p w14:paraId="77957F6E">
                  <w:pPr>
                    <w:pStyle w:val="109"/>
                    <w:rPr>
                      <w:rFonts w:ascii="Times New Roman" w:hAnsi="Times New Roman"/>
                      <w:color w:val="auto"/>
                      <w:sz w:val="21"/>
                      <w:szCs w:val="21"/>
                      <w:highlight w:val="none"/>
                      <w:lang w:eastAsia="zh-CN"/>
                    </w:rPr>
                  </w:pPr>
                  <w:r>
                    <w:rPr>
                      <w:rFonts w:hint="eastAsia" w:ascii="Times New Roman" w:hAnsi="Times New Roman"/>
                      <w:color w:val="auto"/>
                      <w:sz w:val="21"/>
                      <w:szCs w:val="21"/>
                      <w:highlight w:val="none"/>
                      <w:lang w:eastAsia="zh-CN"/>
                    </w:rPr>
                    <w:t>喷水冷却容器，可能的话将容器从火场移至空旷处。处在火场中的容器若已变色或从安全泄压装置中产生声音，必须马上撤离。灭火剂：泡沫、干粉、二氧化碳、砂土。用水灭火无效。</w:t>
                  </w:r>
                </w:p>
              </w:tc>
            </w:tr>
          </w:tbl>
          <w:p w14:paraId="260CF9F6">
            <w:pPr>
              <w:spacing w:line="360" w:lineRule="auto"/>
              <w:rPr>
                <w:rFonts w:eastAsia="黑体"/>
                <w:bCs/>
                <w:color w:val="auto"/>
                <w:sz w:val="28"/>
                <w:szCs w:val="28"/>
                <w:highlight w:val="none"/>
              </w:rPr>
            </w:pPr>
            <w:r>
              <w:rPr>
                <w:rFonts w:hint="eastAsia" w:eastAsia="黑体"/>
                <w:bCs/>
                <w:color w:val="auto"/>
                <w:sz w:val="28"/>
                <w:szCs w:val="28"/>
                <w:highlight w:val="none"/>
              </w:rPr>
              <w:t>五、</w:t>
            </w:r>
            <w:r>
              <w:rPr>
                <w:rFonts w:eastAsia="黑体"/>
                <w:bCs/>
                <w:color w:val="auto"/>
                <w:sz w:val="28"/>
                <w:szCs w:val="28"/>
                <w:highlight w:val="none"/>
              </w:rPr>
              <w:t>公用工程</w:t>
            </w:r>
          </w:p>
          <w:p w14:paraId="1DA293B3">
            <w:pPr>
              <w:pStyle w:val="72"/>
              <w:spacing w:line="480" w:lineRule="exact"/>
              <w:rPr>
                <w:color w:val="auto"/>
                <w:highlight w:val="none"/>
              </w:rPr>
            </w:pPr>
            <w:r>
              <w:rPr>
                <w:rFonts w:hint="eastAsia"/>
                <w:color w:val="auto"/>
                <w:highlight w:val="none"/>
              </w:rPr>
              <w:t>（1）水源本项目年生产300天，每天24h，劳动定员为102人。</w:t>
            </w:r>
          </w:p>
          <w:p w14:paraId="27E65F66">
            <w:pPr>
              <w:pStyle w:val="72"/>
              <w:spacing w:line="480" w:lineRule="exact"/>
              <w:rPr>
                <w:color w:val="auto"/>
                <w:highlight w:val="none"/>
              </w:rPr>
            </w:pPr>
            <w:r>
              <w:rPr>
                <w:color w:val="auto"/>
                <w:highlight w:val="none"/>
              </w:rPr>
              <w:t>本项目用水由市政管网提供，包括生产用水</w:t>
            </w:r>
            <w:r>
              <w:rPr>
                <w:rFonts w:hint="eastAsia"/>
                <w:color w:val="auto"/>
                <w:highlight w:val="none"/>
                <w:lang w:eastAsia="zh-CN"/>
              </w:rPr>
              <w:t>和</w:t>
            </w:r>
            <w:r>
              <w:rPr>
                <w:color w:val="auto"/>
                <w:highlight w:val="none"/>
              </w:rPr>
              <w:t>职工生活用水。</w:t>
            </w:r>
          </w:p>
          <w:p w14:paraId="56FEBFB0">
            <w:pPr>
              <w:pStyle w:val="72"/>
              <w:spacing w:line="480" w:lineRule="exact"/>
              <w:rPr>
                <w:color w:val="auto"/>
                <w:highlight w:val="none"/>
              </w:rPr>
            </w:pPr>
            <w:r>
              <w:rPr>
                <w:color w:val="auto"/>
                <w:highlight w:val="none"/>
              </w:rPr>
              <w:t>（2）给水</w:t>
            </w:r>
          </w:p>
          <w:p w14:paraId="183D6CCB">
            <w:pPr>
              <w:pStyle w:val="72"/>
              <w:keepNext w:val="0"/>
              <w:keepLines w:val="0"/>
              <w:suppressLineNumbers w:val="0"/>
              <w:spacing w:before="0" w:beforeAutospacing="0" w:after="0" w:afterAutospacing="0" w:line="480" w:lineRule="exact"/>
              <w:ind w:left="0" w:right="0"/>
              <w:rPr>
                <w:rFonts w:hint="eastAsia" w:ascii="Times New Roman" w:hAnsi="Times New Roman" w:cs="Times New Roman"/>
                <w:smallCaps w:val="0"/>
                <w:color w:val="auto"/>
                <w:sz w:val="24"/>
                <w:szCs w:val="24"/>
                <w:highlight w:val="none"/>
                <w:lang w:val="en-US" w:eastAsia="zh-CN"/>
              </w:rPr>
            </w:pPr>
            <w:r>
              <w:rPr>
                <w:rFonts w:hint="default" w:ascii="Times New Roman" w:hAnsi="Times New Roman" w:cs="Times New Roman"/>
                <w:smallCaps w:val="0"/>
                <w:color w:val="auto"/>
                <w:highlight w:val="none"/>
              </w:rPr>
              <w:t>①</w:t>
            </w:r>
            <w:r>
              <w:rPr>
                <w:rFonts w:hint="eastAsia" w:ascii="Times New Roman" w:hAnsi="Times New Roman" w:cs="Times New Roman"/>
                <w:smallCaps w:val="0"/>
                <w:color w:val="auto"/>
                <w:highlight w:val="none"/>
                <w:lang w:eastAsia="zh-CN"/>
              </w:rPr>
              <w:t>生产</w:t>
            </w:r>
            <w:r>
              <w:rPr>
                <w:rFonts w:hint="default" w:ascii="Times New Roman" w:hAnsi="Times New Roman" w:cs="Times New Roman"/>
                <w:smallCaps w:val="0"/>
                <w:color w:val="auto"/>
                <w:highlight w:val="none"/>
              </w:rPr>
              <w:t>用水</w:t>
            </w:r>
          </w:p>
          <w:p w14:paraId="22A3D641">
            <w:pPr>
              <w:pStyle w:val="72"/>
              <w:keepNext w:val="0"/>
              <w:keepLines w:val="0"/>
              <w:suppressLineNumbers w:val="0"/>
              <w:spacing w:before="0" w:beforeAutospacing="0" w:after="0" w:afterAutospacing="0" w:line="480" w:lineRule="exact"/>
              <w:ind w:left="0" w:right="0"/>
              <w:rPr>
                <w:rFonts w:hint="eastAsia" w:ascii="Times New Roman" w:hAnsi="Times New Roman" w:eastAsia="宋体" w:cs="Times New Roman"/>
                <w:smallCaps w:val="0"/>
                <w:color w:val="auto"/>
                <w:sz w:val="24"/>
                <w:szCs w:val="24"/>
                <w:highlight w:val="none"/>
                <w:lang w:val="en-US" w:eastAsia="zh-CN"/>
              </w:rPr>
            </w:pPr>
            <w:r>
              <w:rPr>
                <w:rFonts w:hint="eastAsia" w:cs="Times New Roman"/>
                <w:smallCaps w:val="0"/>
                <w:color w:val="auto"/>
                <w:sz w:val="24"/>
                <w:szCs w:val="24"/>
                <w:highlight w:val="none"/>
                <w:lang w:val="en-US" w:eastAsia="zh-CN"/>
              </w:rPr>
              <w:t>根据建设单位提供，</w:t>
            </w:r>
            <w:r>
              <w:rPr>
                <w:rFonts w:hint="eastAsia" w:ascii="Times New Roman" w:hAnsi="Times New Roman" w:cs="Times New Roman"/>
                <w:smallCaps w:val="0"/>
                <w:color w:val="auto"/>
                <w:sz w:val="24"/>
                <w:szCs w:val="24"/>
                <w:highlight w:val="none"/>
                <w:lang w:val="en-US" w:eastAsia="zh-CN"/>
              </w:rPr>
              <w:t>浸出车间循环冷却补充用水量约</w:t>
            </w:r>
            <w:r>
              <w:rPr>
                <w:rFonts w:hint="eastAsia" w:cs="Times New Roman"/>
                <w:smallCaps w:val="0"/>
                <w:color w:val="auto"/>
                <w:sz w:val="24"/>
                <w:szCs w:val="24"/>
                <w:highlight w:val="none"/>
                <w:lang w:val="en-US" w:eastAsia="zh-CN"/>
              </w:rPr>
              <w:t>2</w:t>
            </w:r>
            <w:r>
              <w:rPr>
                <w:rFonts w:hint="eastAsia" w:ascii="Times New Roman" w:hAnsi="Times New Roman" w:cs="Times New Roman"/>
                <w:smallCaps w:val="0"/>
                <w:color w:val="auto"/>
                <w:sz w:val="24"/>
                <w:szCs w:val="24"/>
                <w:highlight w:val="none"/>
                <w:lang w:val="en-US" w:eastAsia="zh-CN"/>
              </w:rPr>
              <w:t>t/d</w:t>
            </w:r>
            <w:r>
              <w:rPr>
                <w:rFonts w:hint="eastAsia" w:cs="Times New Roman"/>
                <w:smallCaps w:val="0"/>
                <w:color w:val="auto"/>
                <w:sz w:val="24"/>
                <w:szCs w:val="24"/>
                <w:highlight w:val="none"/>
                <w:lang w:val="en-US" w:eastAsia="zh-CN"/>
              </w:rPr>
              <w:t>，600t/a；</w:t>
            </w:r>
            <w:r>
              <w:rPr>
                <w:color w:val="auto"/>
                <w:sz w:val="24"/>
              </w:rPr>
              <w:t>每批次产品生产结束时，对生产设备进行清洗，</w:t>
            </w:r>
            <w:r>
              <w:rPr>
                <w:rFonts w:hint="eastAsia" w:ascii="Times New Roman" w:hAnsi="Times New Roman" w:eastAsia="宋体" w:cs="Times New Roman"/>
                <w:smallCaps w:val="0"/>
                <w:color w:val="auto"/>
                <w:sz w:val="24"/>
                <w:szCs w:val="24"/>
                <w:highlight w:val="none"/>
                <w:lang w:val="en-US" w:eastAsia="zh-CN"/>
              </w:rPr>
              <w:t>设备清洗新鲜水约0.05t/d，15t/a。</w:t>
            </w:r>
          </w:p>
          <w:p w14:paraId="56CCE5CF">
            <w:pPr>
              <w:pStyle w:val="72"/>
              <w:keepNext w:val="0"/>
              <w:keepLines w:val="0"/>
              <w:suppressLineNumbers w:val="0"/>
              <w:spacing w:before="0" w:beforeAutospacing="0" w:after="0" w:afterAutospacing="0" w:line="480" w:lineRule="exact"/>
              <w:ind w:left="0" w:right="0"/>
              <w:rPr>
                <w:rFonts w:hint="default" w:ascii="Times New Roman" w:hAnsi="Times New Roman" w:cs="Times New Roman"/>
                <w:smallCaps w:val="0"/>
                <w:color w:val="auto"/>
                <w:sz w:val="24"/>
                <w:szCs w:val="24"/>
                <w:highlight w:val="none"/>
                <w:lang w:val="en-US" w:eastAsia="zh-CN"/>
              </w:rPr>
            </w:pPr>
            <w:r>
              <w:rPr>
                <w:rFonts w:hint="eastAsia" w:ascii="Times New Roman" w:hAnsi="Times New Roman" w:cs="Times New Roman"/>
                <w:smallCaps w:val="0"/>
                <w:color w:val="auto"/>
                <w:sz w:val="24"/>
                <w:szCs w:val="24"/>
                <w:highlight w:val="none"/>
                <w:lang w:val="en-US" w:eastAsia="zh-CN"/>
              </w:rPr>
              <w:t>锅炉用水主要为锅炉补充水，锅炉用水前需要经软化水系统处理，锅炉补充水主要包括管道系统的跑冒滴漏、蒸汽而造成系统水分损失和锅炉定排水（锅炉定排水包括锅炉排污水和软水处理废水）三部分，根据企业提供资料，锅炉补水中的管道跑冒滴漏和蒸汽损失两部分为锅炉最大出力的30%，而锅炉定排水即锅炉排污水和软化处理废水，则按《排放源统计调查产排污核算和系数手册（2021）》，4430工业锅炉（热力生产和供应）产排污系数表-工业废水量和化学需氧量进行计算，则</w:t>
            </w:r>
            <w:r>
              <w:rPr>
                <w:rFonts w:hint="eastAsia" w:cs="Times New Roman"/>
                <w:smallCaps w:val="0"/>
                <w:color w:val="auto"/>
                <w:sz w:val="24"/>
                <w:szCs w:val="24"/>
                <w:highlight w:val="none"/>
                <w:lang w:val="en-US" w:eastAsia="zh-CN"/>
              </w:rPr>
              <w:t>台18</w:t>
            </w:r>
            <w:r>
              <w:rPr>
                <w:rFonts w:hint="eastAsia" w:ascii="Times New Roman" w:hAnsi="Times New Roman" w:cs="Times New Roman"/>
                <w:smallCaps w:val="0"/>
                <w:color w:val="auto"/>
                <w:sz w:val="24"/>
                <w:szCs w:val="24"/>
                <w:highlight w:val="none"/>
                <w:lang w:val="en-US" w:eastAsia="zh-CN"/>
              </w:rPr>
              <w:t>t/h生物质锅炉中管道跑冒滴漏和蒸汽损失两部分补水量为</w:t>
            </w:r>
            <w:r>
              <w:rPr>
                <w:rFonts w:hint="eastAsia" w:cs="Times New Roman"/>
                <w:smallCaps w:val="0"/>
                <w:color w:val="auto"/>
                <w:sz w:val="24"/>
                <w:szCs w:val="24"/>
                <w:highlight w:val="none"/>
                <w:lang w:val="en-US" w:eastAsia="zh-CN"/>
              </w:rPr>
              <w:t>5.4</w:t>
            </w:r>
            <w:r>
              <w:rPr>
                <w:rFonts w:hint="eastAsia" w:ascii="Times New Roman" w:hAnsi="Times New Roman" w:cs="Times New Roman"/>
                <w:smallCaps w:val="0"/>
                <w:color w:val="auto"/>
                <w:sz w:val="24"/>
                <w:szCs w:val="24"/>
                <w:highlight w:val="none"/>
                <w:lang w:val="en-US" w:eastAsia="zh-CN"/>
              </w:rPr>
              <w:t>t/h，</w:t>
            </w:r>
            <w:r>
              <w:rPr>
                <w:rFonts w:hint="eastAsia" w:cs="Times New Roman"/>
                <w:smallCaps w:val="0"/>
                <w:color w:val="auto"/>
                <w:sz w:val="24"/>
                <w:szCs w:val="24"/>
                <w:highlight w:val="none"/>
                <w:lang w:val="en-US" w:eastAsia="zh-CN"/>
              </w:rPr>
              <w:t>38880</w:t>
            </w:r>
            <w:r>
              <w:rPr>
                <w:rFonts w:hint="eastAsia" w:ascii="Times New Roman" w:hAnsi="Times New Roman" w:cs="Times New Roman"/>
                <w:smallCaps w:val="0"/>
                <w:color w:val="auto"/>
                <w:sz w:val="24"/>
                <w:szCs w:val="24"/>
                <w:highlight w:val="none"/>
                <w:lang w:val="en-US" w:eastAsia="zh-CN"/>
              </w:rPr>
              <w:t>t/a（年工作7200h），锅炉用水前需进行软化预处理，取软化效率83%，此两部分需要锅炉新鲜水用量为</w:t>
            </w:r>
            <w:r>
              <w:rPr>
                <w:rFonts w:hint="eastAsia" w:cs="Times New Roman"/>
                <w:smallCaps w:val="0"/>
                <w:color w:val="auto"/>
                <w:sz w:val="24"/>
                <w:szCs w:val="24"/>
                <w:highlight w:val="none"/>
                <w:lang w:val="en-US" w:eastAsia="zh-CN"/>
              </w:rPr>
              <w:t>46843.37</w:t>
            </w:r>
            <w:r>
              <w:rPr>
                <w:rFonts w:hint="eastAsia" w:ascii="Times New Roman" w:hAnsi="Times New Roman" w:cs="Times New Roman"/>
                <w:smallCaps w:val="0"/>
                <w:color w:val="auto"/>
                <w:sz w:val="24"/>
                <w:szCs w:val="24"/>
                <w:highlight w:val="none"/>
                <w:lang w:val="en-US" w:eastAsia="zh-CN"/>
              </w:rPr>
              <w:t>t/a，且锅炉排污水和软化处理废水排水量</w:t>
            </w:r>
            <w:r>
              <w:rPr>
                <w:rFonts w:hint="eastAsia" w:cs="Times New Roman"/>
                <w:smallCaps w:val="0"/>
                <w:color w:val="auto"/>
                <w:sz w:val="24"/>
                <w:szCs w:val="24"/>
                <w:highlight w:val="none"/>
                <w:lang w:val="en-US" w:eastAsia="zh-CN"/>
              </w:rPr>
              <w:t>10280.21</w:t>
            </w:r>
            <w:r>
              <w:rPr>
                <w:rFonts w:hint="eastAsia" w:ascii="Times New Roman" w:hAnsi="Times New Roman" w:cs="Times New Roman"/>
                <w:smallCaps w:val="0"/>
                <w:color w:val="auto"/>
                <w:sz w:val="24"/>
                <w:szCs w:val="24"/>
                <w:highlight w:val="none"/>
                <w:lang w:val="en-US" w:eastAsia="zh-CN"/>
              </w:rPr>
              <w:t>t/a，所以锅炉新鲜水总用量为</w:t>
            </w:r>
            <w:r>
              <w:rPr>
                <w:rFonts w:hint="eastAsia" w:ascii="Times New Roman" w:hAnsi="Times New Roman" w:eastAsia="宋体" w:cs="Times New Roman"/>
                <w:smallCaps w:val="0"/>
                <w:color w:val="auto"/>
                <w:sz w:val="24"/>
                <w:szCs w:val="24"/>
                <w:highlight w:val="none"/>
                <w:lang w:val="en-US" w:eastAsia="zh-CN"/>
              </w:rPr>
              <w:t>58672.07t/a、195.57t/d。</w:t>
            </w:r>
            <w:r>
              <w:rPr>
                <w:rFonts w:hint="eastAsia" w:cs="Times New Roman"/>
                <w:smallCaps w:val="0"/>
                <w:color w:val="auto"/>
                <w:sz w:val="24"/>
                <w:szCs w:val="24"/>
                <w:highlight w:val="none"/>
                <w:lang w:val="en-US" w:eastAsia="zh-CN"/>
              </w:rPr>
              <w:t>浸出废水排放量为浸出用水的80%，本项目浸出用水为22500</w:t>
            </w:r>
            <w:r>
              <w:rPr>
                <w:rFonts w:hint="eastAsia" w:ascii="Times New Roman" w:hAnsi="Times New Roman" w:cs="Times New Roman"/>
                <w:smallCaps w:val="0"/>
                <w:color w:val="auto"/>
                <w:sz w:val="24"/>
                <w:szCs w:val="24"/>
                <w:highlight w:val="none"/>
                <w:lang w:val="en-US" w:eastAsia="zh-CN"/>
              </w:rPr>
              <w:t>t/a。</w:t>
            </w:r>
          </w:p>
          <w:p w14:paraId="52C1BB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smallCaps w:val="0"/>
                <w:color w:val="auto"/>
                <w:sz w:val="24"/>
                <w:szCs w:val="24"/>
                <w:highlight w:val="none"/>
              </w:rPr>
            </w:pPr>
            <w:r>
              <w:rPr>
                <w:rFonts w:hint="eastAsia" w:ascii="Times New Roman" w:hAnsi="Times New Roman" w:cs="Times New Roman"/>
                <w:smallCaps w:val="0"/>
                <w:color w:val="auto"/>
                <w:sz w:val="24"/>
                <w:szCs w:val="24"/>
                <w:highlight w:val="none"/>
                <w:lang w:eastAsia="zh-CN"/>
              </w:rPr>
              <w:t>②</w:t>
            </w:r>
            <w:r>
              <w:rPr>
                <w:rFonts w:hint="default" w:ascii="Times New Roman" w:hAnsi="Times New Roman" w:cs="Times New Roman"/>
                <w:smallCaps w:val="0"/>
                <w:color w:val="auto"/>
                <w:sz w:val="24"/>
                <w:szCs w:val="24"/>
                <w:highlight w:val="none"/>
              </w:rPr>
              <w:t>生活用水</w:t>
            </w:r>
          </w:p>
          <w:p w14:paraId="599CAA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smallCaps w:val="0"/>
                <w:color w:val="auto"/>
                <w:sz w:val="24"/>
                <w:szCs w:val="24"/>
                <w:highlight w:val="none"/>
              </w:rPr>
            </w:pPr>
            <w:r>
              <w:rPr>
                <w:rFonts w:hint="default" w:ascii="Times New Roman" w:hAnsi="Times New Roman" w:cs="Times New Roman"/>
                <w:smallCaps w:val="0"/>
                <w:color w:val="auto"/>
                <w:sz w:val="24"/>
                <w:szCs w:val="24"/>
                <w:highlight w:val="none"/>
              </w:rPr>
              <w:t>本项目建成后劳动定员</w:t>
            </w:r>
            <w:r>
              <w:rPr>
                <w:rFonts w:hint="eastAsia" w:cs="Times New Roman"/>
                <w:smallCaps w:val="0"/>
                <w:color w:val="auto"/>
                <w:sz w:val="24"/>
                <w:szCs w:val="24"/>
                <w:highlight w:val="none"/>
                <w:lang w:val="en-US" w:eastAsia="zh-CN"/>
              </w:rPr>
              <w:t>102</w:t>
            </w:r>
            <w:r>
              <w:rPr>
                <w:rFonts w:hint="default" w:ascii="Times New Roman" w:hAnsi="Times New Roman" w:cs="Times New Roman"/>
                <w:smallCaps w:val="0"/>
                <w:color w:val="auto"/>
                <w:sz w:val="24"/>
                <w:szCs w:val="24"/>
                <w:highlight w:val="none"/>
              </w:rPr>
              <w:t>人，每年工作时间</w:t>
            </w:r>
            <w:r>
              <w:rPr>
                <w:rFonts w:hint="default" w:ascii="Times New Roman" w:hAnsi="Times New Roman" w:cs="Times New Roman"/>
                <w:smallCaps w:val="0"/>
                <w:color w:val="auto"/>
                <w:sz w:val="24"/>
                <w:szCs w:val="24"/>
                <w:highlight w:val="none"/>
                <w:lang w:val="en-US" w:eastAsia="zh-CN"/>
              </w:rPr>
              <w:t>3</w:t>
            </w:r>
            <w:r>
              <w:rPr>
                <w:rFonts w:hint="eastAsia" w:cs="Times New Roman"/>
                <w:smallCaps w:val="0"/>
                <w:color w:val="auto"/>
                <w:sz w:val="24"/>
                <w:szCs w:val="24"/>
                <w:highlight w:val="none"/>
                <w:lang w:val="en-US" w:eastAsia="zh-CN"/>
              </w:rPr>
              <w:t>00</w:t>
            </w:r>
            <w:r>
              <w:rPr>
                <w:rFonts w:hint="default" w:ascii="Times New Roman" w:hAnsi="Times New Roman" w:cs="Times New Roman"/>
                <w:smallCaps w:val="0"/>
                <w:color w:val="auto"/>
                <w:sz w:val="24"/>
                <w:szCs w:val="24"/>
                <w:highlight w:val="none"/>
              </w:rPr>
              <w:t>d。根据黑龙江省地方标准《用水定额》（DB23/T727-2021），</w:t>
            </w:r>
            <w:r>
              <w:rPr>
                <w:rFonts w:hint="eastAsia" w:ascii="Times New Roman" w:hAnsi="Times New Roman" w:cs="Times New Roman"/>
                <w:smallCaps w:val="0"/>
                <w:color w:val="auto"/>
                <w:sz w:val="24"/>
                <w:szCs w:val="24"/>
                <w:highlight w:val="none"/>
                <w:lang w:eastAsia="zh-CN"/>
              </w:rPr>
              <w:t>项目</w:t>
            </w:r>
            <w:r>
              <w:rPr>
                <w:rFonts w:hint="default" w:ascii="Times New Roman" w:hAnsi="Times New Roman" w:cs="Times New Roman"/>
                <w:smallCaps w:val="0"/>
                <w:color w:val="auto"/>
                <w:sz w:val="24"/>
                <w:szCs w:val="24"/>
                <w:highlight w:val="none"/>
              </w:rPr>
              <w:t>按</w:t>
            </w:r>
            <w:r>
              <w:rPr>
                <w:rFonts w:hint="eastAsia" w:ascii="Times New Roman" w:hAnsi="Times New Roman" w:cs="Times New Roman"/>
                <w:smallCaps w:val="0"/>
                <w:color w:val="auto"/>
                <w:sz w:val="24"/>
                <w:szCs w:val="24"/>
                <w:highlight w:val="none"/>
                <w:lang w:eastAsia="zh-CN"/>
              </w:rPr>
              <w:t>生活用水量</w:t>
            </w:r>
            <w:r>
              <w:rPr>
                <w:rFonts w:hint="eastAsia" w:ascii="Times New Roman" w:hAnsi="Times New Roman" w:cs="Times New Roman"/>
                <w:smallCaps w:val="0"/>
                <w:color w:val="auto"/>
                <w:sz w:val="24"/>
                <w:szCs w:val="24"/>
                <w:highlight w:val="none"/>
                <w:lang w:val="en-US" w:eastAsia="zh-CN"/>
              </w:rPr>
              <w:t>8</w:t>
            </w:r>
            <w:r>
              <w:rPr>
                <w:rFonts w:hint="default" w:ascii="Times New Roman" w:hAnsi="Times New Roman" w:cs="Times New Roman"/>
                <w:smallCaps w:val="0"/>
                <w:color w:val="auto"/>
                <w:sz w:val="24"/>
                <w:szCs w:val="24"/>
                <w:highlight w:val="none"/>
              </w:rPr>
              <w:t>0L/人•d计，则生活用水量为</w:t>
            </w:r>
            <w:r>
              <w:rPr>
                <w:rFonts w:hint="eastAsia" w:cs="Times New Roman"/>
                <w:smallCaps w:val="0"/>
                <w:color w:val="auto"/>
                <w:sz w:val="24"/>
                <w:szCs w:val="24"/>
                <w:highlight w:val="none"/>
                <w:lang w:val="en-US" w:eastAsia="zh-CN"/>
              </w:rPr>
              <w:t>8.16</w:t>
            </w:r>
            <w:r>
              <w:rPr>
                <w:rFonts w:hint="eastAsia" w:ascii="Times New Roman" w:hAnsi="Times New Roman" w:cs="Times New Roman"/>
                <w:smallCaps w:val="0"/>
                <w:color w:val="auto"/>
                <w:sz w:val="24"/>
                <w:szCs w:val="24"/>
                <w:highlight w:val="none"/>
                <w:lang w:val="en-US" w:eastAsia="zh-CN"/>
              </w:rPr>
              <w:t>t</w:t>
            </w:r>
            <w:r>
              <w:rPr>
                <w:rFonts w:hint="default" w:ascii="Times New Roman" w:hAnsi="Times New Roman" w:cs="Times New Roman"/>
                <w:smallCaps w:val="0"/>
                <w:color w:val="auto"/>
                <w:sz w:val="24"/>
                <w:szCs w:val="24"/>
                <w:highlight w:val="none"/>
              </w:rPr>
              <w:t>/d，</w:t>
            </w:r>
            <w:r>
              <w:rPr>
                <w:rFonts w:hint="eastAsia" w:cs="Times New Roman"/>
                <w:smallCaps w:val="0"/>
                <w:color w:val="auto"/>
                <w:sz w:val="24"/>
                <w:szCs w:val="24"/>
                <w:highlight w:val="none"/>
                <w:lang w:val="en-US" w:eastAsia="zh-CN"/>
              </w:rPr>
              <w:t>2448</w:t>
            </w:r>
            <w:r>
              <w:rPr>
                <w:rFonts w:hint="default" w:ascii="Times New Roman" w:hAnsi="Times New Roman" w:cs="Times New Roman"/>
                <w:smallCaps w:val="0"/>
                <w:color w:val="auto"/>
                <w:sz w:val="24"/>
                <w:szCs w:val="24"/>
                <w:highlight w:val="none"/>
                <w:lang w:val="en-US" w:eastAsia="zh-CN"/>
              </w:rPr>
              <w:t>t/a</w:t>
            </w:r>
            <w:r>
              <w:rPr>
                <w:rFonts w:hint="default" w:ascii="Times New Roman" w:hAnsi="Times New Roman" w:cs="Times New Roman"/>
                <w:smallCaps w:val="0"/>
                <w:color w:val="auto"/>
                <w:sz w:val="24"/>
                <w:szCs w:val="24"/>
                <w:highlight w:val="none"/>
              </w:rPr>
              <w:t>。</w:t>
            </w:r>
          </w:p>
          <w:p w14:paraId="1B5D89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smallCaps w:val="0"/>
                <w:color w:val="auto"/>
                <w:sz w:val="24"/>
                <w:szCs w:val="24"/>
                <w:highlight w:val="none"/>
              </w:rPr>
            </w:pPr>
            <w:r>
              <w:rPr>
                <w:rFonts w:hint="default" w:ascii="Times New Roman" w:hAnsi="Times New Roman" w:cs="Times New Roman"/>
                <w:smallCaps w:val="0"/>
                <w:color w:val="auto"/>
                <w:sz w:val="24"/>
                <w:szCs w:val="24"/>
                <w:highlight w:val="none"/>
              </w:rPr>
              <w:t>综上所述，本项目总用水量为</w:t>
            </w:r>
            <w:r>
              <w:rPr>
                <w:rFonts w:hint="default" w:ascii="Times New Roman" w:hAnsi="Times New Roman" w:cs="Times New Roman"/>
                <w:smallCaps w:val="0"/>
                <w:color w:val="auto"/>
                <w:sz w:val="24"/>
                <w:szCs w:val="24"/>
                <w:highlight w:val="none"/>
                <w:lang w:val="en-US" w:eastAsia="zh-CN"/>
              </w:rPr>
              <w:t>2</w:t>
            </w:r>
            <w:r>
              <w:rPr>
                <w:rFonts w:hint="eastAsia" w:cs="Times New Roman"/>
                <w:smallCaps w:val="0"/>
                <w:color w:val="auto"/>
                <w:sz w:val="24"/>
                <w:szCs w:val="24"/>
                <w:highlight w:val="none"/>
                <w:lang w:val="en-US" w:eastAsia="zh-CN"/>
              </w:rPr>
              <w:t>80.78</w:t>
            </w:r>
            <w:r>
              <w:rPr>
                <w:rFonts w:hint="default" w:ascii="Times New Roman" w:hAnsi="Times New Roman" w:cs="Times New Roman"/>
                <w:smallCaps w:val="0"/>
                <w:color w:val="auto"/>
                <w:sz w:val="24"/>
                <w:szCs w:val="24"/>
                <w:highlight w:val="none"/>
                <w:lang w:val="en-US" w:eastAsia="zh-CN"/>
              </w:rPr>
              <w:t>t</w:t>
            </w:r>
            <w:r>
              <w:rPr>
                <w:rFonts w:hint="default" w:ascii="Times New Roman" w:hAnsi="Times New Roman" w:cs="Times New Roman"/>
                <w:smallCaps w:val="0"/>
                <w:color w:val="auto"/>
                <w:sz w:val="24"/>
                <w:szCs w:val="24"/>
                <w:highlight w:val="none"/>
              </w:rPr>
              <w:t>/d，</w:t>
            </w:r>
            <w:r>
              <w:rPr>
                <w:rFonts w:hint="default" w:ascii="Times New Roman" w:hAnsi="Times New Roman" w:cs="Times New Roman"/>
                <w:smallCaps w:val="0"/>
                <w:color w:val="auto"/>
                <w:sz w:val="24"/>
                <w:szCs w:val="24"/>
                <w:highlight w:val="none"/>
                <w:lang w:val="en-US" w:eastAsia="zh-CN"/>
              </w:rPr>
              <w:t>8</w:t>
            </w:r>
            <w:r>
              <w:rPr>
                <w:rFonts w:hint="eastAsia" w:cs="Times New Roman"/>
                <w:smallCaps w:val="0"/>
                <w:color w:val="auto"/>
                <w:sz w:val="24"/>
                <w:szCs w:val="24"/>
                <w:highlight w:val="none"/>
                <w:lang w:val="en-US" w:eastAsia="zh-CN"/>
              </w:rPr>
              <w:t>4235.07</w:t>
            </w:r>
            <w:r>
              <w:rPr>
                <w:rFonts w:hint="default" w:ascii="Times New Roman" w:hAnsi="Times New Roman" w:cs="Times New Roman"/>
                <w:smallCaps w:val="0"/>
                <w:color w:val="auto"/>
                <w:sz w:val="24"/>
                <w:szCs w:val="24"/>
                <w:highlight w:val="none"/>
                <w:lang w:val="en-US" w:eastAsia="zh-CN"/>
              </w:rPr>
              <w:t>t/a</w:t>
            </w:r>
            <w:r>
              <w:rPr>
                <w:rFonts w:hint="default" w:ascii="Times New Roman" w:hAnsi="Times New Roman" w:cs="Times New Roman"/>
                <w:smallCaps w:val="0"/>
                <w:color w:val="auto"/>
                <w:sz w:val="24"/>
                <w:szCs w:val="24"/>
                <w:highlight w:val="none"/>
              </w:rPr>
              <w:t>。</w:t>
            </w:r>
          </w:p>
          <w:p w14:paraId="1EEDFF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smallCaps w:val="0"/>
                <w:color w:val="auto"/>
                <w:sz w:val="24"/>
                <w:szCs w:val="24"/>
                <w:highlight w:val="none"/>
              </w:rPr>
            </w:pPr>
            <w:r>
              <w:rPr>
                <w:rFonts w:hint="default" w:ascii="Times New Roman" w:hAnsi="Times New Roman" w:cs="Times New Roman"/>
                <w:smallCaps w:val="0"/>
                <w:color w:val="auto"/>
                <w:sz w:val="24"/>
                <w:szCs w:val="24"/>
                <w:highlight w:val="none"/>
              </w:rPr>
              <w:t>（3）排水</w:t>
            </w:r>
          </w:p>
          <w:p w14:paraId="5C664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smallCaps w:val="0"/>
                <w:color w:val="auto"/>
                <w:sz w:val="24"/>
                <w:szCs w:val="24"/>
                <w:highlight w:val="none"/>
                <w:lang w:eastAsia="zh-CN"/>
              </w:rPr>
            </w:pPr>
            <w:r>
              <w:rPr>
                <w:rFonts w:hint="default" w:ascii="Times New Roman" w:hAnsi="Times New Roman" w:cs="Times New Roman"/>
                <w:smallCaps w:val="0"/>
                <w:color w:val="auto"/>
                <w:sz w:val="24"/>
                <w:szCs w:val="24"/>
                <w:highlight w:val="none"/>
              </w:rPr>
              <w:t>本项目产生的废水主要包括生产废水和生活污水。其中，生产废水包括锅炉排水</w:t>
            </w:r>
            <w:r>
              <w:rPr>
                <w:rFonts w:hint="default" w:ascii="Times New Roman" w:hAnsi="Times New Roman" w:cs="Times New Roman"/>
                <w:smallCaps w:val="0"/>
                <w:color w:val="auto"/>
                <w:sz w:val="24"/>
                <w:szCs w:val="24"/>
                <w:highlight w:val="none"/>
                <w:lang w:eastAsia="zh-CN"/>
              </w:rPr>
              <w:t>、</w:t>
            </w:r>
            <w:r>
              <w:rPr>
                <w:rFonts w:hint="default" w:ascii="Times New Roman" w:hAnsi="Times New Roman" w:cs="Times New Roman"/>
                <w:smallCaps w:val="0"/>
                <w:color w:val="auto"/>
                <w:sz w:val="24"/>
                <w:szCs w:val="24"/>
                <w:highlight w:val="none"/>
              </w:rPr>
              <w:t>软化水系统排水</w:t>
            </w:r>
            <w:r>
              <w:rPr>
                <w:rFonts w:hint="eastAsia" w:cs="Times New Roman"/>
                <w:smallCaps w:val="0"/>
                <w:color w:val="auto"/>
                <w:sz w:val="24"/>
                <w:szCs w:val="24"/>
                <w:highlight w:val="none"/>
                <w:lang w:eastAsia="zh-CN"/>
              </w:rPr>
              <w:t>、油脚脱水废水。</w:t>
            </w:r>
          </w:p>
          <w:p w14:paraId="60C177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smallCaps w:val="0"/>
                <w:color w:val="auto"/>
                <w:sz w:val="24"/>
                <w:szCs w:val="24"/>
                <w:highlight w:val="none"/>
              </w:rPr>
            </w:pPr>
            <w:r>
              <w:rPr>
                <w:rFonts w:hint="eastAsia" w:ascii="Times New Roman" w:hAnsi="Times New Roman" w:cs="Times New Roman"/>
                <w:smallCaps w:val="0"/>
                <w:color w:val="auto"/>
                <w:sz w:val="24"/>
                <w:szCs w:val="24"/>
                <w:highlight w:val="none"/>
                <w:lang w:eastAsia="zh-CN"/>
              </w:rPr>
              <w:t>①</w:t>
            </w:r>
            <w:r>
              <w:rPr>
                <w:rFonts w:hint="default" w:ascii="Times New Roman" w:hAnsi="Times New Roman" w:cs="Times New Roman"/>
                <w:smallCaps w:val="0"/>
                <w:color w:val="auto"/>
                <w:sz w:val="24"/>
                <w:szCs w:val="24"/>
                <w:highlight w:val="none"/>
              </w:rPr>
              <w:t>生活</w:t>
            </w:r>
            <w:r>
              <w:rPr>
                <w:rFonts w:hint="default" w:ascii="Times New Roman" w:hAnsi="Times New Roman" w:cs="Times New Roman"/>
                <w:smallCaps w:val="0"/>
                <w:color w:val="auto"/>
                <w:sz w:val="24"/>
                <w:szCs w:val="24"/>
                <w:highlight w:val="none"/>
                <w:lang w:val="zh-CN"/>
              </w:rPr>
              <w:t>污水</w:t>
            </w:r>
          </w:p>
          <w:p w14:paraId="3BE015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smallCaps w:val="0"/>
                <w:color w:val="auto"/>
                <w:sz w:val="24"/>
                <w:szCs w:val="24"/>
                <w:highlight w:val="none"/>
              </w:rPr>
            </w:pPr>
            <w:r>
              <w:rPr>
                <w:rFonts w:hint="default" w:ascii="Times New Roman" w:hAnsi="Times New Roman" w:cs="Times New Roman"/>
                <w:smallCaps w:val="0"/>
                <w:color w:val="auto"/>
                <w:sz w:val="24"/>
                <w:szCs w:val="24"/>
                <w:highlight w:val="none"/>
              </w:rPr>
              <w:t>本项目生活污水产生量按用水量的80%计，则生活污水产生量</w:t>
            </w:r>
            <w:r>
              <w:rPr>
                <w:rFonts w:hint="eastAsia" w:cs="Times New Roman"/>
                <w:smallCaps w:val="0"/>
                <w:color w:val="auto"/>
                <w:sz w:val="24"/>
                <w:szCs w:val="24"/>
                <w:highlight w:val="none"/>
                <w:lang w:val="en-US" w:eastAsia="zh-CN"/>
              </w:rPr>
              <w:t>6.53</w:t>
            </w:r>
            <w:r>
              <w:rPr>
                <w:rFonts w:hint="eastAsia" w:ascii="Times New Roman" w:hAnsi="Times New Roman" w:cs="Times New Roman"/>
                <w:smallCaps w:val="0"/>
                <w:color w:val="auto"/>
                <w:sz w:val="24"/>
                <w:szCs w:val="24"/>
                <w:highlight w:val="none"/>
                <w:lang w:val="en-US" w:eastAsia="zh-CN"/>
              </w:rPr>
              <w:t>t</w:t>
            </w:r>
            <w:r>
              <w:rPr>
                <w:rFonts w:hint="default" w:ascii="Times New Roman" w:hAnsi="Times New Roman" w:cs="Times New Roman"/>
                <w:smallCaps w:val="0"/>
                <w:color w:val="auto"/>
                <w:sz w:val="24"/>
                <w:szCs w:val="24"/>
                <w:highlight w:val="none"/>
              </w:rPr>
              <w:t>/d，</w:t>
            </w:r>
            <w:r>
              <w:rPr>
                <w:rFonts w:hint="eastAsia" w:cs="Times New Roman"/>
                <w:smallCaps w:val="0"/>
                <w:color w:val="auto"/>
                <w:sz w:val="24"/>
                <w:szCs w:val="24"/>
                <w:highlight w:val="none"/>
                <w:lang w:val="en-US" w:eastAsia="zh-CN"/>
              </w:rPr>
              <w:t>1958.4</w:t>
            </w:r>
            <w:r>
              <w:rPr>
                <w:rFonts w:hint="eastAsia" w:ascii="Times New Roman" w:hAnsi="Times New Roman" w:cs="Times New Roman"/>
                <w:smallCaps w:val="0"/>
                <w:color w:val="auto"/>
                <w:sz w:val="24"/>
                <w:szCs w:val="24"/>
                <w:highlight w:val="none"/>
                <w:lang w:val="en-US" w:eastAsia="zh-CN"/>
              </w:rPr>
              <w:t>t</w:t>
            </w:r>
            <w:r>
              <w:rPr>
                <w:rFonts w:hint="default" w:ascii="Times New Roman" w:hAnsi="Times New Roman" w:cs="Times New Roman"/>
                <w:smallCaps w:val="0"/>
                <w:color w:val="auto"/>
                <w:sz w:val="24"/>
                <w:szCs w:val="24"/>
                <w:highlight w:val="none"/>
              </w:rPr>
              <w:t>/a。</w:t>
            </w:r>
            <w:r>
              <w:rPr>
                <w:rFonts w:hint="default" w:ascii="Times New Roman" w:hAnsi="Times New Roman" w:cs="Times New Roman"/>
                <w:smallCaps w:val="0"/>
                <w:color w:val="auto"/>
                <w:sz w:val="24"/>
                <w:szCs w:val="24"/>
                <w:highlight w:val="none"/>
                <w:lang w:eastAsia="zh-CN"/>
              </w:rPr>
              <w:t>生活污水进入市政排水管网进一步处理。</w:t>
            </w:r>
          </w:p>
          <w:p w14:paraId="4B98CD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Times New Roman" w:hAnsi="Times New Roman" w:eastAsia="宋体" w:cs="Times New Roman"/>
                <w:smallCaps w:val="0"/>
                <w:color w:val="auto"/>
                <w:sz w:val="24"/>
                <w:szCs w:val="24"/>
                <w:highlight w:val="none"/>
                <w:lang w:eastAsia="zh-CN"/>
              </w:rPr>
            </w:pPr>
            <w:r>
              <w:rPr>
                <w:rFonts w:hint="eastAsia" w:ascii="Times New Roman" w:hAnsi="Times New Roman" w:cs="Times New Roman"/>
                <w:smallCaps w:val="0"/>
                <w:color w:val="auto"/>
                <w:sz w:val="24"/>
                <w:szCs w:val="24"/>
                <w:highlight w:val="none"/>
                <w:lang w:eastAsia="zh-CN"/>
              </w:rPr>
              <w:t>②生产废水</w:t>
            </w:r>
          </w:p>
          <w:p w14:paraId="6BF38C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smallCaps w:val="0"/>
                <w:color w:val="auto"/>
                <w:sz w:val="24"/>
                <w:szCs w:val="24"/>
                <w:highlight w:val="none"/>
                <w:lang w:val="en-US" w:eastAsia="zh-CN"/>
              </w:rPr>
            </w:pPr>
            <w:r>
              <w:rPr>
                <w:rFonts w:hint="default" w:ascii="Times New Roman" w:hAnsi="Times New Roman" w:cs="Times New Roman"/>
                <w:smallCaps w:val="0"/>
                <w:color w:val="auto"/>
                <w:sz w:val="24"/>
                <w:szCs w:val="24"/>
                <w:highlight w:val="none"/>
                <w:lang w:val="en-US" w:eastAsia="zh-CN"/>
              </w:rPr>
              <w:t>本项目</w:t>
            </w:r>
            <w:r>
              <w:rPr>
                <w:rFonts w:hint="default" w:ascii="Times New Roman" w:hAnsi="Times New Roman" w:cs="Times New Roman"/>
                <w:smallCaps w:val="0"/>
                <w:color w:val="auto"/>
                <w:sz w:val="24"/>
                <w:szCs w:val="24"/>
                <w:highlight w:val="none"/>
                <w:lang w:eastAsia="zh-CN"/>
              </w:rPr>
              <w:t>浸出</w:t>
            </w:r>
            <w:r>
              <w:rPr>
                <w:rFonts w:hint="default" w:ascii="Times New Roman" w:hAnsi="Times New Roman" w:cs="Times New Roman"/>
                <w:smallCaps w:val="0"/>
                <w:color w:val="auto"/>
                <w:sz w:val="24"/>
                <w:szCs w:val="24"/>
                <w:highlight w:val="none"/>
                <w:lang w:val="en-US" w:eastAsia="zh-CN"/>
              </w:rPr>
              <w:t>工艺环节所用蒸汽由厂内</w:t>
            </w:r>
            <w:r>
              <w:rPr>
                <w:rFonts w:hint="eastAsia" w:cs="Times New Roman"/>
                <w:smallCaps w:val="0"/>
                <w:color w:val="auto"/>
                <w:sz w:val="24"/>
                <w:szCs w:val="24"/>
                <w:highlight w:val="none"/>
                <w:lang w:val="en-US" w:eastAsia="zh-CN"/>
              </w:rPr>
              <w:t>18</w:t>
            </w:r>
            <w:r>
              <w:rPr>
                <w:rFonts w:hint="default" w:ascii="Times New Roman" w:hAnsi="Times New Roman" w:cs="Times New Roman"/>
                <w:smallCaps w:val="0"/>
                <w:color w:val="auto"/>
                <w:sz w:val="24"/>
                <w:szCs w:val="24"/>
                <w:highlight w:val="none"/>
                <w:lang w:val="en-US" w:eastAsia="zh-CN"/>
              </w:rPr>
              <w:t>t/h生物质锅炉提供，</w:t>
            </w:r>
            <w:r>
              <w:rPr>
                <w:rFonts w:hint="default" w:ascii="Times New Roman" w:hAnsi="Times New Roman" w:cs="Times New Roman"/>
                <w:smallCaps w:val="0"/>
                <w:color w:val="auto"/>
                <w:sz w:val="24"/>
                <w:szCs w:val="24"/>
                <w:highlight w:val="none"/>
                <w:lang w:eastAsia="zh-CN"/>
              </w:rPr>
              <w:t>总用蒸汽量</w:t>
            </w:r>
            <w:r>
              <w:rPr>
                <w:rFonts w:hint="default" w:ascii="Times New Roman" w:hAnsi="Times New Roman" w:cs="Times New Roman"/>
                <w:smallCaps w:val="0"/>
                <w:color w:val="auto"/>
                <w:sz w:val="24"/>
                <w:szCs w:val="24"/>
                <w:highlight w:val="none"/>
                <w:lang w:val="en-US" w:eastAsia="zh-CN"/>
              </w:rPr>
              <w:t>按</w:t>
            </w:r>
            <w:r>
              <w:rPr>
                <w:rFonts w:hint="eastAsia" w:cs="Times New Roman"/>
                <w:smallCaps w:val="0"/>
                <w:color w:val="auto"/>
                <w:sz w:val="24"/>
                <w:szCs w:val="24"/>
                <w:highlight w:val="none"/>
                <w:lang w:val="en-US" w:eastAsia="zh-CN"/>
              </w:rPr>
              <w:t>18</w:t>
            </w:r>
            <w:r>
              <w:rPr>
                <w:rFonts w:hint="default" w:ascii="Times New Roman" w:hAnsi="Times New Roman" w:cs="Times New Roman"/>
                <w:smallCaps w:val="0"/>
                <w:color w:val="auto"/>
                <w:sz w:val="24"/>
                <w:szCs w:val="24"/>
                <w:highlight w:val="none"/>
                <w:lang w:eastAsia="zh-CN"/>
              </w:rPr>
              <w:t>t/h（</w:t>
            </w:r>
            <w:r>
              <w:rPr>
                <w:rFonts w:hint="eastAsia" w:cs="Times New Roman"/>
                <w:smallCaps w:val="0"/>
                <w:color w:val="auto"/>
                <w:sz w:val="24"/>
                <w:szCs w:val="24"/>
                <w:highlight w:val="none"/>
                <w:lang w:val="en-US" w:eastAsia="zh-CN"/>
              </w:rPr>
              <w:t>432</w:t>
            </w:r>
            <w:r>
              <w:rPr>
                <w:rFonts w:hint="default" w:ascii="Times New Roman" w:hAnsi="Times New Roman" w:cs="Times New Roman"/>
                <w:smallCaps w:val="0"/>
                <w:color w:val="auto"/>
                <w:sz w:val="24"/>
                <w:szCs w:val="24"/>
                <w:highlight w:val="none"/>
                <w:lang w:eastAsia="zh-CN"/>
              </w:rPr>
              <w:t>t/d）</w:t>
            </w:r>
            <w:r>
              <w:rPr>
                <w:rFonts w:hint="default" w:ascii="Times New Roman" w:hAnsi="Times New Roman" w:cs="Times New Roman"/>
                <w:smallCaps w:val="0"/>
                <w:color w:val="auto"/>
                <w:sz w:val="24"/>
                <w:szCs w:val="24"/>
                <w:highlight w:val="none"/>
                <w:lang w:val="en-US" w:eastAsia="zh-CN"/>
              </w:rPr>
              <w:t>计</w:t>
            </w:r>
            <w:r>
              <w:rPr>
                <w:rFonts w:hint="default" w:ascii="Times New Roman" w:hAnsi="Times New Roman" w:cs="Times New Roman"/>
                <w:smallCaps w:val="0"/>
                <w:color w:val="auto"/>
                <w:sz w:val="24"/>
                <w:szCs w:val="24"/>
                <w:highlight w:val="none"/>
                <w:lang w:eastAsia="zh-CN"/>
              </w:rPr>
              <w:t>，其中</w:t>
            </w:r>
            <w:r>
              <w:rPr>
                <w:rFonts w:hint="eastAsia" w:cs="Times New Roman"/>
                <w:smallCaps w:val="0"/>
                <w:color w:val="auto"/>
                <w:sz w:val="24"/>
                <w:szCs w:val="24"/>
                <w:highlight w:val="none"/>
                <w:lang w:eastAsia="zh-CN"/>
              </w:rPr>
              <w:t>大豆软化、</w:t>
            </w:r>
            <w:r>
              <w:rPr>
                <w:rFonts w:hint="default" w:ascii="Times New Roman" w:hAnsi="Times New Roman" w:cs="Times New Roman"/>
                <w:smallCaps w:val="0"/>
                <w:color w:val="auto"/>
                <w:sz w:val="24"/>
                <w:szCs w:val="24"/>
                <w:highlight w:val="none"/>
                <w:lang w:eastAsia="zh-CN"/>
              </w:rPr>
              <w:t>湿粕脱溶、混合油汽提、含溶废水蒸煮等工艺操作过程喷入的直接蒸汽，经冷凝器冷凝后产生部分废水。使用</w:t>
            </w:r>
            <w:r>
              <w:rPr>
                <w:rFonts w:hint="eastAsia" w:cs="Times New Roman"/>
                <w:smallCaps w:val="0"/>
                <w:color w:val="auto"/>
                <w:sz w:val="24"/>
                <w:szCs w:val="24"/>
                <w:highlight w:val="none"/>
                <w:lang w:eastAsia="zh-CN"/>
              </w:rPr>
              <w:t>过程</w:t>
            </w:r>
            <w:r>
              <w:rPr>
                <w:rFonts w:hint="default" w:ascii="Times New Roman" w:hAnsi="Times New Roman" w:cs="Times New Roman"/>
                <w:smallCaps w:val="0"/>
                <w:color w:val="auto"/>
                <w:sz w:val="24"/>
                <w:szCs w:val="24"/>
                <w:highlight w:val="none"/>
                <w:lang w:eastAsia="zh-CN"/>
              </w:rPr>
              <w:t>蒸发</w:t>
            </w:r>
            <w:r>
              <w:rPr>
                <w:rFonts w:hint="eastAsia" w:cs="Times New Roman"/>
                <w:smallCaps w:val="0"/>
                <w:color w:val="auto"/>
                <w:sz w:val="24"/>
                <w:szCs w:val="24"/>
                <w:highlight w:val="none"/>
                <w:lang w:eastAsia="zh-CN"/>
              </w:rPr>
              <w:t>损失和跑冒滴漏</w:t>
            </w:r>
            <w:r>
              <w:rPr>
                <w:rFonts w:hint="default" w:ascii="Times New Roman" w:hAnsi="Times New Roman" w:cs="Times New Roman"/>
                <w:smallCaps w:val="0"/>
                <w:color w:val="auto"/>
                <w:sz w:val="24"/>
                <w:szCs w:val="24"/>
                <w:highlight w:val="none"/>
                <w:lang w:eastAsia="zh-CN"/>
              </w:rPr>
              <w:t>约</w:t>
            </w:r>
            <w:r>
              <w:rPr>
                <w:rFonts w:hint="eastAsia" w:cs="Times New Roman"/>
                <w:smallCaps w:val="0"/>
                <w:color w:val="auto"/>
                <w:sz w:val="24"/>
                <w:szCs w:val="24"/>
                <w:highlight w:val="none"/>
                <w:lang w:val="en-US" w:eastAsia="zh-CN"/>
              </w:rPr>
              <w:t>5.4</w:t>
            </w:r>
            <w:r>
              <w:rPr>
                <w:rFonts w:hint="default" w:ascii="Times New Roman" w:hAnsi="Times New Roman" w:cs="Times New Roman"/>
                <w:smallCaps w:val="0"/>
                <w:color w:val="auto"/>
                <w:sz w:val="24"/>
                <w:szCs w:val="24"/>
                <w:highlight w:val="none"/>
                <w:lang w:eastAsia="zh-CN"/>
              </w:rPr>
              <w:t>t/h（</w:t>
            </w:r>
            <w:r>
              <w:rPr>
                <w:rFonts w:hint="eastAsia" w:cs="Times New Roman"/>
                <w:smallCaps w:val="0"/>
                <w:color w:val="auto"/>
                <w:sz w:val="24"/>
                <w:szCs w:val="24"/>
                <w:highlight w:val="none"/>
                <w:lang w:val="en-US" w:eastAsia="zh-CN"/>
              </w:rPr>
              <w:t>38880</w:t>
            </w:r>
            <w:r>
              <w:rPr>
                <w:rFonts w:hint="eastAsia" w:ascii="Times New Roman" w:hAnsi="Times New Roman" w:cs="Times New Roman"/>
                <w:smallCaps w:val="0"/>
                <w:color w:val="auto"/>
                <w:sz w:val="24"/>
                <w:szCs w:val="24"/>
                <w:highlight w:val="none"/>
                <w:lang w:val="en-US" w:eastAsia="zh-CN"/>
              </w:rPr>
              <w:t>t/</w:t>
            </w:r>
            <w:r>
              <w:rPr>
                <w:rFonts w:hint="eastAsia" w:cs="Times New Roman"/>
                <w:smallCaps w:val="0"/>
                <w:color w:val="auto"/>
                <w:sz w:val="24"/>
                <w:szCs w:val="24"/>
                <w:highlight w:val="none"/>
                <w:lang w:val="en-US" w:eastAsia="zh-CN"/>
              </w:rPr>
              <w:t>a</w:t>
            </w:r>
            <w:r>
              <w:rPr>
                <w:rFonts w:hint="default" w:ascii="Times New Roman" w:hAnsi="Times New Roman" w:cs="Times New Roman"/>
                <w:smallCaps w:val="0"/>
                <w:color w:val="auto"/>
                <w:sz w:val="24"/>
                <w:szCs w:val="24"/>
                <w:highlight w:val="none"/>
                <w:lang w:eastAsia="zh-CN"/>
              </w:rPr>
              <w:t>），约占</w:t>
            </w:r>
            <w:r>
              <w:rPr>
                <w:rFonts w:hint="eastAsia" w:cs="Times New Roman"/>
                <w:smallCaps w:val="0"/>
                <w:color w:val="auto"/>
                <w:sz w:val="24"/>
                <w:szCs w:val="24"/>
                <w:highlight w:val="none"/>
                <w:lang w:val="en-US" w:eastAsia="zh-CN"/>
              </w:rPr>
              <w:t>3</w:t>
            </w:r>
            <w:r>
              <w:rPr>
                <w:rFonts w:hint="default" w:ascii="Times New Roman" w:hAnsi="Times New Roman" w:cs="Times New Roman"/>
                <w:smallCaps w:val="0"/>
                <w:color w:val="auto"/>
                <w:sz w:val="24"/>
                <w:szCs w:val="24"/>
                <w:highlight w:val="none"/>
                <w:lang w:val="en-US" w:eastAsia="zh-CN"/>
              </w:rPr>
              <w:t>0</w:t>
            </w:r>
            <w:r>
              <w:rPr>
                <w:rFonts w:hint="default" w:ascii="Times New Roman" w:hAnsi="Times New Roman" w:cs="Times New Roman"/>
                <w:smallCaps w:val="0"/>
                <w:color w:val="auto"/>
                <w:sz w:val="24"/>
                <w:szCs w:val="24"/>
                <w:highlight w:val="none"/>
                <w:lang w:eastAsia="zh-CN"/>
              </w:rPr>
              <w:t>%</w:t>
            </w:r>
            <w:r>
              <w:rPr>
                <w:rFonts w:hint="eastAsia" w:cs="Times New Roman"/>
                <w:smallCaps w:val="0"/>
                <w:color w:val="auto"/>
                <w:sz w:val="24"/>
                <w:szCs w:val="24"/>
                <w:highlight w:val="none"/>
                <w:lang w:eastAsia="zh-CN"/>
              </w:rPr>
              <w:t>，</w:t>
            </w:r>
            <w:r>
              <w:rPr>
                <w:rFonts w:hint="default" w:ascii="Times New Roman" w:hAnsi="Times New Roman" w:cs="Times New Roman"/>
                <w:smallCaps w:val="0"/>
                <w:color w:val="auto"/>
                <w:sz w:val="24"/>
                <w:szCs w:val="24"/>
                <w:highlight w:val="none"/>
              </w:rPr>
              <w:t>锅炉排水主要包括锅炉排污水和软化处理废水，根据《排放源统计调查产排污核算和系数手册（2021）》，</w:t>
            </w:r>
            <w:r>
              <w:rPr>
                <w:rFonts w:hint="eastAsia" w:cs="Times New Roman"/>
                <w:smallCaps w:val="0"/>
                <w:color w:val="auto"/>
                <w:sz w:val="24"/>
                <w:szCs w:val="24"/>
                <w:highlight w:val="none"/>
                <w:lang w:val="en-US" w:eastAsia="zh-CN"/>
              </w:rPr>
              <w:t>1331</w:t>
            </w:r>
            <w:r>
              <w:rPr>
                <w:rFonts w:hint="default" w:ascii="Times New Roman" w:hAnsi="Times New Roman" w:cs="Times New Roman"/>
                <w:smallCaps w:val="0"/>
                <w:color w:val="auto"/>
                <w:sz w:val="24"/>
                <w:szCs w:val="24"/>
                <w:highlight w:val="none"/>
              </w:rPr>
              <w:t>工业锅炉（热力生产和供应）产排污系数表-工业废水量和化学需氧量，生物质锅炉的锅炉排污水+软化处理废水的产污系数为0.356吨/吨-原料，COD产生系数为30克/吨-原料。生物质成型燃料使用量为</w:t>
            </w:r>
            <w:r>
              <w:rPr>
                <w:rFonts w:hint="default" w:ascii="Times New Roman" w:hAnsi="Times New Roman" w:cs="Times New Roman"/>
                <w:smallCaps w:val="0"/>
                <w:color w:val="auto"/>
                <w:sz w:val="24"/>
                <w:szCs w:val="24"/>
                <w:highlight w:val="none"/>
                <w:lang w:val="en-US" w:eastAsia="zh-CN"/>
              </w:rPr>
              <w:t>33226.68</w:t>
            </w:r>
            <w:r>
              <w:rPr>
                <w:rFonts w:hint="default" w:ascii="Times New Roman" w:hAnsi="Times New Roman" w:cs="Times New Roman"/>
                <w:smallCaps w:val="0"/>
                <w:color w:val="auto"/>
                <w:sz w:val="24"/>
                <w:szCs w:val="24"/>
                <w:highlight w:val="none"/>
              </w:rPr>
              <w:t>t/a，则锅炉排污水和软化处理废水总的产生量为</w:t>
            </w:r>
            <w:r>
              <w:rPr>
                <w:rFonts w:hint="eastAsia" w:cs="Times New Roman"/>
                <w:smallCaps w:val="0"/>
                <w:color w:val="auto"/>
                <w:sz w:val="24"/>
                <w:szCs w:val="24"/>
                <w:highlight w:val="none"/>
                <w:lang w:val="en-US" w:eastAsia="zh-CN"/>
              </w:rPr>
              <w:t>11828.7</w:t>
            </w:r>
            <w:r>
              <w:rPr>
                <w:rFonts w:hint="default" w:ascii="Times New Roman" w:hAnsi="Times New Roman" w:cs="Times New Roman"/>
                <w:smallCaps w:val="0"/>
                <w:color w:val="auto"/>
                <w:sz w:val="24"/>
                <w:szCs w:val="24"/>
                <w:highlight w:val="none"/>
              </w:rPr>
              <w:t>t/a</w:t>
            </w:r>
            <w:r>
              <w:rPr>
                <w:rFonts w:hint="eastAsia" w:cs="Times New Roman"/>
                <w:smallCaps w:val="0"/>
                <w:color w:val="auto"/>
                <w:sz w:val="24"/>
                <w:szCs w:val="24"/>
                <w:highlight w:val="none"/>
                <w:lang w:eastAsia="zh-CN"/>
              </w:rPr>
              <w:t>，</w:t>
            </w:r>
            <w:r>
              <w:rPr>
                <w:rFonts w:hint="eastAsia" w:cs="Times New Roman"/>
                <w:smallCaps w:val="0"/>
                <w:color w:val="auto"/>
                <w:sz w:val="24"/>
                <w:szCs w:val="24"/>
                <w:highlight w:val="none"/>
                <w:lang w:val="en-US" w:eastAsia="zh-CN"/>
              </w:rPr>
              <w:t>39.43</w:t>
            </w:r>
            <w:r>
              <w:rPr>
                <w:rFonts w:hint="default" w:ascii="Times New Roman" w:hAnsi="Times New Roman" w:cs="Times New Roman"/>
                <w:smallCaps w:val="0"/>
                <w:color w:val="auto"/>
                <w:sz w:val="24"/>
                <w:szCs w:val="24"/>
                <w:highlight w:val="none"/>
              </w:rPr>
              <w:t>t/</w:t>
            </w:r>
            <w:r>
              <w:rPr>
                <w:rFonts w:hint="eastAsia" w:ascii="Times New Roman" w:hAnsi="Times New Roman" w:cs="Times New Roman"/>
                <w:smallCaps w:val="0"/>
                <w:color w:val="auto"/>
                <w:sz w:val="24"/>
                <w:szCs w:val="24"/>
                <w:highlight w:val="none"/>
                <w:lang w:val="en-US" w:eastAsia="zh-CN"/>
              </w:rPr>
              <w:t>d</w:t>
            </w:r>
            <w:r>
              <w:rPr>
                <w:rFonts w:hint="eastAsia" w:cs="Times New Roman"/>
                <w:smallCaps w:val="0"/>
                <w:color w:val="auto"/>
                <w:sz w:val="24"/>
                <w:szCs w:val="24"/>
                <w:highlight w:val="none"/>
                <w:lang w:val="en-US" w:eastAsia="zh-CN"/>
              </w:rPr>
              <w:t>，其中5.3t/d、1588.49</w:t>
            </w:r>
            <w:r>
              <w:rPr>
                <w:rFonts w:hint="default" w:ascii="Times New Roman" w:hAnsi="Times New Roman" w:cs="Times New Roman"/>
                <w:smallCaps w:val="0"/>
                <w:color w:val="auto"/>
                <w:sz w:val="24"/>
                <w:szCs w:val="24"/>
                <w:highlight w:val="none"/>
              </w:rPr>
              <w:t>t/a</w:t>
            </w:r>
            <w:r>
              <w:rPr>
                <w:rFonts w:hint="eastAsia" w:cs="Times New Roman"/>
                <w:smallCaps w:val="0"/>
                <w:color w:val="auto"/>
                <w:sz w:val="24"/>
                <w:szCs w:val="24"/>
                <w:highlight w:val="none"/>
                <w:lang w:val="en-US" w:eastAsia="zh-CN"/>
              </w:rPr>
              <w:t>的锅炉排污水用于厂区洒水降尘和给灰渣加湿，本项目厂房面积为13691m</w:t>
            </w:r>
            <w:r>
              <w:rPr>
                <w:rFonts w:hint="eastAsia" w:cs="Times New Roman"/>
                <w:smallCaps w:val="0"/>
                <w:color w:val="auto"/>
                <w:sz w:val="24"/>
                <w:szCs w:val="24"/>
                <w:highlight w:val="none"/>
                <w:vertAlign w:val="superscript"/>
                <w:lang w:val="en-US" w:eastAsia="zh-CN"/>
              </w:rPr>
              <w:t>2</w:t>
            </w:r>
            <w:r>
              <w:rPr>
                <w:rFonts w:hint="eastAsia" w:cs="Times New Roman"/>
                <w:smallCaps w:val="0"/>
                <w:color w:val="auto"/>
                <w:sz w:val="24"/>
                <w:szCs w:val="24"/>
                <w:highlight w:val="none"/>
                <w:lang w:val="en-US" w:eastAsia="zh-CN"/>
              </w:rPr>
              <w:t>，洒水降尘和灰渣加湿水量为5.3t/d，锅炉排污水用于厂区洒水降尘和给灰渣加湿用水能全部用完，无需暂存，剩余废水排放至厂区内污水处理站，经处理后排入市政管网</w:t>
            </w:r>
            <w:r>
              <w:rPr>
                <w:rFonts w:hint="eastAsia" w:cs="Times New Roman"/>
                <w:smallCaps w:val="0"/>
                <w:color w:val="auto"/>
                <w:sz w:val="24"/>
                <w:szCs w:val="24"/>
                <w:highlight w:val="none"/>
                <w:lang w:eastAsia="zh-CN"/>
              </w:rPr>
              <w:t>；冷凝装置冷凝水循环使用，不外排</w:t>
            </w:r>
            <w:r>
              <w:rPr>
                <w:rFonts w:hint="eastAsia" w:cs="Times New Roman"/>
                <w:smallCaps w:val="0"/>
                <w:color w:val="auto"/>
                <w:sz w:val="24"/>
                <w:szCs w:val="24"/>
                <w:highlight w:val="none"/>
                <w:lang w:val="en-US" w:eastAsia="zh-CN"/>
              </w:rPr>
              <w:t>。设备清洗水为0.045</w:t>
            </w:r>
            <w:r>
              <w:rPr>
                <w:rFonts w:hint="default" w:ascii="Times New Roman" w:hAnsi="Times New Roman" w:cs="Times New Roman"/>
                <w:smallCaps w:val="0"/>
                <w:color w:val="auto"/>
                <w:sz w:val="24"/>
                <w:szCs w:val="24"/>
                <w:highlight w:val="none"/>
              </w:rPr>
              <w:t>t/</w:t>
            </w:r>
            <w:r>
              <w:rPr>
                <w:rFonts w:hint="eastAsia" w:ascii="Times New Roman" w:hAnsi="Times New Roman" w:cs="Times New Roman"/>
                <w:smallCaps w:val="0"/>
                <w:color w:val="auto"/>
                <w:sz w:val="24"/>
                <w:szCs w:val="24"/>
                <w:highlight w:val="none"/>
                <w:lang w:val="en-US" w:eastAsia="zh-CN"/>
              </w:rPr>
              <w:t>d，13.5</w:t>
            </w:r>
            <w:r>
              <w:rPr>
                <w:rFonts w:hint="default" w:ascii="Times New Roman" w:hAnsi="Times New Roman" w:cs="Times New Roman"/>
                <w:smallCaps w:val="0"/>
                <w:color w:val="auto"/>
                <w:sz w:val="24"/>
                <w:szCs w:val="24"/>
                <w:highlight w:val="none"/>
              </w:rPr>
              <w:t>t/a</w:t>
            </w:r>
            <w:r>
              <w:rPr>
                <w:rFonts w:hint="eastAsia" w:ascii="Times New Roman" w:hAnsi="Times New Roman" w:cs="Times New Roman"/>
                <w:smallCaps w:val="0"/>
                <w:color w:val="auto"/>
                <w:sz w:val="24"/>
                <w:szCs w:val="24"/>
                <w:highlight w:val="none"/>
                <w:lang w:eastAsia="zh-CN"/>
              </w:rPr>
              <w:t>。</w:t>
            </w:r>
            <w:r>
              <w:rPr>
                <w:rFonts w:hint="eastAsia" w:cs="Times New Roman"/>
                <w:smallCaps w:val="0"/>
                <w:color w:val="auto"/>
                <w:sz w:val="24"/>
                <w:szCs w:val="24"/>
                <w:highlight w:val="none"/>
                <w:lang w:val="en-US" w:eastAsia="zh-CN"/>
              </w:rPr>
              <w:t>根据</w:t>
            </w:r>
            <w:r>
              <w:rPr>
                <w:rFonts w:hint="eastAsia" w:ascii="Times New Roman" w:hAnsi="Times New Roman" w:eastAsia="宋体"/>
                <w:color w:val="auto"/>
                <w:sz w:val="24"/>
                <w:szCs w:val="24"/>
                <w:highlight w:val="none"/>
                <w:lang w:eastAsia="zh-CN"/>
              </w:rPr>
              <w:t>《排放源统计调查产排污核算和系数手册（2021）》，</w:t>
            </w:r>
            <w:r>
              <w:rPr>
                <w:rFonts w:hint="eastAsia" w:ascii="Times New Roman" w:hAnsi="Times New Roman" w:eastAsia="宋体"/>
                <w:color w:val="auto"/>
                <w:sz w:val="24"/>
                <w:szCs w:val="24"/>
                <w:highlight w:val="none"/>
                <w:lang w:val="en-US" w:eastAsia="zh-CN"/>
              </w:rPr>
              <w:t>1331 食用植物油加工行业系数手册中表7中产物系数，浸出工艺废水产物系数为0.12吨/吨-原料，本项目大豆和米糠原料共用</w:t>
            </w:r>
            <w:r>
              <w:rPr>
                <w:rFonts w:hint="eastAsia" w:ascii="Times New Roman" w:hAnsi="Times New Roman" w:eastAsia="宋体" w:cs="Times New Roman"/>
                <w:color w:val="auto"/>
                <w:sz w:val="24"/>
                <w:szCs w:val="24"/>
                <w:highlight w:val="none"/>
                <w:lang w:val="en-US" w:eastAsia="zh-CN"/>
              </w:rPr>
              <w:t>150000t，废水产生量为18000t/a</w:t>
            </w:r>
            <w:r>
              <w:rPr>
                <w:rFonts w:hint="eastAsia" w:cs="Times New Roman"/>
                <w:color w:val="auto"/>
                <w:sz w:val="24"/>
                <w:szCs w:val="24"/>
                <w:highlight w:val="none"/>
                <w:lang w:val="en-US" w:eastAsia="zh-CN"/>
              </w:rPr>
              <w:t>、60t/d</w:t>
            </w:r>
            <w:r>
              <w:rPr>
                <w:rFonts w:hint="eastAsia" w:ascii="Times New Roman" w:hAnsi="Times New Roman" w:eastAsia="宋体" w:cs="Times New Roman"/>
                <w:color w:val="auto"/>
                <w:sz w:val="24"/>
                <w:szCs w:val="24"/>
                <w:highlight w:val="none"/>
                <w:lang w:val="en-US" w:eastAsia="zh-CN"/>
              </w:rPr>
              <w:t>，废</w:t>
            </w:r>
            <w:r>
              <w:rPr>
                <w:rFonts w:hint="eastAsia" w:cs="Times New Roman"/>
                <w:smallCaps w:val="0"/>
                <w:color w:val="auto"/>
                <w:sz w:val="24"/>
                <w:szCs w:val="24"/>
                <w:highlight w:val="none"/>
                <w:lang w:val="en-US" w:eastAsia="zh-CN"/>
              </w:rPr>
              <w:t>水排入厂内污水处理站。</w:t>
            </w:r>
            <w:r>
              <w:rPr>
                <w:rFonts w:hint="eastAsia" w:ascii="Times New Roman" w:hAnsi="Times New Roman" w:eastAsia="宋体"/>
                <w:color w:val="auto"/>
                <w:sz w:val="24"/>
                <w:szCs w:val="24"/>
                <w:highlight w:val="none"/>
                <w:lang w:val="en-US" w:eastAsia="zh-CN"/>
              </w:rPr>
              <w:t xml:space="preserve"> </w:t>
            </w:r>
          </w:p>
          <w:p w14:paraId="71453F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color w:val="auto"/>
                <w:sz w:val="24"/>
                <w:highlight w:val="none"/>
              </w:rPr>
            </w:pPr>
            <w:r>
              <w:rPr>
                <w:rFonts w:hint="default" w:ascii="Times New Roman" w:hAnsi="Times New Roman" w:cs="Times New Roman"/>
                <w:smallCaps w:val="0"/>
                <w:color w:val="auto"/>
                <w:sz w:val="24"/>
                <w:szCs w:val="24"/>
                <w:highlight w:val="none"/>
              </w:rPr>
              <w:t>综上，本项目总废水量为</w:t>
            </w:r>
            <w:r>
              <w:rPr>
                <w:rFonts w:hint="eastAsia" w:cs="Times New Roman"/>
                <w:smallCaps w:val="0"/>
                <w:color w:val="auto"/>
                <w:sz w:val="24"/>
                <w:szCs w:val="24"/>
                <w:highlight w:val="none"/>
                <w:lang w:val="en-US" w:eastAsia="zh-CN"/>
              </w:rPr>
              <w:t>106.002</w:t>
            </w:r>
            <w:r>
              <w:rPr>
                <w:rFonts w:hint="default" w:ascii="Times New Roman" w:hAnsi="Times New Roman" w:cs="Times New Roman"/>
                <w:smallCaps w:val="0"/>
                <w:color w:val="auto"/>
                <w:sz w:val="24"/>
                <w:szCs w:val="24"/>
                <w:highlight w:val="none"/>
              </w:rPr>
              <w:t>m</w:t>
            </w:r>
            <w:r>
              <w:rPr>
                <w:rFonts w:hint="default" w:ascii="Times New Roman" w:hAnsi="Times New Roman" w:cs="Times New Roman"/>
                <w:smallCaps w:val="0"/>
                <w:color w:val="auto"/>
                <w:sz w:val="24"/>
                <w:szCs w:val="24"/>
                <w:highlight w:val="none"/>
                <w:vertAlign w:val="superscript"/>
              </w:rPr>
              <w:t>3</w:t>
            </w:r>
            <w:r>
              <w:rPr>
                <w:rFonts w:hint="default" w:ascii="Times New Roman" w:hAnsi="Times New Roman" w:cs="Times New Roman"/>
                <w:smallCaps w:val="0"/>
                <w:color w:val="auto"/>
                <w:sz w:val="24"/>
                <w:szCs w:val="24"/>
                <w:highlight w:val="none"/>
              </w:rPr>
              <w:t>/d（</w:t>
            </w:r>
            <w:r>
              <w:rPr>
                <w:rFonts w:hint="eastAsia" w:cs="Times New Roman"/>
                <w:smallCaps w:val="0"/>
                <w:color w:val="auto"/>
                <w:sz w:val="24"/>
                <w:szCs w:val="24"/>
                <w:highlight w:val="none"/>
                <w:lang w:val="en-US" w:eastAsia="zh-CN"/>
              </w:rPr>
              <w:t>31800.6</w:t>
            </w:r>
            <w:r>
              <w:rPr>
                <w:rFonts w:hint="default" w:ascii="Times New Roman" w:hAnsi="Times New Roman" w:cs="Times New Roman"/>
                <w:smallCaps w:val="0"/>
                <w:color w:val="auto"/>
                <w:sz w:val="24"/>
                <w:szCs w:val="24"/>
                <w:highlight w:val="none"/>
              </w:rPr>
              <w:t>m</w:t>
            </w:r>
            <w:r>
              <w:rPr>
                <w:rFonts w:hint="default" w:ascii="Times New Roman" w:hAnsi="Times New Roman" w:cs="Times New Roman"/>
                <w:smallCaps w:val="0"/>
                <w:color w:val="auto"/>
                <w:sz w:val="24"/>
                <w:szCs w:val="24"/>
                <w:highlight w:val="none"/>
                <w:vertAlign w:val="superscript"/>
              </w:rPr>
              <w:t>3</w:t>
            </w:r>
            <w:r>
              <w:rPr>
                <w:rFonts w:hint="default" w:ascii="Times New Roman" w:hAnsi="Times New Roman" w:cs="Times New Roman"/>
                <w:smallCaps w:val="0"/>
                <w:color w:val="auto"/>
                <w:sz w:val="24"/>
                <w:szCs w:val="24"/>
                <w:highlight w:val="none"/>
              </w:rPr>
              <w:t>/a）。</w:t>
            </w:r>
            <w:r>
              <w:rPr>
                <w:rFonts w:hint="eastAsia" w:cs="Times New Roman"/>
                <w:smallCaps w:val="0"/>
                <w:color w:val="auto"/>
                <w:sz w:val="24"/>
                <w:szCs w:val="24"/>
                <w:highlight w:val="none"/>
                <w:lang w:eastAsia="zh-CN"/>
              </w:rPr>
              <w:t>生活废水</w:t>
            </w:r>
            <w:r>
              <w:rPr>
                <w:rFonts w:hint="default" w:ascii="Times New Roman" w:hAnsi="Times New Roman" w:cs="Times New Roman"/>
                <w:smallCaps w:val="0"/>
                <w:color w:val="auto"/>
                <w:sz w:val="24"/>
                <w:szCs w:val="24"/>
                <w:highlight w:val="none"/>
                <w:lang w:eastAsia="zh-CN"/>
              </w:rPr>
              <w:t>经市政管网排入</w:t>
            </w:r>
            <w:r>
              <w:rPr>
                <w:rFonts w:hint="eastAsia" w:cs="Times New Roman"/>
                <w:smallCaps w:val="0"/>
                <w:color w:val="auto"/>
                <w:sz w:val="24"/>
                <w:szCs w:val="24"/>
                <w:highlight w:val="none"/>
                <w:lang w:val="en-US" w:eastAsia="zh-CN"/>
              </w:rPr>
              <w:t>桦南浦华净源水务有限公司（桦南县污水处理厂），生产废水包括锅炉排污水、设备清洗水、浸出废水，锅炉废水部分用于厂区洒水降尘和灰渣加湿，剩余部分和设备清洗水、浸出废水一同排入厂内污水处理站，排入污水处理站水量为28293.71</w:t>
            </w:r>
            <w:r>
              <w:rPr>
                <w:rFonts w:hint="default" w:ascii="Times New Roman" w:hAnsi="Times New Roman" w:cs="Times New Roman"/>
                <w:smallCaps w:val="0"/>
                <w:color w:val="auto"/>
                <w:sz w:val="24"/>
                <w:szCs w:val="24"/>
                <w:highlight w:val="none"/>
              </w:rPr>
              <w:t>m</w:t>
            </w:r>
            <w:r>
              <w:rPr>
                <w:rFonts w:hint="default" w:ascii="Times New Roman" w:hAnsi="Times New Roman" w:cs="Times New Roman"/>
                <w:smallCaps w:val="0"/>
                <w:color w:val="auto"/>
                <w:sz w:val="24"/>
                <w:szCs w:val="24"/>
                <w:highlight w:val="none"/>
                <w:vertAlign w:val="superscript"/>
              </w:rPr>
              <w:t>3</w:t>
            </w:r>
            <w:r>
              <w:rPr>
                <w:rFonts w:hint="default" w:ascii="Times New Roman" w:hAnsi="Times New Roman" w:cs="Times New Roman"/>
                <w:smallCaps w:val="0"/>
                <w:color w:val="auto"/>
                <w:sz w:val="24"/>
                <w:szCs w:val="24"/>
                <w:highlight w:val="none"/>
              </w:rPr>
              <w:t>/a</w:t>
            </w:r>
            <w:r>
              <w:rPr>
                <w:rFonts w:hint="eastAsia" w:ascii="Times New Roman" w:hAnsi="Times New Roman" w:cs="Times New Roman"/>
                <w:smallCaps w:val="0"/>
                <w:color w:val="auto"/>
                <w:sz w:val="24"/>
                <w:szCs w:val="24"/>
                <w:highlight w:val="none"/>
                <w:lang w:eastAsia="zh-CN"/>
              </w:rPr>
              <w:t>，</w:t>
            </w:r>
            <w:r>
              <w:rPr>
                <w:rFonts w:hint="eastAsia" w:ascii="Times New Roman" w:hAnsi="Times New Roman" w:cs="Times New Roman"/>
                <w:smallCaps w:val="0"/>
                <w:color w:val="auto"/>
                <w:sz w:val="24"/>
                <w:szCs w:val="24"/>
                <w:highlight w:val="none"/>
                <w:lang w:val="en-US" w:eastAsia="zh-CN"/>
              </w:rPr>
              <w:t>94.31</w:t>
            </w:r>
            <w:r>
              <w:rPr>
                <w:rFonts w:hint="default" w:ascii="Times New Roman" w:hAnsi="Times New Roman" w:cs="Times New Roman"/>
                <w:smallCaps w:val="0"/>
                <w:color w:val="auto"/>
                <w:sz w:val="24"/>
                <w:szCs w:val="24"/>
                <w:highlight w:val="none"/>
              </w:rPr>
              <w:t>m</w:t>
            </w:r>
            <w:r>
              <w:rPr>
                <w:rFonts w:hint="default" w:ascii="Times New Roman" w:hAnsi="Times New Roman" w:cs="Times New Roman"/>
                <w:smallCaps w:val="0"/>
                <w:color w:val="auto"/>
                <w:sz w:val="24"/>
                <w:szCs w:val="24"/>
                <w:highlight w:val="none"/>
                <w:vertAlign w:val="superscript"/>
              </w:rPr>
              <w:t>3</w:t>
            </w:r>
            <w:r>
              <w:rPr>
                <w:rFonts w:hint="default" w:ascii="Times New Roman" w:hAnsi="Times New Roman" w:cs="Times New Roman"/>
                <w:smallCaps w:val="0"/>
                <w:color w:val="auto"/>
                <w:sz w:val="24"/>
                <w:szCs w:val="24"/>
                <w:highlight w:val="none"/>
              </w:rPr>
              <w:t>/d</w:t>
            </w:r>
            <w:r>
              <w:rPr>
                <w:rFonts w:hint="eastAsia" w:ascii="Times New Roman" w:hAnsi="Times New Roman" w:cs="Times New Roman"/>
                <w:smallCaps w:val="0"/>
                <w:color w:val="auto"/>
                <w:sz w:val="24"/>
                <w:szCs w:val="24"/>
                <w:highlight w:val="none"/>
                <w:lang w:eastAsia="zh-CN"/>
              </w:rPr>
              <w:t>，</w:t>
            </w:r>
            <w:r>
              <w:rPr>
                <w:rFonts w:hint="eastAsia" w:cs="Times New Roman"/>
                <w:smallCaps w:val="0"/>
                <w:color w:val="auto"/>
                <w:sz w:val="24"/>
                <w:szCs w:val="24"/>
                <w:highlight w:val="none"/>
                <w:lang w:val="en-US" w:eastAsia="zh-CN"/>
              </w:rPr>
              <w:t>污水处理站设计规模100m</w:t>
            </w:r>
            <w:r>
              <w:rPr>
                <w:rFonts w:hint="eastAsia" w:cs="Times New Roman"/>
                <w:smallCaps w:val="0"/>
                <w:color w:val="auto"/>
                <w:sz w:val="24"/>
                <w:szCs w:val="24"/>
                <w:highlight w:val="none"/>
                <w:vertAlign w:val="superscript"/>
                <w:lang w:val="en-US" w:eastAsia="zh-CN"/>
              </w:rPr>
              <w:t>3</w:t>
            </w:r>
            <w:r>
              <w:rPr>
                <w:rFonts w:hint="eastAsia" w:cs="Times New Roman"/>
                <w:smallCaps w:val="0"/>
                <w:color w:val="auto"/>
                <w:sz w:val="24"/>
                <w:szCs w:val="24"/>
                <w:highlight w:val="none"/>
                <w:lang w:val="en-US" w:eastAsia="zh-CN"/>
              </w:rPr>
              <w:t>/d，采用“隔油池+调节池+气浮+水解+UASB+兼氧池+SBR”工艺，处理达标后通过市政管网排入桦南浦华净源水务有限公司（桦南县污水处理厂）处理，桦南浦华净源水务有限公司（桦南县污水处理厂）</w:t>
            </w:r>
            <w:r>
              <w:rPr>
                <w:rFonts w:hint="default" w:ascii="Times New Roman" w:hAnsi="Times New Roman" w:cs="Times New Roman"/>
                <w:smallCaps w:val="0"/>
                <w:color w:val="auto"/>
                <w:sz w:val="24"/>
                <w:szCs w:val="24"/>
                <w:highlight w:val="none"/>
                <w:lang w:val="en-US" w:eastAsia="zh-CN"/>
              </w:rPr>
              <w:t>出水水质达《城镇污水处理厂污染物排放标准》（GB18918-2002）一级A标准后</w:t>
            </w:r>
            <w:r>
              <w:rPr>
                <w:rFonts w:hint="eastAsia" w:ascii="Times New Roman" w:hAnsi="Times New Roman" w:cs="Times New Roman"/>
                <w:smallCaps w:val="0"/>
                <w:color w:val="auto"/>
                <w:sz w:val="24"/>
                <w:szCs w:val="24"/>
                <w:highlight w:val="none"/>
                <w:lang w:val="en-US" w:eastAsia="zh-CN"/>
              </w:rPr>
              <w:t>排</w:t>
            </w:r>
            <w:r>
              <w:rPr>
                <w:rFonts w:hint="default" w:ascii="Times New Roman" w:hAnsi="Times New Roman" w:cs="Times New Roman"/>
                <w:smallCaps w:val="0"/>
                <w:color w:val="auto"/>
                <w:sz w:val="24"/>
                <w:szCs w:val="24"/>
                <w:highlight w:val="none"/>
                <w:lang w:val="en-US" w:eastAsia="zh-CN"/>
              </w:rPr>
              <w:t>。</w:t>
            </w:r>
          </w:p>
          <w:p w14:paraId="7DA01A8E">
            <w:pPr>
              <w:pStyle w:val="95"/>
              <w:ind w:firstLine="0"/>
              <w:rPr>
                <w:rFonts w:hint="eastAsia"/>
                <w:color w:val="auto"/>
                <w:highlight w:val="none"/>
              </w:rPr>
            </w:pPr>
            <w:r>
              <w:rPr>
                <w:rFonts w:hint="eastAsia"/>
                <w:color w:val="auto"/>
                <w:highlight w:val="none"/>
              </w:rPr>
              <w:t>表2-</w:t>
            </w:r>
            <w:r>
              <w:rPr>
                <w:rFonts w:hint="eastAsia"/>
                <w:color w:val="auto"/>
                <w:highlight w:val="none"/>
                <w:lang w:val="en-US" w:eastAsia="zh-CN"/>
              </w:rPr>
              <w:t>6</w:t>
            </w:r>
            <w:r>
              <w:rPr>
                <w:rFonts w:hint="eastAsia"/>
                <w:color w:val="auto"/>
                <w:highlight w:val="none"/>
              </w:rPr>
              <w:t xml:space="preserve">  </w:t>
            </w:r>
            <w:r>
              <w:rPr>
                <w:rFonts w:hint="eastAsia"/>
                <w:color w:val="auto"/>
                <w:vertAlign w:val="baseline"/>
                <w:lang w:val="en-US" w:eastAsia="zh-CN"/>
              </w:rPr>
              <w:t>水平衡统计表（t/a）</w:t>
            </w:r>
          </w:p>
          <w:tbl>
            <w:tblPr>
              <w:tblStyle w:val="39"/>
              <w:tblW w:w="886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2083"/>
              <w:gridCol w:w="1477"/>
              <w:gridCol w:w="1477"/>
              <w:gridCol w:w="1477"/>
              <w:gridCol w:w="1478"/>
            </w:tblGrid>
            <w:tr w14:paraId="20106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vMerge w:val="restart"/>
                  <w:tcBorders>
                    <w:tl2br w:val="nil"/>
                    <w:tr2bl w:val="nil"/>
                  </w:tcBorders>
                </w:tcPr>
                <w:p w14:paraId="3775C392">
                  <w:pPr>
                    <w:pStyle w:val="109"/>
                    <w:ind w:left="138" w:right="143"/>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序号</w:t>
                  </w:r>
                </w:p>
              </w:tc>
              <w:tc>
                <w:tcPr>
                  <w:tcW w:w="2083" w:type="dxa"/>
                  <w:vMerge w:val="restart"/>
                  <w:tcBorders>
                    <w:tl2br w:val="nil"/>
                    <w:tr2bl w:val="nil"/>
                  </w:tcBorders>
                </w:tcPr>
                <w:p w14:paraId="143F412F">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项目</w:t>
                  </w:r>
                </w:p>
              </w:tc>
              <w:tc>
                <w:tcPr>
                  <w:tcW w:w="1477" w:type="dxa"/>
                  <w:tcBorders>
                    <w:tl2br w:val="nil"/>
                    <w:tr2bl w:val="nil"/>
                  </w:tcBorders>
                </w:tcPr>
                <w:p w14:paraId="7C2A8B65">
                  <w:pPr>
                    <w:pStyle w:val="109"/>
                    <w:ind w:left="138" w:right="143"/>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给水</w:t>
                  </w:r>
                </w:p>
              </w:tc>
              <w:tc>
                <w:tcPr>
                  <w:tcW w:w="4432" w:type="dxa"/>
                  <w:gridSpan w:val="3"/>
                  <w:tcBorders>
                    <w:tl2br w:val="nil"/>
                    <w:tr2bl w:val="nil"/>
                  </w:tcBorders>
                </w:tcPr>
                <w:p w14:paraId="295A8A6A">
                  <w:pPr>
                    <w:pStyle w:val="109"/>
                    <w:ind w:left="138" w:right="143"/>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排水</w:t>
                  </w:r>
                </w:p>
              </w:tc>
            </w:tr>
            <w:tr w14:paraId="1E5D0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vMerge w:val="continue"/>
                  <w:tcBorders>
                    <w:tl2br w:val="nil"/>
                    <w:tr2bl w:val="nil"/>
                  </w:tcBorders>
                </w:tcPr>
                <w:p w14:paraId="5225BAC2">
                  <w:pPr>
                    <w:pStyle w:val="109"/>
                    <w:ind w:left="138" w:right="143"/>
                    <w:jc w:val="center"/>
                    <w:rPr>
                      <w:rFonts w:hint="eastAsia" w:ascii="Times New Roman" w:hAnsi="Times New Roman"/>
                      <w:color w:val="auto"/>
                      <w:sz w:val="21"/>
                      <w:szCs w:val="21"/>
                      <w:highlight w:val="none"/>
                      <w:lang w:val="en-US" w:eastAsia="zh-CN"/>
                    </w:rPr>
                  </w:pPr>
                </w:p>
              </w:tc>
              <w:tc>
                <w:tcPr>
                  <w:tcW w:w="2083" w:type="dxa"/>
                  <w:vMerge w:val="continue"/>
                  <w:tcBorders>
                    <w:tl2br w:val="nil"/>
                    <w:tr2bl w:val="nil"/>
                  </w:tcBorders>
                </w:tcPr>
                <w:p w14:paraId="75EA9928">
                  <w:pPr>
                    <w:pStyle w:val="109"/>
                    <w:ind w:left="138" w:right="143"/>
                    <w:jc w:val="center"/>
                    <w:rPr>
                      <w:rFonts w:hint="default" w:ascii="Times New Roman" w:hAnsi="Times New Roman" w:eastAsia="宋体"/>
                      <w:color w:val="auto"/>
                      <w:sz w:val="21"/>
                      <w:szCs w:val="21"/>
                      <w:highlight w:val="none"/>
                      <w:lang w:val="en-US" w:eastAsia="zh-CN"/>
                    </w:rPr>
                  </w:pPr>
                </w:p>
              </w:tc>
              <w:tc>
                <w:tcPr>
                  <w:tcW w:w="1477" w:type="dxa"/>
                  <w:tcBorders>
                    <w:tl2br w:val="nil"/>
                    <w:tr2bl w:val="nil"/>
                  </w:tcBorders>
                </w:tcPr>
                <w:p w14:paraId="50F4CA7C">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用水</w:t>
                  </w:r>
                </w:p>
              </w:tc>
              <w:tc>
                <w:tcPr>
                  <w:tcW w:w="1477" w:type="dxa"/>
                  <w:tcBorders>
                    <w:tl2br w:val="nil"/>
                    <w:tr2bl w:val="nil"/>
                  </w:tcBorders>
                </w:tcPr>
                <w:p w14:paraId="50BAD5EE">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损耗</w:t>
                  </w:r>
                </w:p>
              </w:tc>
              <w:tc>
                <w:tcPr>
                  <w:tcW w:w="1477" w:type="dxa"/>
                  <w:tcBorders>
                    <w:tl2br w:val="nil"/>
                    <w:tr2bl w:val="nil"/>
                  </w:tcBorders>
                </w:tcPr>
                <w:p w14:paraId="0CB62ADA">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排入污水处理站</w:t>
                  </w:r>
                </w:p>
              </w:tc>
              <w:tc>
                <w:tcPr>
                  <w:tcW w:w="1478" w:type="dxa"/>
                  <w:tcBorders>
                    <w:tl2br w:val="nil"/>
                    <w:tr2bl w:val="nil"/>
                  </w:tcBorders>
                </w:tcPr>
                <w:p w14:paraId="276AD516">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综合利用</w:t>
                  </w:r>
                </w:p>
              </w:tc>
            </w:tr>
            <w:tr w14:paraId="1F8236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l2br w:val="nil"/>
                    <w:tr2bl w:val="nil"/>
                  </w:tcBorders>
                </w:tcPr>
                <w:p w14:paraId="524574E4">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w:t>
                  </w:r>
                </w:p>
              </w:tc>
              <w:tc>
                <w:tcPr>
                  <w:tcW w:w="2083" w:type="dxa"/>
                  <w:tcBorders>
                    <w:tl2br w:val="nil"/>
                    <w:tr2bl w:val="nil"/>
                  </w:tcBorders>
                </w:tcPr>
                <w:p w14:paraId="2B522330">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冷却水</w:t>
                  </w:r>
                </w:p>
              </w:tc>
              <w:tc>
                <w:tcPr>
                  <w:tcW w:w="1477" w:type="dxa"/>
                  <w:tcBorders>
                    <w:tl2br w:val="nil"/>
                    <w:tr2bl w:val="nil"/>
                  </w:tcBorders>
                </w:tcPr>
                <w:p w14:paraId="5EBD2467">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6000</w:t>
                  </w:r>
                </w:p>
              </w:tc>
              <w:tc>
                <w:tcPr>
                  <w:tcW w:w="1477" w:type="dxa"/>
                  <w:tcBorders>
                    <w:tl2br w:val="nil"/>
                    <w:tr2bl w:val="nil"/>
                  </w:tcBorders>
                </w:tcPr>
                <w:p w14:paraId="7E234385">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1477" w:type="dxa"/>
                  <w:tcBorders>
                    <w:tl2br w:val="nil"/>
                    <w:tr2bl w:val="nil"/>
                  </w:tcBorders>
                </w:tcPr>
                <w:p w14:paraId="3A1E3106">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c>
                <w:tcPr>
                  <w:tcW w:w="1478" w:type="dxa"/>
                  <w:tcBorders>
                    <w:tl2br w:val="nil"/>
                    <w:tr2bl w:val="nil"/>
                  </w:tcBorders>
                </w:tcPr>
                <w:p w14:paraId="4FF1E80E">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6000</w:t>
                  </w:r>
                </w:p>
              </w:tc>
            </w:tr>
            <w:tr w14:paraId="296F9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l2br w:val="nil"/>
                    <w:tr2bl w:val="nil"/>
                  </w:tcBorders>
                </w:tcPr>
                <w:p w14:paraId="0C2D6EEC">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w:t>
                  </w:r>
                </w:p>
              </w:tc>
              <w:tc>
                <w:tcPr>
                  <w:tcW w:w="2083" w:type="dxa"/>
                  <w:tcBorders>
                    <w:tl2br w:val="nil"/>
                    <w:tr2bl w:val="nil"/>
                  </w:tcBorders>
                </w:tcPr>
                <w:p w14:paraId="7851AD81">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职员生活</w:t>
                  </w:r>
                </w:p>
              </w:tc>
              <w:tc>
                <w:tcPr>
                  <w:tcW w:w="1477" w:type="dxa"/>
                  <w:tcBorders>
                    <w:tl2br w:val="nil"/>
                    <w:tr2bl w:val="nil"/>
                  </w:tcBorders>
                </w:tcPr>
                <w:p w14:paraId="4EFC01E3">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2448</w:t>
                  </w:r>
                </w:p>
              </w:tc>
              <w:tc>
                <w:tcPr>
                  <w:tcW w:w="1477" w:type="dxa"/>
                  <w:tcBorders>
                    <w:tl2br w:val="nil"/>
                    <w:tr2bl w:val="nil"/>
                  </w:tcBorders>
                </w:tcPr>
                <w:p w14:paraId="41E6A1A5">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489.6</w:t>
                  </w:r>
                </w:p>
              </w:tc>
              <w:tc>
                <w:tcPr>
                  <w:tcW w:w="1477" w:type="dxa"/>
                  <w:tcBorders>
                    <w:tl2br w:val="nil"/>
                    <w:tr2bl w:val="nil"/>
                  </w:tcBorders>
                </w:tcPr>
                <w:p w14:paraId="104CE75E">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1958.4</w:t>
                  </w:r>
                </w:p>
              </w:tc>
              <w:tc>
                <w:tcPr>
                  <w:tcW w:w="1478" w:type="dxa"/>
                  <w:tcBorders>
                    <w:tl2br w:val="nil"/>
                    <w:tr2bl w:val="nil"/>
                  </w:tcBorders>
                </w:tcPr>
                <w:p w14:paraId="5AD34D59">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r>
            <w:tr w14:paraId="43ACA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l2br w:val="nil"/>
                    <w:tr2bl w:val="nil"/>
                  </w:tcBorders>
                </w:tcPr>
                <w:p w14:paraId="77FDE9BB">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3</w:t>
                  </w:r>
                </w:p>
              </w:tc>
              <w:tc>
                <w:tcPr>
                  <w:tcW w:w="2083" w:type="dxa"/>
                  <w:tcBorders>
                    <w:tl2br w:val="nil"/>
                    <w:tr2bl w:val="nil"/>
                  </w:tcBorders>
                </w:tcPr>
                <w:p w14:paraId="448F0A40">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锅炉</w:t>
                  </w:r>
                </w:p>
              </w:tc>
              <w:tc>
                <w:tcPr>
                  <w:tcW w:w="1477" w:type="dxa"/>
                  <w:tcBorders>
                    <w:tl2br w:val="nil"/>
                    <w:tr2bl w:val="nil"/>
                  </w:tcBorders>
                </w:tcPr>
                <w:p w14:paraId="00F1A130">
                  <w:pPr>
                    <w:pStyle w:val="109"/>
                    <w:ind w:left="138" w:right="143"/>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58672.</w:t>
                  </w:r>
                  <w:r>
                    <w:rPr>
                      <w:rFonts w:hint="eastAsia" w:ascii="Times New Roman" w:hAnsi="Times New Roman"/>
                      <w:color w:val="auto"/>
                      <w:sz w:val="21"/>
                      <w:szCs w:val="21"/>
                      <w:highlight w:val="none"/>
                      <w:lang w:val="en-US" w:eastAsia="zh-CN"/>
                    </w:rPr>
                    <w:t>0</w:t>
                  </w:r>
                  <w:r>
                    <w:rPr>
                      <w:rFonts w:hint="eastAsia" w:ascii="Times New Roman" w:hAnsi="Times New Roman"/>
                      <w:color w:val="auto"/>
                      <w:sz w:val="21"/>
                      <w:szCs w:val="21"/>
                      <w:highlight w:val="none"/>
                    </w:rPr>
                    <w:t>7</w:t>
                  </w:r>
                </w:p>
              </w:tc>
              <w:tc>
                <w:tcPr>
                  <w:tcW w:w="1477" w:type="dxa"/>
                  <w:tcBorders>
                    <w:tl2br w:val="nil"/>
                    <w:tr2bl w:val="nil"/>
                  </w:tcBorders>
                </w:tcPr>
                <w:p w14:paraId="400C0F3E">
                  <w:pPr>
                    <w:pStyle w:val="109"/>
                    <w:ind w:left="138" w:right="143"/>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46843.37</w:t>
                  </w:r>
                </w:p>
              </w:tc>
              <w:tc>
                <w:tcPr>
                  <w:tcW w:w="1477" w:type="dxa"/>
                  <w:tcBorders>
                    <w:tl2br w:val="nil"/>
                    <w:tr2bl w:val="nil"/>
                  </w:tcBorders>
                </w:tcPr>
                <w:p w14:paraId="14EC48F5">
                  <w:pPr>
                    <w:pStyle w:val="109"/>
                    <w:ind w:left="138" w:right="143"/>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10280.21</w:t>
                  </w:r>
                </w:p>
              </w:tc>
              <w:tc>
                <w:tcPr>
                  <w:tcW w:w="1478" w:type="dxa"/>
                  <w:tcBorders>
                    <w:tl2br w:val="nil"/>
                    <w:tr2bl w:val="nil"/>
                  </w:tcBorders>
                </w:tcPr>
                <w:p w14:paraId="5EF1F5AC">
                  <w:pPr>
                    <w:pStyle w:val="109"/>
                    <w:ind w:left="138" w:right="143"/>
                    <w:jc w:val="center"/>
                    <w:rPr>
                      <w:rFonts w:ascii="Times New Roman" w:hAnsi="Times New Roman"/>
                      <w:color w:val="auto"/>
                      <w:sz w:val="21"/>
                      <w:szCs w:val="21"/>
                      <w:highlight w:val="none"/>
                    </w:rPr>
                  </w:pPr>
                  <w:r>
                    <w:rPr>
                      <w:rFonts w:hint="eastAsia" w:ascii="Times New Roman" w:hAnsi="Times New Roman"/>
                      <w:color w:val="auto"/>
                      <w:sz w:val="21"/>
                      <w:szCs w:val="21"/>
                      <w:highlight w:val="none"/>
                    </w:rPr>
                    <w:t>1548.49</w:t>
                  </w:r>
                </w:p>
              </w:tc>
            </w:tr>
            <w:tr w14:paraId="692E1F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l2br w:val="nil"/>
                    <w:tr2bl w:val="nil"/>
                  </w:tcBorders>
                </w:tcPr>
                <w:p w14:paraId="08818055">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4</w:t>
                  </w:r>
                </w:p>
              </w:tc>
              <w:tc>
                <w:tcPr>
                  <w:tcW w:w="2083" w:type="dxa"/>
                  <w:tcBorders>
                    <w:tl2br w:val="nil"/>
                    <w:tr2bl w:val="nil"/>
                  </w:tcBorders>
                </w:tcPr>
                <w:p w14:paraId="17CB0722">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设备清洗</w:t>
                  </w:r>
                </w:p>
              </w:tc>
              <w:tc>
                <w:tcPr>
                  <w:tcW w:w="1477" w:type="dxa"/>
                  <w:tcBorders>
                    <w:tl2br w:val="nil"/>
                    <w:tr2bl w:val="nil"/>
                  </w:tcBorders>
                </w:tcPr>
                <w:p w14:paraId="083E56A2">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15</w:t>
                  </w:r>
                </w:p>
              </w:tc>
              <w:tc>
                <w:tcPr>
                  <w:tcW w:w="1477" w:type="dxa"/>
                  <w:tcBorders>
                    <w:tl2br w:val="nil"/>
                    <w:tr2bl w:val="nil"/>
                  </w:tcBorders>
                </w:tcPr>
                <w:p w14:paraId="78F7B3F7">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1.5</w:t>
                  </w:r>
                </w:p>
              </w:tc>
              <w:tc>
                <w:tcPr>
                  <w:tcW w:w="1477" w:type="dxa"/>
                  <w:tcBorders>
                    <w:tl2br w:val="nil"/>
                    <w:tr2bl w:val="nil"/>
                  </w:tcBorders>
                </w:tcPr>
                <w:p w14:paraId="64DA32DF">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13.5</w:t>
                  </w:r>
                </w:p>
              </w:tc>
              <w:tc>
                <w:tcPr>
                  <w:tcW w:w="1478" w:type="dxa"/>
                  <w:tcBorders>
                    <w:tl2br w:val="nil"/>
                    <w:tr2bl w:val="nil"/>
                  </w:tcBorders>
                </w:tcPr>
                <w:p w14:paraId="2AC28A15">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r>
            <w:tr w14:paraId="6DE1B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l2br w:val="nil"/>
                    <w:tr2bl w:val="nil"/>
                  </w:tcBorders>
                </w:tcPr>
                <w:p w14:paraId="636C8AE4">
                  <w:pPr>
                    <w:pStyle w:val="109"/>
                    <w:ind w:left="138" w:right="143"/>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5</w:t>
                  </w:r>
                </w:p>
              </w:tc>
              <w:tc>
                <w:tcPr>
                  <w:tcW w:w="2083" w:type="dxa"/>
                  <w:tcBorders>
                    <w:tl2br w:val="nil"/>
                    <w:tr2bl w:val="nil"/>
                  </w:tcBorders>
                </w:tcPr>
                <w:p w14:paraId="188116E0">
                  <w:pPr>
                    <w:pStyle w:val="109"/>
                    <w:ind w:left="138" w:right="143"/>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浸出</w:t>
                  </w:r>
                </w:p>
              </w:tc>
              <w:tc>
                <w:tcPr>
                  <w:tcW w:w="1477" w:type="dxa"/>
                  <w:tcBorders>
                    <w:tl2br w:val="nil"/>
                    <w:tr2bl w:val="nil"/>
                  </w:tcBorders>
                </w:tcPr>
                <w:p w14:paraId="534B0FF8">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22500</w:t>
                  </w:r>
                </w:p>
              </w:tc>
              <w:tc>
                <w:tcPr>
                  <w:tcW w:w="1477" w:type="dxa"/>
                  <w:tcBorders>
                    <w:tl2br w:val="nil"/>
                    <w:tr2bl w:val="nil"/>
                  </w:tcBorders>
                </w:tcPr>
                <w:p w14:paraId="5436D703">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4500</w:t>
                  </w:r>
                </w:p>
              </w:tc>
              <w:tc>
                <w:tcPr>
                  <w:tcW w:w="1477" w:type="dxa"/>
                  <w:tcBorders>
                    <w:tl2br w:val="nil"/>
                    <w:tr2bl w:val="nil"/>
                  </w:tcBorders>
                </w:tcPr>
                <w:p w14:paraId="422B55DD">
                  <w:pPr>
                    <w:pStyle w:val="109"/>
                    <w:ind w:left="138" w:right="143"/>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18000</w:t>
                  </w:r>
                </w:p>
              </w:tc>
              <w:tc>
                <w:tcPr>
                  <w:tcW w:w="1478" w:type="dxa"/>
                  <w:tcBorders>
                    <w:tl2br w:val="nil"/>
                    <w:tr2bl w:val="nil"/>
                  </w:tcBorders>
                </w:tcPr>
                <w:p w14:paraId="005CB1A1">
                  <w:pPr>
                    <w:pStyle w:val="109"/>
                    <w:ind w:left="138" w:right="143"/>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w:t>
                  </w:r>
                </w:p>
              </w:tc>
            </w:tr>
            <w:tr w14:paraId="23611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54" w:type="dxa"/>
                  <w:gridSpan w:val="2"/>
                  <w:tcBorders>
                    <w:tl2br w:val="nil"/>
                    <w:tr2bl w:val="nil"/>
                  </w:tcBorders>
                </w:tcPr>
                <w:p w14:paraId="7EB182D3">
                  <w:pPr>
                    <w:pStyle w:val="109"/>
                    <w:ind w:left="138" w:right="143"/>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共计</w:t>
                  </w:r>
                </w:p>
              </w:tc>
              <w:tc>
                <w:tcPr>
                  <w:tcW w:w="1477" w:type="dxa"/>
                  <w:tcBorders>
                    <w:tl2br w:val="nil"/>
                    <w:tr2bl w:val="nil"/>
                  </w:tcBorders>
                </w:tcPr>
                <w:p w14:paraId="575ECEF8">
                  <w:pPr>
                    <w:pStyle w:val="109"/>
                    <w:ind w:left="138" w:right="143"/>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89635.07</w:t>
                  </w:r>
                </w:p>
              </w:tc>
              <w:tc>
                <w:tcPr>
                  <w:tcW w:w="4432" w:type="dxa"/>
                  <w:gridSpan w:val="3"/>
                  <w:tcBorders>
                    <w:tl2br w:val="nil"/>
                    <w:tr2bl w:val="nil"/>
                  </w:tcBorders>
                </w:tcPr>
                <w:p w14:paraId="3EA3F41E">
                  <w:pPr>
                    <w:pStyle w:val="109"/>
                    <w:ind w:left="138" w:right="143"/>
                    <w:jc w:val="center"/>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89635.07</w:t>
                  </w:r>
                </w:p>
              </w:tc>
            </w:tr>
          </w:tbl>
          <w:p w14:paraId="2D44861E">
            <w:pPr>
              <w:pStyle w:val="8"/>
              <w:ind w:left="0" w:leftChars="0" w:firstLine="0" w:firstLineChars="0"/>
              <w:jc w:val="center"/>
              <w:rPr>
                <w:color w:val="auto"/>
              </w:rPr>
            </w:pPr>
          </w:p>
          <w:p w14:paraId="4E926F0C">
            <w:pPr>
              <w:adjustRightInd w:val="0"/>
              <w:snapToGrid w:val="0"/>
              <w:spacing w:line="360" w:lineRule="auto"/>
              <w:ind w:firstLine="480" w:firstLineChars="200"/>
              <w:rPr>
                <w:color w:val="auto"/>
                <w:sz w:val="24"/>
                <w:highlight w:val="none"/>
              </w:rPr>
            </w:pPr>
            <w:r>
              <w:rPr>
                <w:color w:val="auto"/>
                <w:sz w:val="24"/>
                <w:highlight w:val="none"/>
              </w:rPr>
              <w:t>（</w:t>
            </w:r>
            <w:r>
              <w:rPr>
                <w:rFonts w:hint="eastAsia"/>
                <w:color w:val="auto"/>
                <w:sz w:val="24"/>
                <w:highlight w:val="none"/>
              </w:rPr>
              <w:t>3</w:t>
            </w:r>
            <w:r>
              <w:rPr>
                <w:color w:val="auto"/>
                <w:sz w:val="24"/>
                <w:highlight w:val="none"/>
              </w:rPr>
              <w:t>）供热工程</w:t>
            </w:r>
          </w:p>
          <w:p w14:paraId="7F5F1662">
            <w:pPr>
              <w:adjustRightInd w:val="0"/>
              <w:snapToGrid w:val="0"/>
              <w:spacing w:line="360" w:lineRule="auto"/>
              <w:ind w:firstLine="480" w:firstLineChars="200"/>
              <w:rPr>
                <w:color w:val="auto"/>
                <w:sz w:val="24"/>
                <w:highlight w:val="none"/>
              </w:rPr>
            </w:pPr>
            <w:r>
              <w:rPr>
                <w:rFonts w:hint="eastAsia"/>
                <w:color w:val="auto"/>
                <w:sz w:val="24"/>
                <w:highlight w:val="none"/>
              </w:rPr>
              <w:t>本项目生产及冬季采暖由锅炉房供给，锅炉房内建设1台1</w:t>
            </w:r>
            <w:r>
              <w:rPr>
                <w:rFonts w:hint="eastAsia"/>
                <w:color w:val="auto"/>
                <w:sz w:val="24"/>
                <w:highlight w:val="none"/>
                <w:lang w:val="en-US" w:eastAsia="zh-CN"/>
              </w:rPr>
              <w:t>8</w:t>
            </w:r>
            <w:r>
              <w:rPr>
                <w:rFonts w:hint="eastAsia"/>
                <w:color w:val="auto"/>
                <w:sz w:val="24"/>
                <w:highlight w:val="none"/>
              </w:rPr>
              <w:t>t/h和1</w:t>
            </w:r>
            <w:r>
              <w:rPr>
                <w:rFonts w:hint="eastAsia"/>
                <w:color w:val="auto"/>
                <w:sz w:val="24"/>
                <w:highlight w:val="none"/>
                <w:lang w:val="en-US" w:eastAsia="zh-CN"/>
              </w:rPr>
              <w:t>5</w:t>
            </w:r>
            <w:r>
              <w:rPr>
                <w:rFonts w:hint="eastAsia"/>
                <w:color w:val="auto"/>
                <w:sz w:val="24"/>
                <w:highlight w:val="none"/>
              </w:rPr>
              <w:t>t/h的生物质蒸汽锅炉</w:t>
            </w:r>
            <w:r>
              <w:rPr>
                <w:rFonts w:hint="eastAsia"/>
                <w:color w:val="auto"/>
                <w:sz w:val="24"/>
                <w:highlight w:val="none"/>
                <w:lang w:eastAsia="zh-CN"/>
              </w:rPr>
              <w:t>，当供热期间生物质锅炉发生故障时可启用备用锅炉</w:t>
            </w:r>
            <w:r>
              <w:rPr>
                <w:rFonts w:hint="eastAsia"/>
                <w:color w:val="auto"/>
                <w:sz w:val="24"/>
                <w:highlight w:val="none"/>
              </w:rPr>
              <w:t>。</w:t>
            </w:r>
          </w:p>
          <w:p w14:paraId="234E4430">
            <w:pPr>
              <w:pStyle w:val="155"/>
              <w:adjustRightInd w:val="0"/>
              <w:snapToGrid w:val="0"/>
              <w:spacing w:line="360" w:lineRule="auto"/>
              <w:ind w:firstLine="480"/>
              <w:rPr>
                <w:rFonts w:ascii="Times New Roman" w:hAnsi="Times New Roman"/>
                <w:color w:val="auto"/>
                <w:highlight w:val="none"/>
              </w:rPr>
            </w:pPr>
            <w:r>
              <w:rPr>
                <w:rFonts w:hint="eastAsia" w:ascii="Times New Roman" w:hAnsi="Times New Roman"/>
                <w:color w:val="auto"/>
                <w:kern w:val="0"/>
                <w:highlight w:val="none"/>
              </w:rPr>
              <w:t>根据生物质燃料特性分析单可知，收到基低位发热量为11.52MJ/kg、2753.28kcal/kg，锅炉热效率为85%，生物质锅炉每小时消耗量=60万大卡*吨位/燃料热值/锅炉燃烧效率，则1台1</w:t>
            </w:r>
            <w:r>
              <w:rPr>
                <w:rFonts w:hint="eastAsia" w:ascii="Times New Roman" w:hAnsi="Times New Roman" w:eastAsia="宋体" w:cs="宋体"/>
                <w:color w:val="auto"/>
                <w:kern w:val="0"/>
                <w:highlight w:val="none"/>
                <w:lang w:val="en-US" w:eastAsia="zh-CN"/>
              </w:rPr>
              <w:t>8t/h</w:t>
            </w:r>
            <w:r>
              <w:rPr>
                <w:rFonts w:hint="eastAsia" w:ascii="Times New Roman" w:hAnsi="Times New Roman"/>
                <w:color w:val="auto"/>
                <w:kern w:val="0"/>
                <w:highlight w:val="none"/>
              </w:rPr>
              <w:t>烧生物质成型燃料锅炉1小时需要燃料量为（600000×1</w:t>
            </w:r>
            <w:r>
              <w:rPr>
                <w:rFonts w:hint="eastAsia" w:ascii="Times New Roman" w:hAnsi="Times New Roman"/>
                <w:color w:val="auto"/>
                <w:kern w:val="0"/>
                <w:highlight w:val="none"/>
                <w:lang w:val="en-US" w:eastAsia="zh-CN"/>
              </w:rPr>
              <w:t>8</w:t>
            </w:r>
            <w:r>
              <w:rPr>
                <w:rFonts w:hint="eastAsia" w:ascii="Times New Roman" w:hAnsi="Times New Roman"/>
                <w:color w:val="auto"/>
                <w:kern w:val="0"/>
                <w:highlight w:val="none"/>
              </w:rPr>
              <w:t>/</w:t>
            </w:r>
            <w:r>
              <w:rPr>
                <w:rFonts w:hint="eastAsia" w:ascii="Times New Roman" w:hAnsi="Times New Roman"/>
                <w:color w:val="auto"/>
                <w:kern w:val="0"/>
                <w:highlight w:val="none"/>
                <w:lang w:val="en-US" w:eastAsia="zh-CN"/>
              </w:rPr>
              <w:t>11.52</w:t>
            </w:r>
            <w:r>
              <w:rPr>
                <w:rFonts w:hint="eastAsia" w:ascii="Times New Roman" w:hAnsi="Times New Roman"/>
                <w:color w:val="auto"/>
                <w:kern w:val="0"/>
                <w:highlight w:val="none"/>
              </w:rPr>
              <w:t>/85%）kg/h=</w:t>
            </w:r>
            <w:r>
              <w:rPr>
                <w:rFonts w:hint="eastAsia" w:ascii="Times New Roman" w:hAnsi="Times New Roman"/>
                <w:color w:val="auto"/>
                <w:kern w:val="0"/>
                <w:highlight w:val="none"/>
                <w:lang w:val="en-US" w:eastAsia="zh-CN"/>
              </w:rPr>
              <w:t>4614.82</w:t>
            </w:r>
            <w:r>
              <w:rPr>
                <w:rFonts w:hint="eastAsia" w:ascii="Times New Roman" w:hAnsi="Times New Roman"/>
                <w:color w:val="auto"/>
                <w:kern w:val="0"/>
                <w:highlight w:val="none"/>
              </w:rPr>
              <w:t>kg/h，年运行7200h，则每年消耗生物质成型燃料量为</w:t>
            </w:r>
            <w:r>
              <w:rPr>
                <w:rFonts w:hint="eastAsia" w:ascii="Times New Roman" w:hAnsi="Times New Roman"/>
                <w:color w:val="auto"/>
                <w:kern w:val="0"/>
                <w:highlight w:val="none"/>
                <w:lang w:val="en-US" w:eastAsia="zh-CN"/>
              </w:rPr>
              <w:t>33226.68</w:t>
            </w:r>
            <w:r>
              <w:rPr>
                <w:rFonts w:hint="eastAsia" w:ascii="Times New Roman" w:hAnsi="Times New Roman"/>
                <w:color w:val="auto"/>
                <w:kern w:val="0"/>
                <w:highlight w:val="none"/>
              </w:rPr>
              <w:t>t。</w:t>
            </w:r>
          </w:p>
          <w:p w14:paraId="5F5CF049">
            <w:pPr>
              <w:adjustRightInd w:val="0"/>
              <w:snapToGrid w:val="0"/>
              <w:spacing w:line="360" w:lineRule="auto"/>
              <w:ind w:firstLine="480" w:firstLineChars="200"/>
              <w:rPr>
                <w:color w:val="auto"/>
                <w:sz w:val="24"/>
                <w:highlight w:val="none"/>
              </w:rPr>
            </w:pPr>
            <w:r>
              <w:rPr>
                <w:color w:val="auto"/>
                <w:sz w:val="24"/>
                <w:highlight w:val="none"/>
              </w:rPr>
              <w:t>（</w:t>
            </w:r>
            <w:r>
              <w:rPr>
                <w:rFonts w:hint="eastAsia"/>
                <w:color w:val="auto"/>
                <w:sz w:val="24"/>
                <w:highlight w:val="none"/>
              </w:rPr>
              <w:t>4</w:t>
            </w:r>
            <w:r>
              <w:rPr>
                <w:color w:val="auto"/>
                <w:sz w:val="24"/>
                <w:highlight w:val="none"/>
              </w:rPr>
              <w:t>）供电工程</w:t>
            </w:r>
          </w:p>
          <w:p w14:paraId="552E0BDE">
            <w:pPr>
              <w:adjustRightInd w:val="0"/>
              <w:snapToGrid w:val="0"/>
              <w:spacing w:line="360" w:lineRule="auto"/>
              <w:ind w:firstLine="480" w:firstLineChars="200"/>
              <w:rPr>
                <w:color w:val="auto"/>
                <w:sz w:val="24"/>
                <w:highlight w:val="none"/>
              </w:rPr>
            </w:pPr>
            <w:r>
              <w:rPr>
                <w:color w:val="auto"/>
                <w:sz w:val="24"/>
                <w:highlight w:val="none"/>
              </w:rPr>
              <w:t>本项目供电由市政电网供应。</w:t>
            </w:r>
          </w:p>
          <w:p w14:paraId="188E4549">
            <w:pPr>
              <w:spacing w:line="360" w:lineRule="auto"/>
              <w:rPr>
                <w:rFonts w:eastAsia="黑体"/>
                <w:bCs/>
                <w:color w:val="auto"/>
                <w:sz w:val="28"/>
                <w:szCs w:val="28"/>
                <w:highlight w:val="none"/>
              </w:rPr>
            </w:pPr>
            <w:bookmarkStart w:id="30" w:name="_Toc44234542"/>
            <w:r>
              <w:rPr>
                <w:rFonts w:hint="eastAsia" w:eastAsia="黑体"/>
                <w:bCs/>
                <w:color w:val="auto"/>
                <w:sz w:val="28"/>
                <w:szCs w:val="28"/>
                <w:highlight w:val="none"/>
              </w:rPr>
              <w:t>六</w:t>
            </w:r>
            <w:r>
              <w:rPr>
                <w:rFonts w:eastAsia="黑体"/>
                <w:bCs/>
                <w:color w:val="auto"/>
                <w:sz w:val="28"/>
                <w:szCs w:val="28"/>
                <w:highlight w:val="none"/>
              </w:rPr>
              <w:t>、总图布置</w:t>
            </w:r>
            <w:bookmarkEnd w:id="30"/>
          </w:p>
          <w:p w14:paraId="194F31CD">
            <w:pPr>
              <w:adjustRightInd w:val="0"/>
              <w:snapToGrid w:val="0"/>
              <w:spacing w:line="360" w:lineRule="auto"/>
              <w:ind w:firstLine="480" w:firstLineChars="200"/>
              <w:rPr>
                <w:color w:val="auto"/>
                <w:sz w:val="24"/>
                <w:highlight w:val="none"/>
              </w:rPr>
            </w:pPr>
            <w:r>
              <w:rPr>
                <w:rFonts w:hint="eastAsia"/>
                <w:color w:val="auto"/>
                <w:sz w:val="24"/>
                <w:highlight w:val="none"/>
              </w:rPr>
              <w:t>本项目位于佳木斯市桦南县双果路与龙兴街交叉口西南侧，土地权属类别为工业用地，项目东侧和北侧是道路，南侧是佳木斯六月土健</w:t>
            </w:r>
            <w:r>
              <w:rPr>
                <w:rFonts w:hint="eastAsia" w:ascii="Times New Roman" w:hAnsi="Times New Roman" w:eastAsia="宋体" w:cs="Times New Roman"/>
                <w:color w:val="auto"/>
                <w:sz w:val="24"/>
                <w:highlight w:val="none"/>
              </w:rPr>
              <w:t>康食品有限公司和西侧是先锋种业。厂区内设置预处理车间、浸出车间、糠粕加工车间、</w:t>
            </w:r>
            <w:r>
              <w:rPr>
                <w:rFonts w:hint="eastAsia" w:ascii="Times New Roman" w:hAnsi="Times New Roman" w:eastAsia="宋体" w:cs="Times New Roman"/>
                <w:color w:val="auto"/>
                <w:sz w:val="24"/>
                <w:highlight w:val="none"/>
                <w:lang w:val="en-US" w:eastAsia="zh-CN"/>
              </w:rPr>
              <w:t>燃料库</w:t>
            </w:r>
            <w:r>
              <w:rPr>
                <w:rFonts w:hint="eastAsia" w:ascii="Times New Roman" w:hAnsi="Times New Roman" w:eastAsia="宋体" w:cs="Times New Roman"/>
                <w:color w:val="auto"/>
                <w:sz w:val="24"/>
                <w:highlight w:val="none"/>
              </w:rPr>
              <w:t>、二</w:t>
            </w:r>
            <w:r>
              <w:rPr>
                <w:rFonts w:hint="eastAsia"/>
                <w:color w:val="auto"/>
                <w:sz w:val="24"/>
                <w:highlight w:val="none"/>
              </w:rPr>
              <w:t>期丙类车间、热动力车间、门卫、办公楼、原料车间、地下溶剂库、固废暂存间、液体油罐4座。并建设地中衡、消防泵房、消防水池、化粪池及场区硬化、给排水、电气、弱电、供热、消防等配套基础设施。</w:t>
            </w:r>
            <w:r>
              <w:rPr>
                <w:color w:val="auto"/>
                <w:sz w:val="24"/>
                <w:highlight w:val="none"/>
              </w:rPr>
              <w:t>本项目总平面布置图见附图</w:t>
            </w:r>
            <w:r>
              <w:rPr>
                <w:rFonts w:hint="eastAsia"/>
                <w:color w:val="auto"/>
                <w:sz w:val="24"/>
                <w:highlight w:val="none"/>
              </w:rPr>
              <w:t>2</w:t>
            </w:r>
            <w:r>
              <w:rPr>
                <w:color w:val="auto"/>
                <w:sz w:val="24"/>
                <w:highlight w:val="none"/>
              </w:rPr>
              <w:t>。本项目各单元布置合理，整个项目功能分区明确，布局紧凑合理，各个建筑物之间能够满足生产和运输要求，具有一定的合理性。因此，从环境保护和各功能区块布局及联系的角度来讲，本项目布局合理、物流顺畅，卫生条件和安全、消防均满足企业需要及行业要求。</w:t>
            </w:r>
          </w:p>
          <w:p w14:paraId="7707657C">
            <w:pPr>
              <w:spacing w:line="360" w:lineRule="auto"/>
              <w:jc w:val="left"/>
              <w:rPr>
                <w:rFonts w:eastAsia="黑体"/>
                <w:bCs/>
                <w:color w:val="auto"/>
                <w:sz w:val="28"/>
                <w:szCs w:val="28"/>
                <w:highlight w:val="none"/>
              </w:rPr>
            </w:pPr>
            <w:r>
              <w:rPr>
                <w:rFonts w:hint="eastAsia" w:eastAsia="黑体"/>
                <w:bCs/>
                <w:color w:val="auto"/>
                <w:sz w:val="28"/>
                <w:szCs w:val="28"/>
                <w:highlight w:val="none"/>
              </w:rPr>
              <w:t>七</w:t>
            </w:r>
            <w:r>
              <w:rPr>
                <w:rFonts w:eastAsia="黑体"/>
                <w:bCs/>
                <w:color w:val="auto"/>
                <w:sz w:val="28"/>
                <w:szCs w:val="28"/>
                <w:highlight w:val="none"/>
              </w:rPr>
              <w:t>、环保投资</w:t>
            </w:r>
          </w:p>
          <w:p w14:paraId="35677EA8">
            <w:pPr>
              <w:pStyle w:val="137"/>
              <w:adjustRightInd/>
              <w:snapToGrid/>
              <w:spacing w:line="360" w:lineRule="auto"/>
              <w:ind w:firstLine="480"/>
              <w:rPr>
                <w:color w:val="auto"/>
                <w:kern w:val="2"/>
                <w:sz w:val="24"/>
                <w:szCs w:val="24"/>
                <w:highlight w:val="none"/>
              </w:rPr>
            </w:pPr>
            <w:r>
              <w:rPr>
                <w:color w:val="auto"/>
                <w:kern w:val="2"/>
                <w:sz w:val="24"/>
                <w:szCs w:val="24"/>
                <w:highlight w:val="none"/>
              </w:rPr>
              <w:t>项目总投资</w:t>
            </w:r>
            <w:r>
              <w:rPr>
                <w:rFonts w:hint="eastAsia"/>
                <w:color w:val="auto"/>
                <w:sz w:val="24"/>
                <w:highlight w:val="none"/>
              </w:rPr>
              <w:t>18000.00</w:t>
            </w:r>
            <w:r>
              <w:rPr>
                <w:color w:val="auto"/>
                <w:kern w:val="2"/>
                <w:sz w:val="24"/>
                <w:szCs w:val="24"/>
                <w:highlight w:val="none"/>
              </w:rPr>
              <w:t>万元，其中环保投资</w:t>
            </w:r>
            <w:r>
              <w:rPr>
                <w:rFonts w:hint="eastAsia"/>
                <w:color w:val="auto"/>
                <w:kern w:val="2"/>
                <w:sz w:val="24"/>
                <w:szCs w:val="24"/>
                <w:highlight w:val="none"/>
                <w:lang w:val="en-US" w:eastAsia="zh-CN"/>
              </w:rPr>
              <w:t>120</w:t>
            </w:r>
            <w:r>
              <w:rPr>
                <w:color w:val="auto"/>
                <w:kern w:val="2"/>
                <w:sz w:val="24"/>
                <w:szCs w:val="24"/>
                <w:highlight w:val="none"/>
              </w:rPr>
              <w:t>万元，占总投资约</w:t>
            </w:r>
            <w:r>
              <w:rPr>
                <w:rFonts w:hint="eastAsia"/>
                <w:color w:val="auto"/>
                <w:kern w:val="2"/>
                <w:sz w:val="24"/>
                <w:szCs w:val="24"/>
                <w:highlight w:val="none"/>
              </w:rPr>
              <w:t>0.</w:t>
            </w:r>
            <w:r>
              <w:rPr>
                <w:rFonts w:hint="eastAsia"/>
                <w:color w:val="auto"/>
                <w:kern w:val="2"/>
                <w:sz w:val="24"/>
                <w:szCs w:val="24"/>
                <w:highlight w:val="none"/>
                <w:lang w:val="en-US" w:eastAsia="zh-CN"/>
              </w:rPr>
              <w:t>67</w:t>
            </w:r>
            <w:r>
              <w:rPr>
                <w:color w:val="auto"/>
                <w:kern w:val="2"/>
                <w:sz w:val="24"/>
                <w:szCs w:val="24"/>
                <w:highlight w:val="none"/>
              </w:rPr>
              <w:t>%，项目主要环保投资明细见下表。</w:t>
            </w:r>
          </w:p>
          <w:p w14:paraId="60D5A06A">
            <w:pPr>
              <w:pStyle w:val="95"/>
              <w:ind w:firstLine="0"/>
              <w:rPr>
                <w:color w:val="auto"/>
                <w:highlight w:val="none"/>
              </w:rPr>
            </w:pPr>
            <w:r>
              <w:rPr>
                <w:color w:val="auto"/>
                <w:highlight w:val="none"/>
              </w:rPr>
              <w:t>表2-</w:t>
            </w:r>
            <w:r>
              <w:rPr>
                <w:rFonts w:hint="eastAsia"/>
                <w:color w:val="auto"/>
                <w:highlight w:val="none"/>
                <w:lang w:val="en-US" w:eastAsia="zh-CN"/>
              </w:rPr>
              <w:t>6</w:t>
            </w:r>
            <w:r>
              <w:rPr>
                <w:color w:val="auto"/>
                <w:highlight w:val="none"/>
              </w:rPr>
              <w:t>项目环保投资一览表</w:t>
            </w:r>
          </w:p>
          <w:tbl>
            <w:tblPr>
              <w:tblStyle w:val="3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241"/>
              <w:gridCol w:w="5602"/>
              <w:gridCol w:w="1135"/>
            </w:tblGrid>
            <w:tr w14:paraId="62DDD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95" w:type="pct"/>
                  <w:tcBorders>
                    <w:tl2br w:val="nil"/>
                    <w:tr2bl w:val="nil"/>
                  </w:tcBorders>
                  <w:noWrap/>
                  <w:vAlign w:val="center"/>
                </w:tcPr>
                <w:p w14:paraId="71D03C17">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时期</w:t>
                  </w:r>
                </w:p>
              </w:tc>
              <w:tc>
                <w:tcPr>
                  <w:tcW w:w="700" w:type="pct"/>
                  <w:tcBorders>
                    <w:tl2br w:val="nil"/>
                    <w:tr2bl w:val="nil"/>
                  </w:tcBorders>
                  <w:noWrap/>
                  <w:vAlign w:val="center"/>
                </w:tcPr>
                <w:p w14:paraId="62FAA786">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投资项目</w:t>
                  </w:r>
                </w:p>
              </w:tc>
              <w:tc>
                <w:tcPr>
                  <w:tcW w:w="3162" w:type="pct"/>
                  <w:tcBorders>
                    <w:tl2br w:val="nil"/>
                    <w:tr2bl w:val="nil"/>
                  </w:tcBorders>
                  <w:noWrap/>
                  <w:vAlign w:val="center"/>
                </w:tcPr>
                <w:p w14:paraId="631541A6">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采取措施或设备</w:t>
                  </w:r>
                </w:p>
              </w:tc>
              <w:tc>
                <w:tcPr>
                  <w:tcW w:w="640" w:type="pct"/>
                  <w:tcBorders>
                    <w:tl2br w:val="nil"/>
                    <w:tr2bl w:val="nil"/>
                  </w:tcBorders>
                  <w:noWrap/>
                  <w:vAlign w:val="center"/>
                </w:tcPr>
                <w:p w14:paraId="7C0F129F">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环保投资(万元)</w:t>
                  </w:r>
                </w:p>
              </w:tc>
            </w:tr>
            <w:tr w14:paraId="06840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495" w:type="pct"/>
                  <w:vMerge w:val="restart"/>
                  <w:tcBorders>
                    <w:tl2br w:val="nil"/>
                    <w:tr2bl w:val="nil"/>
                  </w:tcBorders>
                  <w:noWrap/>
                  <w:vAlign w:val="center"/>
                </w:tcPr>
                <w:p w14:paraId="7020BDFC">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运</w:t>
                  </w:r>
                </w:p>
                <w:p w14:paraId="12E20ED8">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营</w:t>
                  </w:r>
                </w:p>
                <w:p w14:paraId="69299372">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期</w:t>
                  </w:r>
                </w:p>
                <w:p w14:paraId="17E77C96">
                  <w:pPr>
                    <w:pStyle w:val="101"/>
                    <w:spacing w:line="360" w:lineRule="exact"/>
                    <w:rPr>
                      <w:rFonts w:ascii="Times New Roman" w:hAnsi="Times New Roman" w:eastAsia="宋体" w:cs="Times New Roman"/>
                      <w:color w:val="auto"/>
                      <w:szCs w:val="21"/>
                      <w:highlight w:val="none"/>
                    </w:rPr>
                  </w:pPr>
                </w:p>
              </w:tc>
              <w:tc>
                <w:tcPr>
                  <w:tcW w:w="700" w:type="pct"/>
                  <w:vMerge w:val="restart"/>
                  <w:tcBorders>
                    <w:tl2br w:val="nil"/>
                    <w:tr2bl w:val="nil"/>
                  </w:tcBorders>
                  <w:noWrap/>
                  <w:vAlign w:val="center"/>
                </w:tcPr>
                <w:p w14:paraId="4221C74C">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废气治理</w:t>
                  </w:r>
                </w:p>
              </w:tc>
              <w:tc>
                <w:tcPr>
                  <w:tcW w:w="3162" w:type="pct"/>
                  <w:tcBorders>
                    <w:tl2br w:val="nil"/>
                    <w:tr2bl w:val="nil"/>
                  </w:tcBorders>
                  <w:noWrap/>
                  <w:vAlign w:val="center"/>
                </w:tcPr>
                <w:p w14:paraId="10125193">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旋风除尘器+布袋除尘器</w:t>
                  </w:r>
                  <w:r>
                    <w:rPr>
                      <w:rFonts w:hint="eastAsia" w:ascii="Times New Roman" w:hAnsi="Times New Roman" w:eastAsia="宋体" w:cs="Times New Roman"/>
                      <w:color w:val="auto"/>
                      <w:szCs w:val="21"/>
                      <w:highlight w:val="none"/>
                    </w:rPr>
                    <w:t>+40米高烟囱</w:t>
                  </w:r>
                </w:p>
              </w:tc>
              <w:tc>
                <w:tcPr>
                  <w:tcW w:w="640" w:type="pct"/>
                  <w:tcBorders>
                    <w:tl2br w:val="nil"/>
                    <w:tr2bl w:val="nil"/>
                  </w:tcBorders>
                  <w:noWrap/>
                  <w:vAlign w:val="center"/>
                </w:tcPr>
                <w:p w14:paraId="746D08FC">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40</w:t>
                  </w:r>
                </w:p>
              </w:tc>
            </w:tr>
            <w:tr w14:paraId="396CA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495" w:type="pct"/>
                  <w:vMerge w:val="continue"/>
                  <w:tcBorders>
                    <w:tl2br w:val="nil"/>
                    <w:tr2bl w:val="nil"/>
                  </w:tcBorders>
                  <w:noWrap/>
                  <w:vAlign w:val="center"/>
                </w:tcPr>
                <w:p w14:paraId="4A6F7C91">
                  <w:pPr>
                    <w:pStyle w:val="101"/>
                    <w:spacing w:line="360" w:lineRule="exact"/>
                    <w:rPr>
                      <w:rFonts w:ascii="Times New Roman" w:hAnsi="Times New Roman" w:eastAsia="宋体" w:cs="Times New Roman"/>
                      <w:color w:val="auto"/>
                      <w:szCs w:val="21"/>
                      <w:highlight w:val="none"/>
                    </w:rPr>
                  </w:pPr>
                </w:p>
              </w:tc>
              <w:tc>
                <w:tcPr>
                  <w:tcW w:w="700" w:type="pct"/>
                  <w:vMerge w:val="continue"/>
                  <w:tcBorders>
                    <w:tl2br w:val="nil"/>
                    <w:tr2bl w:val="nil"/>
                  </w:tcBorders>
                  <w:noWrap/>
                  <w:vAlign w:val="center"/>
                </w:tcPr>
                <w:p w14:paraId="0C47A142">
                  <w:pPr>
                    <w:pStyle w:val="101"/>
                    <w:spacing w:line="360" w:lineRule="exact"/>
                    <w:rPr>
                      <w:rFonts w:ascii="Times New Roman" w:hAnsi="Times New Roman" w:eastAsia="宋体" w:cs="Times New Roman"/>
                      <w:color w:val="auto"/>
                      <w:szCs w:val="21"/>
                      <w:highlight w:val="none"/>
                    </w:rPr>
                  </w:pPr>
                </w:p>
              </w:tc>
              <w:tc>
                <w:tcPr>
                  <w:tcW w:w="3162" w:type="pct"/>
                  <w:tcBorders>
                    <w:tl2br w:val="nil"/>
                    <w:tr2bl w:val="nil"/>
                  </w:tcBorders>
                  <w:noWrap/>
                  <w:vAlign w:val="center"/>
                </w:tcPr>
                <w:p w14:paraId="1C7ADE98">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筛分工段</w:t>
                  </w:r>
                  <w:r>
                    <w:rPr>
                      <w:rFonts w:hint="eastAsia" w:cs="Times New Roman"/>
                      <w:color w:val="auto"/>
                      <w:szCs w:val="21"/>
                      <w:highlight w:val="none"/>
                      <w:lang w:val="en-US" w:eastAsia="zh-CN"/>
                    </w:rPr>
                    <w:t>废气经布袋除尘器处理</w:t>
                  </w:r>
                  <w:r>
                    <w:rPr>
                      <w:rFonts w:hint="eastAsia" w:ascii="Times New Roman" w:hAnsi="Times New Roman" w:eastAsia="宋体" w:cs="Times New Roman"/>
                      <w:color w:val="auto"/>
                      <w:szCs w:val="21"/>
                      <w:highlight w:val="none"/>
                    </w:rPr>
                    <w:t>后由1根15米高排气筒排放</w:t>
                  </w:r>
                </w:p>
              </w:tc>
              <w:tc>
                <w:tcPr>
                  <w:tcW w:w="640" w:type="pct"/>
                  <w:tcBorders>
                    <w:tl2br w:val="nil"/>
                    <w:tr2bl w:val="nil"/>
                  </w:tcBorders>
                  <w:noWrap/>
                  <w:vAlign w:val="center"/>
                </w:tcPr>
                <w:p w14:paraId="015E1E4E">
                  <w:pPr>
                    <w:pStyle w:val="101"/>
                    <w:spacing w:line="360" w:lineRule="exact"/>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5</w:t>
                  </w:r>
                </w:p>
              </w:tc>
            </w:tr>
            <w:tr w14:paraId="330F9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495" w:type="pct"/>
                  <w:vMerge w:val="continue"/>
                  <w:tcBorders>
                    <w:tl2br w:val="nil"/>
                    <w:tr2bl w:val="nil"/>
                  </w:tcBorders>
                  <w:noWrap/>
                  <w:vAlign w:val="center"/>
                </w:tcPr>
                <w:p w14:paraId="359CD01A">
                  <w:pPr>
                    <w:pStyle w:val="101"/>
                    <w:spacing w:line="360" w:lineRule="exact"/>
                    <w:rPr>
                      <w:rFonts w:ascii="Times New Roman" w:hAnsi="Times New Roman" w:eastAsia="宋体" w:cs="Times New Roman"/>
                      <w:color w:val="auto"/>
                      <w:szCs w:val="21"/>
                      <w:highlight w:val="none"/>
                    </w:rPr>
                  </w:pPr>
                </w:p>
              </w:tc>
              <w:tc>
                <w:tcPr>
                  <w:tcW w:w="700" w:type="pct"/>
                  <w:vMerge w:val="continue"/>
                  <w:tcBorders>
                    <w:tl2br w:val="nil"/>
                    <w:tr2bl w:val="nil"/>
                  </w:tcBorders>
                  <w:noWrap/>
                  <w:vAlign w:val="center"/>
                </w:tcPr>
                <w:p w14:paraId="3F7A2252">
                  <w:pPr>
                    <w:pStyle w:val="101"/>
                    <w:spacing w:line="360" w:lineRule="exact"/>
                    <w:rPr>
                      <w:rFonts w:ascii="Times New Roman" w:hAnsi="Times New Roman" w:eastAsia="宋体" w:cs="Times New Roman"/>
                      <w:color w:val="auto"/>
                      <w:szCs w:val="21"/>
                      <w:highlight w:val="none"/>
                    </w:rPr>
                  </w:pPr>
                </w:p>
              </w:tc>
              <w:tc>
                <w:tcPr>
                  <w:tcW w:w="3162" w:type="pct"/>
                  <w:tcBorders>
                    <w:tl2br w:val="nil"/>
                    <w:tr2bl w:val="nil"/>
                  </w:tcBorders>
                  <w:noWrap/>
                  <w:vAlign w:val="center"/>
                </w:tcPr>
                <w:p w14:paraId="6A57818D">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冷凝废气经石蜡吸收塔处理后经</w:t>
                  </w:r>
                  <w:r>
                    <w:rPr>
                      <w:rFonts w:hint="eastAsia" w:cs="Times New Roman"/>
                      <w:color w:val="auto"/>
                      <w:szCs w:val="21"/>
                      <w:highlight w:val="none"/>
                      <w:lang w:val="en-US" w:eastAsia="zh-CN"/>
                    </w:rPr>
                    <w:t>20</w:t>
                  </w:r>
                  <w:r>
                    <w:rPr>
                      <w:rFonts w:hint="eastAsia" w:ascii="Times New Roman" w:hAnsi="Times New Roman" w:eastAsia="宋体" w:cs="Times New Roman"/>
                      <w:color w:val="auto"/>
                      <w:szCs w:val="21"/>
                      <w:highlight w:val="none"/>
                    </w:rPr>
                    <w:t>米高排气筒排放</w:t>
                  </w:r>
                </w:p>
              </w:tc>
              <w:tc>
                <w:tcPr>
                  <w:tcW w:w="640" w:type="pct"/>
                  <w:tcBorders>
                    <w:tl2br w:val="nil"/>
                    <w:tr2bl w:val="nil"/>
                  </w:tcBorders>
                  <w:noWrap/>
                  <w:vAlign w:val="center"/>
                </w:tcPr>
                <w:p w14:paraId="73AF1E40">
                  <w:pPr>
                    <w:pStyle w:val="101"/>
                    <w:spacing w:line="360" w:lineRule="exact"/>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rPr>
                    <w:t>1</w:t>
                  </w:r>
                  <w:r>
                    <w:rPr>
                      <w:rFonts w:hint="eastAsia" w:ascii="Times New Roman" w:hAnsi="Times New Roman" w:eastAsia="宋体" w:cs="Times New Roman"/>
                      <w:color w:val="auto"/>
                      <w:szCs w:val="21"/>
                      <w:highlight w:val="none"/>
                      <w:lang w:val="en-US" w:eastAsia="zh-CN"/>
                    </w:rPr>
                    <w:t>0</w:t>
                  </w:r>
                </w:p>
              </w:tc>
            </w:tr>
            <w:tr w14:paraId="49751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495" w:type="pct"/>
                  <w:vMerge w:val="continue"/>
                  <w:tcBorders>
                    <w:tl2br w:val="nil"/>
                    <w:tr2bl w:val="nil"/>
                  </w:tcBorders>
                  <w:noWrap/>
                  <w:vAlign w:val="center"/>
                </w:tcPr>
                <w:p w14:paraId="28D9D218">
                  <w:pPr>
                    <w:pStyle w:val="101"/>
                    <w:spacing w:line="360" w:lineRule="exact"/>
                    <w:rPr>
                      <w:rFonts w:ascii="Times New Roman" w:hAnsi="Times New Roman" w:eastAsia="宋体" w:cs="Times New Roman"/>
                      <w:color w:val="auto"/>
                      <w:szCs w:val="21"/>
                      <w:highlight w:val="none"/>
                    </w:rPr>
                  </w:pPr>
                </w:p>
              </w:tc>
              <w:tc>
                <w:tcPr>
                  <w:tcW w:w="700" w:type="pct"/>
                  <w:vMerge w:val="continue"/>
                  <w:tcBorders>
                    <w:tl2br w:val="nil"/>
                    <w:tr2bl w:val="nil"/>
                  </w:tcBorders>
                  <w:noWrap/>
                  <w:vAlign w:val="center"/>
                </w:tcPr>
                <w:p w14:paraId="72E43097">
                  <w:pPr>
                    <w:pStyle w:val="101"/>
                    <w:spacing w:line="360" w:lineRule="exact"/>
                    <w:rPr>
                      <w:rFonts w:ascii="Times New Roman" w:hAnsi="Times New Roman" w:eastAsia="宋体" w:cs="Times New Roman"/>
                      <w:color w:val="auto"/>
                      <w:szCs w:val="21"/>
                      <w:highlight w:val="none"/>
                    </w:rPr>
                  </w:pPr>
                </w:p>
              </w:tc>
              <w:tc>
                <w:tcPr>
                  <w:tcW w:w="3162" w:type="pct"/>
                  <w:tcBorders>
                    <w:tl2br w:val="nil"/>
                    <w:tr2bl w:val="nil"/>
                  </w:tcBorders>
                  <w:noWrap/>
                  <w:vAlign w:val="center"/>
                </w:tcPr>
                <w:p w14:paraId="7153C31F">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污水处理站废气经过活性炭吸附后经15米高</w:t>
                  </w:r>
                  <w:r>
                    <w:rPr>
                      <w:rFonts w:hint="eastAsia" w:ascii="Times New Roman" w:hAnsi="Times New Roman" w:eastAsia="宋体" w:cs="Times New Roman"/>
                      <w:color w:val="auto"/>
                      <w:szCs w:val="21"/>
                      <w:highlight w:val="none"/>
                    </w:rPr>
                    <w:t>排气筒排放</w:t>
                  </w:r>
                </w:p>
              </w:tc>
              <w:tc>
                <w:tcPr>
                  <w:tcW w:w="640" w:type="pct"/>
                  <w:tcBorders>
                    <w:tl2br w:val="nil"/>
                    <w:tr2bl w:val="nil"/>
                  </w:tcBorders>
                  <w:noWrap/>
                  <w:vAlign w:val="center"/>
                </w:tcPr>
                <w:p w14:paraId="0DB3A33F">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w:t>
                  </w:r>
                </w:p>
              </w:tc>
            </w:tr>
            <w:tr w14:paraId="243BEA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495" w:type="pct"/>
                  <w:vMerge w:val="continue"/>
                  <w:tcBorders>
                    <w:tl2br w:val="nil"/>
                    <w:tr2bl w:val="nil"/>
                  </w:tcBorders>
                  <w:noWrap/>
                  <w:vAlign w:val="center"/>
                </w:tcPr>
                <w:p w14:paraId="7D54E657">
                  <w:pPr>
                    <w:pStyle w:val="101"/>
                    <w:spacing w:line="360" w:lineRule="exact"/>
                    <w:rPr>
                      <w:rFonts w:ascii="Times New Roman" w:hAnsi="Times New Roman" w:eastAsia="宋体" w:cs="Times New Roman"/>
                      <w:color w:val="auto"/>
                      <w:szCs w:val="21"/>
                      <w:highlight w:val="none"/>
                    </w:rPr>
                  </w:pPr>
                </w:p>
              </w:tc>
              <w:tc>
                <w:tcPr>
                  <w:tcW w:w="700" w:type="pct"/>
                  <w:vMerge w:val="continue"/>
                  <w:tcBorders>
                    <w:tl2br w:val="nil"/>
                    <w:tr2bl w:val="nil"/>
                  </w:tcBorders>
                  <w:noWrap/>
                  <w:vAlign w:val="center"/>
                </w:tcPr>
                <w:p w14:paraId="5041E66B">
                  <w:pPr>
                    <w:pStyle w:val="101"/>
                    <w:spacing w:line="360" w:lineRule="exact"/>
                    <w:rPr>
                      <w:rFonts w:ascii="Times New Roman" w:hAnsi="Times New Roman" w:eastAsia="宋体" w:cs="Times New Roman"/>
                      <w:color w:val="auto"/>
                      <w:szCs w:val="21"/>
                      <w:highlight w:val="none"/>
                    </w:rPr>
                  </w:pPr>
                </w:p>
              </w:tc>
              <w:tc>
                <w:tcPr>
                  <w:tcW w:w="3162" w:type="pct"/>
                  <w:tcBorders>
                    <w:tl2br w:val="nil"/>
                    <w:tr2bl w:val="nil"/>
                  </w:tcBorders>
                  <w:noWrap/>
                  <w:vAlign w:val="center"/>
                </w:tcPr>
                <w:p w14:paraId="043FC864">
                  <w:pPr>
                    <w:pStyle w:val="101"/>
                    <w:spacing w:line="360" w:lineRule="exact"/>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rPr>
                    <w:t>烘干工段</w:t>
                  </w:r>
                  <w:r>
                    <w:rPr>
                      <w:rFonts w:hint="eastAsia" w:cs="Times New Roman"/>
                      <w:color w:val="auto"/>
                      <w:szCs w:val="21"/>
                      <w:highlight w:val="none"/>
                      <w:lang w:val="en-US" w:eastAsia="zh-CN"/>
                    </w:rPr>
                    <w:t>配备</w:t>
                  </w:r>
                  <w:r>
                    <w:rPr>
                      <w:rFonts w:hint="eastAsia" w:ascii="Times New Roman" w:hAnsi="Times New Roman" w:eastAsia="宋体" w:cs="Times New Roman"/>
                      <w:color w:val="auto"/>
                      <w:szCs w:val="21"/>
                      <w:highlight w:val="none"/>
                    </w:rPr>
                    <w:t>一套集气罩及布袋除尘器，颗粒物经处理后由1根15米高排气筒排放</w:t>
                  </w:r>
                </w:p>
              </w:tc>
              <w:tc>
                <w:tcPr>
                  <w:tcW w:w="640" w:type="pct"/>
                  <w:tcBorders>
                    <w:tl2br w:val="nil"/>
                    <w:tr2bl w:val="nil"/>
                  </w:tcBorders>
                  <w:noWrap/>
                  <w:vAlign w:val="center"/>
                </w:tcPr>
                <w:p w14:paraId="5FD77A22">
                  <w:pPr>
                    <w:pStyle w:val="101"/>
                    <w:spacing w:line="360" w:lineRule="exact"/>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p>
              </w:tc>
            </w:tr>
            <w:tr w14:paraId="0B1DD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5" w:type="pct"/>
                  <w:vMerge w:val="continue"/>
                  <w:tcBorders>
                    <w:tl2br w:val="nil"/>
                    <w:tr2bl w:val="nil"/>
                  </w:tcBorders>
                  <w:noWrap/>
                  <w:vAlign w:val="center"/>
                </w:tcPr>
                <w:p w14:paraId="7E7F5784">
                  <w:pPr>
                    <w:pStyle w:val="101"/>
                    <w:spacing w:line="360" w:lineRule="exact"/>
                    <w:rPr>
                      <w:rFonts w:ascii="Times New Roman" w:hAnsi="Times New Roman" w:eastAsia="宋体" w:cs="Times New Roman"/>
                      <w:color w:val="auto"/>
                      <w:szCs w:val="21"/>
                      <w:highlight w:val="none"/>
                    </w:rPr>
                  </w:pPr>
                </w:p>
              </w:tc>
              <w:tc>
                <w:tcPr>
                  <w:tcW w:w="700" w:type="pct"/>
                  <w:tcBorders>
                    <w:tl2br w:val="nil"/>
                    <w:tr2bl w:val="nil"/>
                  </w:tcBorders>
                  <w:noWrap/>
                  <w:vAlign w:val="center"/>
                </w:tcPr>
                <w:p w14:paraId="077A92B3">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废水治理</w:t>
                  </w:r>
                </w:p>
              </w:tc>
              <w:tc>
                <w:tcPr>
                  <w:tcW w:w="3162" w:type="pct"/>
                  <w:tcBorders>
                    <w:tl2br w:val="nil"/>
                    <w:tr2bl w:val="nil"/>
                  </w:tcBorders>
                  <w:noWrap/>
                  <w:vAlign w:val="center"/>
                </w:tcPr>
                <w:p w14:paraId="4EF7C260">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rPr>
                    <w:t>冷却水回用池</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隔油池、污水处理站</w:t>
                  </w:r>
                </w:p>
              </w:tc>
              <w:tc>
                <w:tcPr>
                  <w:tcW w:w="640" w:type="pct"/>
                  <w:tcBorders>
                    <w:tl2br w:val="nil"/>
                    <w:tr2bl w:val="nil"/>
                  </w:tcBorders>
                  <w:noWrap/>
                  <w:vAlign w:val="center"/>
                </w:tcPr>
                <w:p w14:paraId="5128C97C">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29</w:t>
                  </w:r>
                </w:p>
              </w:tc>
            </w:tr>
            <w:tr w14:paraId="4C776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26C21D37">
                  <w:pPr>
                    <w:pStyle w:val="101"/>
                    <w:spacing w:line="360" w:lineRule="exact"/>
                    <w:rPr>
                      <w:rFonts w:ascii="Times New Roman" w:hAnsi="Times New Roman" w:eastAsia="宋体" w:cs="Times New Roman"/>
                      <w:color w:val="auto"/>
                      <w:szCs w:val="21"/>
                      <w:highlight w:val="none"/>
                    </w:rPr>
                  </w:pPr>
                </w:p>
              </w:tc>
              <w:tc>
                <w:tcPr>
                  <w:tcW w:w="700" w:type="pct"/>
                  <w:tcBorders>
                    <w:tl2br w:val="nil"/>
                    <w:tr2bl w:val="nil"/>
                  </w:tcBorders>
                  <w:noWrap/>
                  <w:vAlign w:val="center"/>
                </w:tcPr>
                <w:p w14:paraId="2D550496">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噪声治理</w:t>
                  </w:r>
                </w:p>
              </w:tc>
              <w:tc>
                <w:tcPr>
                  <w:tcW w:w="3162" w:type="pct"/>
                  <w:tcBorders>
                    <w:tl2br w:val="nil"/>
                    <w:tr2bl w:val="nil"/>
                  </w:tcBorders>
                  <w:noWrap/>
                  <w:vAlign w:val="center"/>
                </w:tcPr>
                <w:p w14:paraId="66FDD96B">
                  <w:pPr>
                    <w:pStyle w:val="101"/>
                    <w:spacing w:line="360" w:lineRule="exact"/>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隔声、减振、风管之间柔性联接</w:t>
                  </w:r>
                  <w:r>
                    <w:rPr>
                      <w:rFonts w:hint="eastAsia" w:cs="Times New Roman"/>
                      <w:color w:val="auto"/>
                      <w:szCs w:val="21"/>
                      <w:highlight w:val="none"/>
                      <w:lang w:eastAsia="zh-CN"/>
                    </w:rPr>
                    <w:t>、</w:t>
                  </w:r>
                  <w:r>
                    <w:rPr>
                      <w:rFonts w:hint="eastAsia" w:cs="Times New Roman"/>
                      <w:color w:val="auto"/>
                      <w:szCs w:val="21"/>
                      <w:highlight w:val="none"/>
                      <w:lang w:val="en-US" w:eastAsia="zh-CN"/>
                    </w:rPr>
                    <w:t>消声器</w:t>
                  </w:r>
                </w:p>
              </w:tc>
              <w:tc>
                <w:tcPr>
                  <w:tcW w:w="640" w:type="pct"/>
                  <w:tcBorders>
                    <w:tl2br w:val="nil"/>
                    <w:tr2bl w:val="nil"/>
                  </w:tcBorders>
                  <w:noWrap/>
                  <w:vAlign w:val="center"/>
                </w:tcPr>
                <w:p w14:paraId="51B0D90A">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5</w:t>
                  </w:r>
                </w:p>
              </w:tc>
            </w:tr>
            <w:tr w14:paraId="774D1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3ADB982B">
                  <w:pPr>
                    <w:pStyle w:val="101"/>
                    <w:spacing w:line="360" w:lineRule="exact"/>
                    <w:rPr>
                      <w:rFonts w:ascii="Times New Roman" w:hAnsi="Times New Roman" w:eastAsia="宋体" w:cs="Times New Roman"/>
                      <w:color w:val="auto"/>
                      <w:szCs w:val="21"/>
                      <w:highlight w:val="none"/>
                    </w:rPr>
                  </w:pPr>
                </w:p>
              </w:tc>
              <w:tc>
                <w:tcPr>
                  <w:tcW w:w="700" w:type="pct"/>
                  <w:tcBorders>
                    <w:tl2br w:val="nil"/>
                    <w:tr2bl w:val="nil"/>
                  </w:tcBorders>
                  <w:noWrap/>
                  <w:vAlign w:val="center"/>
                </w:tcPr>
                <w:p w14:paraId="183957E5">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固废治理</w:t>
                  </w:r>
                </w:p>
              </w:tc>
              <w:tc>
                <w:tcPr>
                  <w:tcW w:w="3162" w:type="pct"/>
                  <w:tcBorders>
                    <w:tl2br w:val="nil"/>
                    <w:tr2bl w:val="nil"/>
                  </w:tcBorders>
                  <w:noWrap/>
                  <w:vAlign w:val="center"/>
                </w:tcPr>
                <w:p w14:paraId="1AE201DD">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单独收集袋装、生活垃圾箱</w:t>
                  </w:r>
                </w:p>
              </w:tc>
              <w:tc>
                <w:tcPr>
                  <w:tcW w:w="640" w:type="pct"/>
                  <w:tcBorders>
                    <w:tl2br w:val="nil"/>
                    <w:tr2bl w:val="nil"/>
                  </w:tcBorders>
                  <w:noWrap/>
                  <w:vAlign w:val="center"/>
                </w:tcPr>
                <w:p w14:paraId="7011EE92">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r>
            <w:tr w14:paraId="7A386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5F7EF2B2">
                  <w:pPr>
                    <w:pStyle w:val="101"/>
                    <w:spacing w:line="360" w:lineRule="exact"/>
                    <w:rPr>
                      <w:rFonts w:ascii="Times New Roman" w:hAnsi="Times New Roman" w:eastAsia="宋体" w:cs="Times New Roman"/>
                      <w:color w:val="auto"/>
                      <w:szCs w:val="21"/>
                      <w:highlight w:val="none"/>
                    </w:rPr>
                  </w:pPr>
                </w:p>
              </w:tc>
              <w:tc>
                <w:tcPr>
                  <w:tcW w:w="700" w:type="pct"/>
                  <w:tcBorders>
                    <w:tl2br w:val="nil"/>
                    <w:tr2bl w:val="nil"/>
                  </w:tcBorders>
                  <w:noWrap/>
                  <w:vAlign w:val="center"/>
                </w:tcPr>
                <w:p w14:paraId="4438BD35">
                  <w:pPr>
                    <w:pStyle w:val="101"/>
                    <w:spacing w:line="360" w:lineRule="exact"/>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地下水</w:t>
                  </w:r>
                </w:p>
              </w:tc>
              <w:tc>
                <w:tcPr>
                  <w:tcW w:w="3162" w:type="pct"/>
                  <w:tcBorders>
                    <w:tl2br w:val="nil"/>
                    <w:tr2bl w:val="nil"/>
                  </w:tcBorders>
                  <w:noWrap/>
                  <w:vAlign w:val="center"/>
                </w:tcPr>
                <w:p w14:paraId="304E997D">
                  <w:pPr>
                    <w:pStyle w:val="101"/>
                    <w:spacing w:line="360" w:lineRule="exact"/>
                    <w:rPr>
                      <w:rFonts w:hint="eastAsia" w:ascii="Times New Roman" w:hAnsi="Times New Roman" w:eastAsia="宋体" w:cs="Times New Roman"/>
                      <w:color w:val="auto"/>
                      <w:szCs w:val="21"/>
                      <w:highlight w:val="none"/>
                      <w:lang w:eastAsia="zh-CN"/>
                    </w:rPr>
                  </w:pPr>
                  <w:r>
                    <w:rPr>
                      <w:rFonts w:hint="eastAsia"/>
                      <w:color w:val="auto"/>
                      <w:highlight w:val="none"/>
                      <w:lang w:eastAsia="zh-CN"/>
                    </w:rPr>
                    <w:t>将地下溶剂库座、事故池、危险废物贮存点作为重点防渗区。其中危险废物贮存点应符合《危险废物贮存污染控制标准》（GB18597—2023）要求，地下溶剂库座、事故池、危险废物贮存点要满足等效黏土层防渗层Mb≥6.0m，渗透系数K≤1.0×10-7cm/s的防渗要求；浸出车间、糠粕加工车间、液体油罐、固废暂存间等做一般防渗，浸出车间、糠粕加工车间、液体油罐、固废暂存间要满足等效黏土层防渗层Mb≥1.5m，渗透系数K≤1.0×10-7cm/s的防渗要求；厂区其他区域为简单防渗区，采取一般地面水泥硬化。</w:t>
                  </w:r>
                </w:p>
              </w:tc>
              <w:tc>
                <w:tcPr>
                  <w:tcW w:w="640" w:type="pct"/>
                  <w:tcBorders>
                    <w:tl2br w:val="nil"/>
                    <w:tr2bl w:val="nil"/>
                  </w:tcBorders>
                  <w:noWrap/>
                  <w:vAlign w:val="center"/>
                </w:tcPr>
                <w:p w14:paraId="6D5CEFCB">
                  <w:pPr>
                    <w:pStyle w:val="101"/>
                    <w:spacing w:line="360" w:lineRule="exact"/>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r>
            <w:tr w14:paraId="75391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56128ACE">
                  <w:pPr>
                    <w:pStyle w:val="101"/>
                    <w:spacing w:line="360" w:lineRule="exact"/>
                    <w:rPr>
                      <w:rFonts w:ascii="Times New Roman" w:hAnsi="Times New Roman" w:eastAsia="宋体" w:cs="Times New Roman"/>
                      <w:color w:val="auto"/>
                      <w:szCs w:val="21"/>
                      <w:highlight w:val="none"/>
                    </w:rPr>
                  </w:pPr>
                </w:p>
              </w:tc>
              <w:tc>
                <w:tcPr>
                  <w:tcW w:w="700" w:type="pct"/>
                  <w:tcBorders>
                    <w:tl2br w:val="nil"/>
                    <w:tr2bl w:val="nil"/>
                  </w:tcBorders>
                  <w:noWrap/>
                  <w:vAlign w:val="center"/>
                </w:tcPr>
                <w:p w14:paraId="56D7AB4A">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运行与维护</w:t>
                  </w:r>
                </w:p>
              </w:tc>
              <w:tc>
                <w:tcPr>
                  <w:tcW w:w="3162" w:type="pct"/>
                  <w:tcBorders>
                    <w:tl2br w:val="nil"/>
                    <w:tr2bl w:val="nil"/>
                  </w:tcBorders>
                  <w:noWrap/>
                  <w:vAlign w:val="center"/>
                </w:tcPr>
                <w:p w14:paraId="6229526D">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环保措施的运行与维护</w:t>
                  </w:r>
                </w:p>
              </w:tc>
              <w:tc>
                <w:tcPr>
                  <w:tcW w:w="640" w:type="pct"/>
                  <w:tcBorders>
                    <w:tl2br w:val="nil"/>
                    <w:tr2bl w:val="nil"/>
                  </w:tcBorders>
                  <w:noWrap/>
                  <w:vAlign w:val="center"/>
                </w:tcPr>
                <w:p w14:paraId="142ADD0F">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r>
            <w:tr w14:paraId="03406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restart"/>
                  <w:tcBorders>
                    <w:tl2br w:val="nil"/>
                    <w:tr2bl w:val="nil"/>
                  </w:tcBorders>
                  <w:noWrap/>
                  <w:vAlign w:val="center"/>
                </w:tcPr>
                <w:p w14:paraId="669BC195">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环保投资</w:t>
                  </w:r>
                </w:p>
              </w:tc>
              <w:tc>
                <w:tcPr>
                  <w:tcW w:w="3863" w:type="pct"/>
                  <w:gridSpan w:val="2"/>
                  <w:tcBorders>
                    <w:tl2br w:val="nil"/>
                    <w:tr2bl w:val="nil"/>
                  </w:tcBorders>
                  <w:noWrap/>
                  <w:vAlign w:val="center"/>
                </w:tcPr>
                <w:p w14:paraId="2552DDD4">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环保投资合计</w:t>
                  </w:r>
                </w:p>
              </w:tc>
              <w:tc>
                <w:tcPr>
                  <w:tcW w:w="640" w:type="pct"/>
                  <w:tcBorders>
                    <w:tl2br w:val="nil"/>
                    <w:tr2bl w:val="nil"/>
                  </w:tcBorders>
                  <w:noWrap/>
                  <w:vAlign w:val="center"/>
                </w:tcPr>
                <w:p w14:paraId="1AC83840">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w:t>
                  </w:r>
                  <w:r>
                    <w:rPr>
                      <w:rFonts w:hint="eastAsia" w:cs="Times New Roman"/>
                      <w:color w:val="auto"/>
                      <w:szCs w:val="21"/>
                      <w:highlight w:val="none"/>
                      <w:lang w:val="en-US" w:eastAsia="zh-CN"/>
                    </w:rPr>
                    <w:t>20</w:t>
                  </w:r>
                </w:p>
              </w:tc>
            </w:tr>
            <w:tr w14:paraId="32CD6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00F577CD">
                  <w:pPr>
                    <w:pStyle w:val="101"/>
                    <w:spacing w:line="360" w:lineRule="exact"/>
                    <w:rPr>
                      <w:rFonts w:ascii="Times New Roman" w:hAnsi="Times New Roman" w:eastAsia="宋体" w:cs="Times New Roman"/>
                      <w:color w:val="auto"/>
                      <w:szCs w:val="21"/>
                      <w:highlight w:val="none"/>
                    </w:rPr>
                  </w:pPr>
                </w:p>
              </w:tc>
              <w:tc>
                <w:tcPr>
                  <w:tcW w:w="3863" w:type="pct"/>
                  <w:gridSpan w:val="2"/>
                  <w:tcBorders>
                    <w:tl2br w:val="nil"/>
                    <w:tr2bl w:val="nil"/>
                  </w:tcBorders>
                  <w:noWrap/>
                  <w:vAlign w:val="center"/>
                </w:tcPr>
                <w:p w14:paraId="6A13A95D">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总投资</w:t>
                  </w:r>
                </w:p>
              </w:tc>
              <w:tc>
                <w:tcPr>
                  <w:tcW w:w="640" w:type="pct"/>
                  <w:tcBorders>
                    <w:tl2br w:val="nil"/>
                    <w:tr2bl w:val="nil"/>
                  </w:tcBorders>
                  <w:noWrap/>
                  <w:vAlign w:val="center"/>
                </w:tcPr>
                <w:p w14:paraId="33DDC9BA">
                  <w:pPr>
                    <w:pStyle w:val="101"/>
                    <w:spacing w:line="360" w:lineRule="exac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18000</w:t>
                  </w:r>
                </w:p>
              </w:tc>
            </w:tr>
            <w:tr w14:paraId="1D926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5" w:type="pct"/>
                  <w:vMerge w:val="continue"/>
                  <w:tcBorders>
                    <w:tl2br w:val="nil"/>
                    <w:tr2bl w:val="nil"/>
                  </w:tcBorders>
                  <w:noWrap/>
                  <w:vAlign w:val="center"/>
                </w:tcPr>
                <w:p w14:paraId="50F21710">
                  <w:pPr>
                    <w:pStyle w:val="101"/>
                    <w:spacing w:line="360" w:lineRule="exact"/>
                    <w:rPr>
                      <w:rFonts w:ascii="Times New Roman" w:hAnsi="Times New Roman" w:eastAsia="宋体" w:cs="Times New Roman"/>
                      <w:color w:val="auto"/>
                      <w:szCs w:val="21"/>
                      <w:highlight w:val="none"/>
                    </w:rPr>
                  </w:pPr>
                </w:p>
              </w:tc>
              <w:tc>
                <w:tcPr>
                  <w:tcW w:w="3863" w:type="pct"/>
                  <w:gridSpan w:val="2"/>
                  <w:tcBorders>
                    <w:tl2br w:val="nil"/>
                    <w:tr2bl w:val="nil"/>
                  </w:tcBorders>
                  <w:noWrap/>
                  <w:vAlign w:val="center"/>
                </w:tcPr>
                <w:p w14:paraId="03A5ACDA">
                  <w:pPr>
                    <w:pStyle w:val="101"/>
                    <w:spacing w:line="360" w:lineRule="exac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环保投资占比（%）</w:t>
                  </w:r>
                </w:p>
              </w:tc>
              <w:tc>
                <w:tcPr>
                  <w:tcW w:w="640" w:type="pct"/>
                  <w:tcBorders>
                    <w:tl2br w:val="nil"/>
                    <w:tr2bl w:val="nil"/>
                  </w:tcBorders>
                  <w:noWrap/>
                  <w:vAlign w:val="center"/>
                </w:tcPr>
                <w:p w14:paraId="6CB28487">
                  <w:pPr>
                    <w:pStyle w:val="101"/>
                    <w:spacing w:line="36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w:t>
                  </w:r>
                  <w:r>
                    <w:rPr>
                      <w:rFonts w:hint="eastAsia" w:cs="Times New Roman"/>
                      <w:color w:val="auto"/>
                      <w:szCs w:val="21"/>
                      <w:highlight w:val="none"/>
                      <w:lang w:val="en-US" w:eastAsia="zh-CN"/>
                    </w:rPr>
                    <w:t>7</w:t>
                  </w:r>
                </w:p>
              </w:tc>
            </w:tr>
          </w:tbl>
          <w:p w14:paraId="752CE1FF">
            <w:pPr>
              <w:adjustRightInd w:val="0"/>
              <w:snapToGrid w:val="0"/>
              <w:spacing w:line="500" w:lineRule="exact"/>
              <w:rPr>
                <w:bCs/>
                <w:color w:val="auto"/>
                <w:sz w:val="24"/>
                <w:szCs w:val="21"/>
                <w:highlight w:val="none"/>
              </w:rPr>
            </w:pPr>
          </w:p>
        </w:tc>
      </w:tr>
      <w:tr w14:paraId="47A832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393" w:type="pct"/>
            <w:vAlign w:val="center"/>
          </w:tcPr>
          <w:p w14:paraId="3622CCDE">
            <w:pPr>
              <w:pStyle w:val="33"/>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color w:val="auto"/>
                <w:szCs w:val="21"/>
                <w:highlight w:val="none"/>
              </w:rPr>
              <w:t>工艺流程和产排污环节</w:t>
            </w:r>
          </w:p>
        </w:tc>
        <w:tc>
          <w:tcPr>
            <w:tcW w:w="4606" w:type="pct"/>
            <w:tcBorders>
              <w:top w:val="nil"/>
            </w:tcBorders>
          </w:tcPr>
          <w:p w14:paraId="77A1BEEA">
            <w:pPr>
              <w:adjustRightInd w:val="0"/>
              <w:snapToGrid w:val="0"/>
              <w:spacing w:line="500" w:lineRule="exact"/>
              <w:ind w:firstLine="480" w:firstLineChars="200"/>
              <w:rPr>
                <w:color w:val="auto"/>
                <w:sz w:val="24"/>
                <w:highlight w:val="none"/>
              </w:rPr>
            </w:pPr>
            <w:r>
              <w:rPr>
                <w:rFonts w:hint="eastAsia"/>
                <w:color w:val="auto"/>
                <w:sz w:val="24"/>
                <w:highlight w:val="none"/>
              </w:rPr>
              <w:t>1、</w:t>
            </w:r>
            <w:r>
              <w:rPr>
                <w:color w:val="auto"/>
                <w:sz w:val="24"/>
                <w:highlight w:val="none"/>
              </w:rPr>
              <w:t>施工期</w:t>
            </w:r>
            <w:r>
              <w:rPr>
                <w:rFonts w:hint="eastAsia"/>
                <w:color w:val="auto"/>
                <w:sz w:val="24"/>
                <w:highlight w:val="none"/>
              </w:rPr>
              <w:t>工艺流程简述</w:t>
            </w:r>
          </w:p>
          <w:p w14:paraId="62F58468">
            <w:pPr>
              <w:adjustRightInd w:val="0"/>
              <w:snapToGrid w:val="0"/>
              <w:spacing w:line="500" w:lineRule="exact"/>
              <w:ind w:firstLine="480" w:firstLineChars="200"/>
              <w:rPr>
                <w:color w:val="auto"/>
                <w:sz w:val="24"/>
                <w:highlight w:val="none"/>
              </w:rPr>
            </w:pPr>
            <w:r>
              <w:rPr>
                <w:rFonts w:hint="eastAsia"/>
                <w:color w:val="auto"/>
                <w:sz w:val="24"/>
                <w:highlight w:val="none"/>
              </w:rPr>
              <w:t>本项目施工建设包括结构施工、建筑施工、配套设施安装等四个阶段。施工期主要污染物包括施工期扬尘、施工废水、施工工人生活污水、机械设备噪声及固体废物等。施工期工艺流程及产排污节点图见图2-</w:t>
            </w:r>
            <w:r>
              <w:rPr>
                <w:rFonts w:hint="eastAsia"/>
                <w:color w:val="auto"/>
                <w:sz w:val="24"/>
                <w:highlight w:val="none"/>
                <w:lang w:val="en-US" w:eastAsia="zh-CN"/>
              </w:rPr>
              <w:t>5</w:t>
            </w:r>
            <w:r>
              <w:rPr>
                <w:rFonts w:hint="eastAsia"/>
                <w:color w:val="auto"/>
                <w:sz w:val="24"/>
                <w:highlight w:val="none"/>
              </w:rPr>
              <w:t>。</w:t>
            </w:r>
          </w:p>
          <w:p w14:paraId="645C9370">
            <w:pPr>
              <w:pStyle w:val="162"/>
              <w:rPr>
                <w:color w:val="auto"/>
                <w:highlight w:val="none"/>
              </w:rPr>
            </w:pPr>
            <w:r>
              <w:rPr>
                <w:rFonts w:hint="eastAsia"/>
                <w:color w:val="auto"/>
                <w:highlight w:val="none"/>
              </w:rPr>
              <w:drawing>
                <wp:inline distT="0" distB="0" distL="114300" distR="114300">
                  <wp:extent cx="4091940" cy="1828800"/>
                  <wp:effectExtent l="0" t="0" r="7620" b="0"/>
                  <wp:docPr id="10" name="图片 10" descr="9c4bbe0ad2756b95a0a43c9cf7e3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9c4bbe0ad2756b95a0a43c9cf7e3ecc"/>
                          <pic:cNvPicPr>
                            <a:picLocks noChangeAspect="1"/>
                          </pic:cNvPicPr>
                        </pic:nvPicPr>
                        <pic:blipFill>
                          <a:blip r:embed="rId14"/>
                          <a:stretch>
                            <a:fillRect/>
                          </a:stretch>
                        </pic:blipFill>
                        <pic:spPr>
                          <a:xfrm>
                            <a:off x="0" y="0"/>
                            <a:ext cx="4091940" cy="1828800"/>
                          </a:xfrm>
                          <a:prstGeom prst="rect">
                            <a:avLst/>
                          </a:prstGeom>
                        </pic:spPr>
                      </pic:pic>
                    </a:graphicData>
                  </a:graphic>
                </wp:inline>
              </w:drawing>
            </w:r>
          </w:p>
          <w:p w14:paraId="167D9509">
            <w:pPr>
              <w:pStyle w:val="94"/>
              <w:rPr>
                <w:color w:val="auto"/>
                <w:highlight w:val="none"/>
              </w:rPr>
            </w:pPr>
            <w:r>
              <w:rPr>
                <w:rFonts w:hint="eastAsia" w:ascii="Times New Roman" w:hAnsi="Times New Roman" w:eastAsia="黑体" w:cs="Times New Roman"/>
                <w:bCs w:val="0"/>
                <w:color w:val="auto"/>
                <w:kern w:val="2"/>
                <w:sz w:val="24"/>
                <w:szCs w:val="18"/>
                <w:highlight w:val="none"/>
                <w:lang w:val="en-US" w:eastAsia="zh-CN" w:bidi="ar-SA"/>
              </w:rPr>
              <w:t>图2-5 本项目施工期工艺流程图及产排污节点</w:t>
            </w:r>
          </w:p>
          <w:p w14:paraId="583E7EFA">
            <w:pPr>
              <w:adjustRightInd w:val="0"/>
              <w:snapToGrid w:val="0"/>
              <w:spacing w:line="500" w:lineRule="exact"/>
              <w:ind w:firstLine="480" w:firstLineChars="200"/>
              <w:rPr>
                <w:color w:val="auto"/>
                <w:sz w:val="24"/>
                <w:highlight w:val="none"/>
              </w:rPr>
            </w:pPr>
            <w:r>
              <w:rPr>
                <w:rFonts w:hint="eastAsia"/>
                <w:color w:val="auto"/>
                <w:sz w:val="24"/>
                <w:highlight w:val="none"/>
              </w:rPr>
              <w:t>2、营运期工艺流程简述</w:t>
            </w:r>
          </w:p>
          <w:p w14:paraId="6B080320">
            <w:pPr>
              <w:adjustRightInd w:val="0"/>
              <w:snapToGrid w:val="0"/>
              <w:spacing w:line="500" w:lineRule="exact"/>
              <w:ind w:firstLine="480" w:firstLineChars="200"/>
              <w:rPr>
                <w:color w:val="auto"/>
                <w:sz w:val="24"/>
                <w:highlight w:val="none"/>
              </w:rPr>
            </w:pPr>
            <w:r>
              <w:rPr>
                <w:rFonts w:hint="eastAsia"/>
                <w:color w:val="auto"/>
                <w:sz w:val="24"/>
                <w:highlight w:val="none"/>
              </w:rPr>
              <w:t>（1）米糠毛油生产工艺</w:t>
            </w:r>
          </w:p>
          <w:p w14:paraId="3A356C32">
            <w:pPr>
              <w:adjustRightInd w:val="0"/>
              <w:snapToGrid w:val="0"/>
              <w:spacing w:line="500" w:lineRule="exact"/>
              <w:ind w:firstLine="480" w:firstLineChars="200"/>
              <w:rPr>
                <w:color w:val="auto"/>
                <w:sz w:val="24"/>
                <w:highlight w:val="none"/>
              </w:rPr>
            </w:pPr>
            <w:r>
              <w:rPr>
                <w:rFonts w:hint="eastAsia"/>
                <w:color w:val="auto"/>
                <w:sz w:val="24"/>
                <w:highlight w:val="none"/>
              </w:rPr>
              <w:t>（一）预处理（清选、造粒、烘干）</w:t>
            </w:r>
          </w:p>
          <w:p w14:paraId="142D35D4">
            <w:pPr>
              <w:adjustRightInd w:val="0"/>
              <w:snapToGrid w:val="0"/>
              <w:spacing w:line="500" w:lineRule="exact"/>
              <w:ind w:firstLine="480" w:firstLineChars="200"/>
              <w:rPr>
                <w:color w:val="auto"/>
                <w:sz w:val="24"/>
                <w:highlight w:val="none"/>
              </w:rPr>
            </w:pPr>
            <w:r>
              <w:rPr>
                <w:rFonts w:hint="eastAsia"/>
                <w:color w:val="auto"/>
                <w:sz w:val="24"/>
                <w:highlight w:val="none"/>
              </w:rPr>
              <w:t>原料米糠经封闭输送机从原料筒仓送入车间后，经清理筛清理去除原料中的杂质。经过清理之后的净料由全封闭输送机送往</w:t>
            </w:r>
            <w:r>
              <w:rPr>
                <w:rFonts w:hint="eastAsia"/>
                <w:color w:val="auto"/>
                <w:sz w:val="24"/>
                <w:highlight w:val="none"/>
                <w:lang w:eastAsia="zh-CN"/>
              </w:rPr>
              <w:t>造粒</w:t>
            </w:r>
            <w:r>
              <w:rPr>
                <w:rFonts w:hint="eastAsia"/>
                <w:color w:val="auto"/>
                <w:sz w:val="24"/>
                <w:highlight w:val="none"/>
              </w:rPr>
              <w:t>段。</w:t>
            </w:r>
            <w:r>
              <w:rPr>
                <w:rFonts w:hint="eastAsia"/>
                <w:color w:val="auto"/>
                <w:sz w:val="24"/>
                <w:highlight w:val="none"/>
                <w:lang w:eastAsia="zh-CN"/>
              </w:rPr>
              <w:t>造粒</w:t>
            </w:r>
            <w:r>
              <w:rPr>
                <w:rFonts w:hint="eastAsia"/>
                <w:color w:val="auto"/>
                <w:sz w:val="24"/>
                <w:highlight w:val="none"/>
              </w:rPr>
              <w:t>后的物料落入逆流翻板烘干机中，经热风烘干后由输送机送往浸出车间。</w:t>
            </w:r>
          </w:p>
          <w:p w14:paraId="21287799">
            <w:pPr>
              <w:adjustRightInd w:val="0"/>
              <w:snapToGrid w:val="0"/>
              <w:spacing w:line="500" w:lineRule="exact"/>
              <w:ind w:firstLine="480" w:firstLineChars="200"/>
              <w:rPr>
                <w:color w:val="auto"/>
                <w:sz w:val="24"/>
                <w:highlight w:val="none"/>
              </w:rPr>
            </w:pPr>
            <w:r>
              <w:rPr>
                <w:rFonts w:hint="eastAsia"/>
                <w:color w:val="auto"/>
                <w:sz w:val="24"/>
                <w:highlight w:val="none"/>
              </w:rPr>
              <w:t>（二）米糠浸出</w:t>
            </w:r>
          </w:p>
          <w:p w14:paraId="09EA44DA">
            <w:pPr>
              <w:adjustRightInd w:val="0"/>
              <w:snapToGrid w:val="0"/>
              <w:spacing w:line="500" w:lineRule="exact"/>
              <w:ind w:firstLine="480" w:firstLineChars="200"/>
              <w:rPr>
                <w:color w:val="auto"/>
                <w:sz w:val="24"/>
                <w:highlight w:val="none"/>
              </w:rPr>
            </w:pPr>
            <w:r>
              <w:rPr>
                <w:rFonts w:hint="eastAsia"/>
                <w:color w:val="auto"/>
                <w:sz w:val="24"/>
                <w:highlight w:val="none"/>
              </w:rPr>
              <w:t>为最大程度地提取米糠中的脂质成分，本项目采用连续式油脂浸出车间的工艺，这是目前国内外比较先进的油脂浸出生产工艺流程。主要浸出设备采用浸出器，浸出溶剂为正己烷，主要处理过程为浸出工序、混合油处理工序、湿粕烘干和溶剂回收工序4个过程。该过程密闭进行，无废气产生。</w:t>
            </w:r>
          </w:p>
          <w:p w14:paraId="2AF2F6DA">
            <w:pPr>
              <w:adjustRightInd w:val="0"/>
              <w:snapToGrid w:val="0"/>
              <w:spacing w:line="500" w:lineRule="exact"/>
              <w:ind w:firstLine="480" w:firstLineChars="200"/>
              <w:rPr>
                <w:color w:val="auto"/>
                <w:sz w:val="24"/>
                <w:highlight w:val="none"/>
              </w:rPr>
            </w:pPr>
            <w:r>
              <w:rPr>
                <w:rFonts w:hint="eastAsia"/>
                <w:color w:val="auto"/>
                <w:sz w:val="24"/>
                <w:highlight w:val="none"/>
              </w:rPr>
              <w:t>①浸出工序：来自预处理车间的油料进入浸出器，入浸油料通过封闭阀均匀地进入浸出器内转子的浸出格中，在浸出格中油料与溶剂形成一个逆流浸出过程。浸出后的油料在浸出格中经滴干后排入出粕斗。米糠粕送往蒸脱机。由混合油泵抽出的浓混合油经旋液分离器分离粕末后被送往混合油处理工序。浸出后湿粕含溶剂30％以下，混合油浓度为20～25%。</w:t>
            </w:r>
          </w:p>
          <w:p w14:paraId="125597C0">
            <w:pPr>
              <w:adjustRightInd w:val="0"/>
              <w:snapToGrid w:val="0"/>
              <w:spacing w:line="500" w:lineRule="exact"/>
              <w:ind w:firstLine="480" w:firstLineChars="200"/>
              <w:rPr>
                <w:color w:val="auto"/>
                <w:sz w:val="24"/>
                <w:highlight w:val="none"/>
              </w:rPr>
            </w:pPr>
            <w:r>
              <w:rPr>
                <w:rFonts w:hint="eastAsia"/>
                <w:color w:val="auto"/>
                <w:sz w:val="24"/>
                <w:highlight w:val="none"/>
                <w:lang w:eastAsia="zh-CN"/>
              </w:rPr>
              <w:t>②</w:t>
            </w:r>
            <w:r>
              <w:rPr>
                <w:rFonts w:hint="eastAsia"/>
                <w:color w:val="auto"/>
                <w:sz w:val="24"/>
                <w:highlight w:val="none"/>
              </w:rPr>
              <w:t>湿粕烘干工序：湿粕送至蒸脱机，经蒸脱、干燥、冷却处理后的成品粕残溶为700ppm以下，粕含水12%以下，出粕温度为40℃左右。成品粕送入成品库储藏。</w:t>
            </w:r>
          </w:p>
          <w:p w14:paraId="1F07637C">
            <w:pPr>
              <w:adjustRightInd w:val="0"/>
              <w:snapToGrid w:val="0"/>
              <w:spacing w:line="500" w:lineRule="exact"/>
              <w:ind w:firstLine="480" w:firstLineChars="200"/>
              <w:rPr>
                <w:color w:val="auto"/>
                <w:sz w:val="24"/>
                <w:highlight w:val="none"/>
              </w:rPr>
            </w:pPr>
            <w:r>
              <w:rPr>
                <w:rFonts w:hint="eastAsia"/>
                <w:color w:val="auto"/>
                <w:sz w:val="24"/>
                <w:highlight w:val="none"/>
                <w:lang w:eastAsia="zh-CN"/>
              </w:rPr>
              <w:t>③</w:t>
            </w:r>
            <w:r>
              <w:rPr>
                <w:rFonts w:hint="eastAsia"/>
                <w:color w:val="auto"/>
                <w:sz w:val="24"/>
                <w:highlight w:val="none"/>
              </w:rPr>
              <w:t>溶剂回收工序：来自浸出器冷凝器、蒸脱机冷凝器、汽提冷凝器冷凝、溶剂储罐的自由气体进入最后冷凝器，分出的溶剂进入溶剂周转库，溶剂周转库中的溶剂由泵抽出经溶剂预热器预热后进入浸出器。</w:t>
            </w:r>
          </w:p>
          <w:p w14:paraId="79B29C59">
            <w:pPr>
              <w:adjustRightInd w:val="0"/>
              <w:snapToGrid w:val="0"/>
              <w:spacing w:line="500" w:lineRule="exact"/>
              <w:ind w:firstLine="480" w:firstLineChars="200"/>
              <w:rPr>
                <w:color w:val="auto"/>
                <w:sz w:val="24"/>
                <w:highlight w:val="none"/>
              </w:rPr>
            </w:pPr>
            <w:r>
              <w:rPr>
                <w:rFonts w:hint="eastAsia"/>
                <w:color w:val="auto"/>
                <w:sz w:val="24"/>
                <w:highlight w:val="none"/>
              </w:rPr>
              <w:t>（2）大豆油生产工艺</w:t>
            </w:r>
          </w:p>
          <w:p w14:paraId="332BBAD7">
            <w:pPr>
              <w:adjustRightInd w:val="0"/>
              <w:snapToGrid w:val="0"/>
              <w:spacing w:line="500" w:lineRule="exact"/>
              <w:ind w:firstLine="480" w:firstLineChars="200"/>
              <w:rPr>
                <w:color w:val="auto"/>
                <w:sz w:val="24"/>
                <w:highlight w:val="none"/>
              </w:rPr>
            </w:pPr>
            <w:r>
              <w:rPr>
                <w:rFonts w:hint="eastAsia"/>
                <w:color w:val="auto"/>
                <w:sz w:val="24"/>
                <w:highlight w:val="none"/>
              </w:rPr>
              <w:t>（一）预处理（清选、软化、</w:t>
            </w:r>
            <w:r>
              <w:rPr>
                <w:rFonts w:hint="eastAsia"/>
                <w:color w:val="auto"/>
                <w:sz w:val="24"/>
                <w:highlight w:val="none"/>
                <w:lang w:eastAsia="zh-CN"/>
              </w:rPr>
              <w:t>轧劈</w:t>
            </w:r>
            <w:r>
              <w:rPr>
                <w:rFonts w:hint="eastAsia"/>
                <w:color w:val="auto"/>
                <w:sz w:val="24"/>
                <w:highlight w:val="none"/>
              </w:rPr>
              <w:t>、烘干）</w:t>
            </w:r>
          </w:p>
          <w:p w14:paraId="078029B5">
            <w:pPr>
              <w:adjustRightInd w:val="0"/>
              <w:snapToGrid w:val="0"/>
              <w:spacing w:line="500" w:lineRule="exact"/>
              <w:ind w:firstLine="480" w:firstLineChars="200"/>
              <w:rPr>
                <w:color w:val="auto"/>
                <w:sz w:val="24"/>
                <w:highlight w:val="none"/>
              </w:rPr>
            </w:pPr>
            <w:r>
              <w:rPr>
                <w:rFonts w:hint="eastAsia"/>
                <w:color w:val="auto"/>
                <w:sz w:val="24"/>
                <w:highlight w:val="none"/>
              </w:rPr>
              <w:t>原料大豆经封闭输送机从原料筒仓送入车间后，原料清理筛、风选机清理去除原料中的杂质。经过清理之后的净料由全封闭输送机送往软化装置，锅炉主要为生产过程提供蒸汽，蒸汽用于软化、烘干工序中：软化工序为在调质塔内，通过蒸汽间接加热，使大豆软化。经调质塔软化后原料经过输送设备提升进入轧胚机将豆瓣制成厚度约为0.3mm 的胚片后送入</w:t>
            </w:r>
            <w:r>
              <w:rPr>
                <w:rFonts w:hint="eastAsia"/>
                <w:color w:val="auto"/>
                <w:sz w:val="24"/>
                <w:highlight w:val="none"/>
                <w:lang w:eastAsia="zh-CN"/>
              </w:rPr>
              <w:t>烘干机</w:t>
            </w:r>
            <w:r>
              <w:rPr>
                <w:rFonts w:hint="eastAsia"/>
                <w:color w:val="auto"/>
                <w:sz w:val="24"/>
                <w:highlight w:val="none"/>
              </w:rPr>
              <w:t>，经热风烘干后由输送机送往浸出车间。</w:t>
            </w:r>
          </w:p>
          <w:p w14:paraId="09544468">
            <w:pPr>
              <w:adjustRightInd w:val="0"/>
              <w:snapToGrid w:val="0"/>
              <w:spacing w:line="500" w:lineRule="exact"/>
              <w:ind w:firstLine="480" w:firstLineChars="200"/>
              <w:rPr>
                <w:color w:val="auto"/>
                <w:sz w:val="24"/>
                <w:highlight w:val="none"/>
              </w:rPr>
            </w:pPr>
            <w:r>
              <w:rPr>
                <w:rFonts w:hint="eastAsia"/>
                <w:color w:val="auto"/>
                <w:sz w:val="24"/>
                <w:highlight w:val="none"/>
              </w:rPr>
              <w:t>（二）大豆浸出</w:t>
            </w:r>
          </w:p>
          <w:p w14:paraId="5CA8E28B">
            <w:pPr>
              <w:adjustRightInd w:val="0"/>
              <w:snapToGrid w:val="0"/>
              <w:spacing w:line="500" w:lineRule="exact"/>
              <w:ind w:firstLine="480" w:firstLineChars="200"/>
              <w:rPr>
                <w:color w:val="auto"/>
                <w:sz w:val="24"/>
                <w:highlight w:val="none"/>
              </w:rPr>
            </w:pPr>
            <w:r>
              <w:rPr>
                <w:rFonts w:hint="eastAsia"/>
                <w:color w:val="auto"/>
                <w:sz w:val="24"/>
                <w:highlight w:val="none"/>
              </w:rPr>
              <w:t>经预处理后的大豆胚片由进料刮板输送机送至浸出器料封绞龙，由料斗进入浸出器，物料在浸出器中由进料口到出料口环行一周，经浓度递减的混合油喷淋、浸泡后，经过一段滴干区沥干，然后被连续地送出浸出器进入湿粕刮板。浸出器内最浓的混合油由混合油泵打入旋液分离器和混合油过滤器除杂后进入混合油罐暂存。净化后的混合油由喂料泵从混合油罐打入第一长管蒸发器管程。经过一次蒸发浓缩后的混合油由二蒸喂料泵打入混合油加热器加热后，进第二长管蒸发器进行蒸发（负压），使混合浓度达到95%左右。混合油加热器由自动控制装置，保持一定的加热温度，蒸发的溶剂汽经分离室进入节能器再进入冷凝器。第二长管蒸发器出口混合油由泵打入汽提塔（负压），混合油从汽提塔上部进入，沿塔内蝶盘逐层流下，塔底喷入的直接蒸汽逆流向上，汽液充分接触脱去油中残留溶剂。塔底部安装液位控制器，确保液封和成品油稳定的流量，毛油由汽提塔底部抽出，再经毛油冷却器冷却后送入精炼车间。被蒸脱的残留溶剂气体在进入冷凝器中进入最后冷凝器的自由气体还有分水箱、周转罐、地下溶剂库，混合油罐的自由气体，在这里用较低温度的冷水进行冷却，回收大部分溶剂气体。含微量溶剂的尾气进入石蜡回收工序。尾气首先进入石蜡吸收塔，石蜡与尾气进行逆流吸收，在不锈钢填料较大比表面积状态下，吸收达到理想状态。出来的石蜡液（称作富油）含溶剂量不超过5％，以保证最大的吸收率。石蜡富油以泵打入石蜡热交换器，与石蜡贫油进行热交换，然后经石蜡加热器，最后进入石蜡解析塔，在解析塔中，用直接蒸汽与富油石蜡在不锈钢填料表面上进行汽－液热交换，将石蜡中的溶剂脱除。这种石蜡称之为贫油，然后再与富油热交换后，最后经冷却器冷却至理想的吸收温度，再进入吸收塔循环使用，解析塔出来的混合汽体进入节能器，吸收塔排出的尾气</w:t>
            </w:r>
            <w:r>
              <w:rPr>
                <w:rFonts w:hint="eastAsia"/>
                <w:color w:val="auto"/>
                <w:sz w:val="24"/>
                <w:highlight w:val="none"/>
                <w:lang w:eastAsia="zh-CN"/>
              </w:rPr>
              <w:t>由排气筒</w:t>
            </w:r>
            <w:r>
              <w:rPr>
                <w:rFonts w:hint="eastAsia"/>
                <w:color w:val="auto"/>
                <w:sz w:val="24"/>
                <w:highlight w:val="none"/>
              </w:rPr>
              <w:t>排出车间</w:t>
            </w:r>
            <w:r>
              <w:rPr>
                <w:rFonts w:hint="eastAsia"/>
                <w:color w:val="auto"/>
                <w:sz w:val="24"/>
                <w:highlight w:val="none"/>
                <w:lang w:eastAsia="zh-CN"/>
              </w:rPr>
              <w:t>，由于石蜡在吸收尾气过程中会产生二氧化碳和水蒸气等无害物质排放到大气中，会造成一定损耗，因此在生产中需要对石蜡进行填补。</w:t>
            </w:r>
          </w:p>
          <w:p w14:paraId="6188B46F">
            <w:pPr>
              <w:adjustRightInd w:val="0"/>
              <w:snapToGrid w:val="0"/>
              <w:spacing w:line="500" w:lineRule="exact"/>
              <w:ind w:firstLine="480" w:firstLineChars="200"/>
              <w:rPr>
                <w:color w:val="auto"/>
                <w:sz w:val="24"/>
                <w:highlight w:val="none"/>
              </w:rPr>
            </w:pPr>
            <w:r>
              <w:rPr>
                <w:rFonts w:hint="eastAsia"/>
                <w:color w:val="auto"/>
                <w:sz w:val="24"/>
                <w:highlight w:val="none"/>
              </w:rPr>
              <w:t>浸出器输出的含溶湿粕由湿粕刮板经料封绞龙送入DTDC蒸脱机的预脱层，底部用间接蒸汽加热，脱去粕中部分溶剂，经预脱后的湿粕进入蒸脱层，蒸脱层设自动料门控制保持一定的料层高度，底部通入直接蒸汽，脱去全部溶剂。在热风和冷风作用下，经烘干、冷却，使粕的水份和温度达到贮存要求。被蒸脱的残留溶剂气体在冷凝器中冷凝后，进入分水器。</w:t>
            </w:r>
          </w:p>
          <w:p w14:paraId="5EDDC870">
            <w:pPr>
              <w:adjustRightInd w:val="0"/>
              <w:snapToGrid w:val="0"/>
              <w:spacing w:line="500" w:lineRule="exact"/>
              <w:ind w:firstLine="480" w:firstLineChars="200"/>
              <w:rPr>
                <w:color w:val="auto"/>
                <w:sz w:val="24"/>
                <w:highlight w:val="none"/>
              </w:rPr>
            </w:pPr>
            <w:r>
              <w:rPr>
                <w:rFonts w:hint="eastAsia"/>
                <w:color w:val="auto"/>
                <w:sz w:val="24"/>
                <w:highlight w:val="none"/>
              </w:rPr>
              <w:t>混合油汽提塔和DTDC蒸脱机被蒸脱的溶剂气体在冷凝器中冷凝后，进入分水器，分出的溶剂溢流到溶剂库进行循环利用，分出的水流到蒸煮罐，将水中残留溶剂蒸脱，然后废水外排</w:t>
            </w:r>
          </w:p>
          <w:p w14:paraId="179C7804">
            <w:pPr>
              <w:rPr>
                <w:rFonts w:hint="eastAsia" w:eastAsia="宋体"/>
                <w:color w:val="auto"/>
                <w:highlight w:val="none"/>
                <w:lang w:eastAsia="zh-CN"/>
              </w:rPr>
            </w:pP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4713605</wp:posOffset>
                      </wp:positionH>
                      <wp:positionV relativeFrom="paragraph">
                        <wp:posOffset>726440</wp:posOffset>
                      </wp:positionV>
                      <wp:extent cx="901700" cy="27559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90170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667A3C">
                                  <w:pPr>
                                    <w:rPr>
                                      <w:rFonts w:hint="eastAsia" w:eastAsia="宋体"/>
                                      <w:sz w:val="11"/>
                                      <w:szCs w:val="11"/>
                                      <w:lang w:val="en-US" w:eastAsia="zh-CN"/>
                                    </w:rPr>
                                  </w:pPr>
                                  <w:r>
                                    <w:rPr>
                                      <w:rFonts w:hint="eastAsia"/>
                                      <w:sz w:val="11"/>
                                      <w:szCs w:val="11"/>
                                      <w:lang w:val="en-US" w:eastAsia="zh-CN"/>
                                    </w:rPr>
                                    <w:t>废气、</w:t>
                                  </w:r>
                                  <w:r>
                                    <w:rPr>
                                      <w:rFonts w:hint="eastAsia" w:ascii="Times New Roman" w:hAnsi="Times New Roman" w:eastAsia="宋体" w:cs="Times New Roman"/>
                                      <w:sz w:val="11"/>
                                      <w:szCs w:val="11"/>
                                      <w:lang w:val="en-US" w:eastAsia="zh-CN"/>
                                    </w:rPr>
                                    <w:t>固体废物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15pt;margin-top:57.2pt;height:21.7pt;width:71pt;z-index:251678720;mso-width-relative:page;mso-height-relative:page;" filled="f" stroked="f" coordsize="21600,21600" o:gfxdata="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9ut6q9sAAAALAQAADwAAAAAAAAABACAAAAAiAAAA&#10;ZHJzL2Rvd25yZXYueG1sUEsBAhQAFAAAAAgAh07iQHIw91w9AgAAZwQAAA4AAAAAAAAAAQAgAAAA&#10;KgEAAGRycy9lMm9Eb2MueG1sUEsFBgAAAAAGAAYAWQEAANkFAAAAAA==&#10;">
                      <v:fill on="f" focussize="0,0"/>
                      <v:stroke on="f" weight="0.5pt"/>
                      <v:imagedata o:title=""/>
                      <o:lock v:ext="edit" aspectratio="f"/>
                      <v:textbox>
                        <w:txbxContent>
                          <w:p w14:paraId="04667A3C">
                            <w:pPr>
                              <w:rPr>
                                <w:rFonts w:hint="eastAsia" w:eastAsia="宋体"/>
                                <w:sz w:val="11"/>
                                <w:szCs w:val="11"/>
                                <w:lang w:val="en-US" w:eastAsia="zh-CN"/>
                              </w:rPr>
                            </w:pPr>
                            <w:r>
                              <w:rPr>
                                <w:rFonts w:hint="eastAsia"/>
                                <w:sz w:val="11"/>
                                <w:szCs w:val="11"/>
                                <w:lang w:val="en-US" w:eastAsia="zh-CN"/>
                              </w:rPr>
                              <w:t>废气、</w:t>
                            </w:r>
                            <w:r>
                              <w:rPr>
                                <w:rFonts w:hint="eastAsia" w:ascii="Times New Roman" w:hAnsi="Times New Roman" w:eastAsia="宋体" w:cs="Times New Roman"/>
                                <w:sz w:val="11"/>
                                <w:szCs w:val="11"/>
                                <w:lang w:val="en-US" w:eastAsia="zh-CN"/>
                              </w:rPr>
                              <w:t>固体废物</w:t>
                            </w:r>
                          </w:p>
                        </w:txbxContent>
                      </v:textbox>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4829810</wp:posOffset>
                      </wp:positionH>
                      <wp:positionV relativeFrom="paragraph">
                        <wp:posOffset>1000760</wp:posOffset>
                      </wp:positionV>
                      <wp:extent cx="0" cy="223520"/>
                      <wp:effectExtent l="48895" t="0" r="65405" b="5080"/>
                      <wp:wrapNone/>
                      <wp:docPr id="51" name="直接箭头连接符 51"/>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80.3pt;margin-top:78.8pt;height:17.6pt;width:0pt;z-index:251677696;mso-width-relative:page;mso-height-relative:page;" filled="f" stroked="t" coordsize="21600,21600" o:gfxdata="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7LqE9dYAAAALAQAADwAAAAAAAAABACAA&#10;AAAiAAAAZHJzL2Rvd25yZXYueG1sUEsBAhQAFAAAAAgAh07iQKKmGjkPAgAA8wMAAA4AAAAAAAAA&#10;AQAgAAAAJQEAAGRycy9lMm9Eb2MueG1sUEsFBgAAAAAGAAYAWQEAAKYFA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3386455</wp:posOffset>
                      </wp:positionH>
                      <wp:positionV relativeFrom="paragraph">
                        <wp:posOffset>272415</wp:posOffset>
                      </wp:positionV>
                      <wp:extent cx="389890" cy="27559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E49B90">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65pt;margin-top:21.45pt;height:21.7pt;width:30.7pt;z-index:251668480;mso-width-relative:page;mso-height-relative:page;" filled="f" stroked="f" coordsize="21600,21600" o:gfxdata="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WbJ5zbAAAACQEAAA8AAAAAAAAAAQAgAAAAIgAAAGRy&#10;cy9kb3ducmV2LnhtbFBLAQIUABQAAAAIAIdO4kCoFz0LOwIAAGcEAAAOAAAAAAAAAAEAIAAAACoB&#10;AABkcnMvZTJvRG9jLnhtbFBLBQYAAAAABgAGAFkBAADXBQAAAAA=&#10;">
                      <v:fill on="f" focussize="0,0"/>
                      <v:stroke on="f" weight="0.5pt"/>
                      <v:imagedata o:title=""/>
                      <o:lock v:ext="edit" aspectratio="f"/>
                      <v:textbox>
                        <w:txbxContent>
                          <w:p w14:paraId="7DE49B90">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3431540</wp:posOffset>
                      </wp:positionH>
                      <wp:positionV relativeFrom="paragraph">
                        <wp:posOffset>507365</wp:posOffset>
                      </wp:positionV>
                      <wp:extent cx="0" cy="223520"/>
                      <wp:effectExtent l="48895" t="0" r="65405" b="5080"/>
                      <wp:wrapNone/>
                      <wp:docPr id="36" name="直接箭头连接符 36"/>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70.2pt;margin-top:39.95pt;height:17.6pt;width:0pt;z-index:251667456;mso-width-relative:page;mso-height-relative:page;" filled="f" stroked="t" coordsize="21600,21600" o:gfxdata="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fKaZzXAAAACgEAAA8AAAAAAAAAAQAg&#10;AAAAIgAAAGRycy9kb3ducmV2LnhtbFBLAQIUABQAAAAIAIdO4kAGOtgxDwIAAPMDAAAOAAAAAAAA&#10;AAEAIAAAACYBAABkcnMvZTJvRG9jLnhtbFBLBQYAAAAABgAGAFkBAACnBQ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2512060</wp:posOffset>
                      </wp:positionH>
                      <wp:positionV relativeFrom="paragraph">
                        <wp:posOffset>150495</wp:posOffset>
                      </wp:positionV>
                      <wp:extent cx="389890" cy="27559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C66B73">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8pt;margin-top:11.85pt;height:21.7pt;width:30.7pt;z-index:251666432;mso-width-relative:page;mso-height-relative:page;" filled="f" stroked="f" coordsize="21600,21600" o:gfxdata="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4AOYP2wAAAAkBAAAPAAAAAAAAAAEAIAAAACIAAABk&#10;cnMvZG93bnJldi54bWxQSwECFAAUAAAACACHTuJAzHrO3TwCAABnBAAADgAAAAAAAAABACAAAAAq&#10;AQAAZHJzL2Uyb0RvYy54bWxQSwUGAAAAAAYABgBZAQAA2AUAAAAA&#10;">
                      <v:fill on="f" focussize="0,0"/>
                      <v:stroke on="f" weight="0.5pt"/>
                      <v:imagedata o:title=""/>
                      <o:lock v:ext="edit" aspectratio="f"/>
                      <v:textbox>
                        <w:txbxContent>
                          <w:p w14:paraId="5BC66B73">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2706370</wp:posOffset>
                      </wp:positionH>
                      <wp:positionV relativeFrom="paragraph">
                        <wp:posOffset>453390</wp:posOffset>
                      </wp:positionV>
                      <wp:extent cx="0" cy="223520"/>
                      <wp:effectExtent l="48895" t="0" r="65405" b="5080"/>
                      <wp:wrapNone/>
                      <wp:docPr id="32" name="直接箭头连接符 32"/>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3.1pt;margin-top:35.7pt;height:17.6pt;width:0pt;z-index:251663360;mso-width-relative:page;mso-height-relative:page;" filled="f" stroked="t" coordsize="21600,21600" o:gfxdata="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klrxF1QAAAAoBAAAPAAAAAAAAAAEAIAAA&#10;ACIAAABkcnMvZG93bnJldi54bWxQSwECFAAUAAAACACHTuJAG9yVDA8CAADzAwAADgAAAAAAAAAB&#10;ACAAAAAkAQAAZHJzL2Uyb0RvYy54bWxQSwUGAAAAAAYABgBZAQAApQU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1973580</wp:posOffset>
                      </wp:positionH>
                      <wp:positionV relativeFrom="paragraph">
                        <wp:posOffset>147955</wp:posOffset>
                      </wp:positionV>
                      <wp:extent cx="389890" cy="27559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34CE3">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4pt;margin-top:11.65pt;height:21.7pt;width:30.7pt;z-index:251665408;mso-width-relative:page;mso-height-relative:page;" filled="f" stroked="f" coordsize="21600,21600" o:gfxdata="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lLaRjaAAAACQEAAA8AAAAAAAAAAQAgAAAAIgAAAGRy&#10;cy9kb3ducmV2LnhtbFBLAQIUABQAAAAIAIdO4kCWBQ01PAIAAGcEAAAOAAAAAAAAAAEAIAAAACkB&#10;AABkcnMvZTJvRG9jLnhtbFBLBQYAAAAABgAGAFkBAADXBQAAAAA=&#10;">
                      <v:fill on="f" focussize="0,0"/>
                      <v:stroke on="f" weight="0.5pt"/>
                      <v:imagedata o:title=""/>
                      <o:lock v:ext="edit" aspectratio="f"/>
                      <v:textbox>
                        <w:txbxContent>
                          <w:p w14:paraId="2A434CE3">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2143125</wp:posOffset>
                      </wp:positionH>
                      <wp:positionV relativeFrom="paragraph">
                        <wp:posOffset>403860</wp:posOffset>
                      </wp:positionV>
                      <wp:extent cx="0" cy="223520"/>
                      <wp:effectExtent l="48895" t="0" r="65405" b="5080"/>
                      <wp:wrapNone/>
                      <wp:docPr id="33" name="直接箭头连接符 33"/>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68.75pt;margin-top:31.8pt;height:17.6pt;width:0pt;z-index:251664384;mso-width-relative:page;mso-height-relative:page;" filled="f" stroked="t" coordsize="21600,21600" o:gfxdata="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18wCxdYAAAAJAQAADwAAAAAAAAABACAA&#10;AAAiAAAAZHJzL2Rvd25yZXYueG1sUEsBAhQAFAAAAAgAh07iQAzkGnUPAgAA8wMAAA4AAAAAAAAA&#10;AQAgAAAAJQEAAGRycy9lMm9Eb2MueG1sUEsFBgAAAAAGAAYAWQEAAKYFA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678180</wp:posOffset>
                      </wp:positionH>
                      <wp:positionV relativeFrom="paragraph">
                        <wp:posOffset>86360</wp:posOffset>
                      </wp:positionV>
                      <wp:extent cx="389890" cy="275590"/>
                      <wp:effectExtent l="0" t="0" r="0" b="0"/>
                      <wp:wrapNone/>
                      <wp:docPr id="31" name="文本框 31"/>
                      <wp:cNvGraphicFramePr/>
                      <a:graphic xmlns:a="http://schemas.openxmlformats.org/drawingml/2006/main">
                        <a:graphicData uri="http://schemas.microsoft.com/office/word/2010/wordprocessingShape">
                          <wps:wsp>
                            <wps:cNvSpPr txBox="1"/>
                            <wps:spPr>
                              <a:xfrm>
                                <a:off x="2080260" y="6228715"/>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CC1AC">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pt;margin-top:6.8pt;height:21.7pt;width:30.7pt;z-index:251662336;mso-width-relative:page;mso-height-relative:page;" filled="f" stroked="f" coordsize="21600,21600" o:gfxdata="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HiElr2QAAAAkBAAAPAAAAAAAAAAEA&#10;IAAAACIAAABkcnMvZG93bnJldi54bWxQSwECFAAUAAAACACHTuJAKLfk2EcCAABzBAAADgAAAAAA&#10;AAABACAAAAAoAQAAZHJzL2Uyb0RvYy54bWxQSwUGAAAAAAYABgBZAQAA4QUAAAAA&#10;">
                      <v:fill on="f" focussize="0,0"/>
                      <v:stroke on="f" weight="0.5pt"/>
                      <v:imagedata o:title=""/>
                      <o:lock v:ext="edit" aspectratio="f"/>
                      <v:textbox>
                        <w:txbxContent>
                          <w:p w14:paraId="32DCC1AC">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61312" behindDoc="0" locked="0" layoutInCell="1" allowOverlap="1">
                      <wp:simplePos x="0" y="0"/>
                      <wp:positionH relativeFrom="column">
                        <wp:posOffset>906780</wp:posOffset>
                      </wp:positionH>
                      <wp:positionV relativeFrom="paragraph">
                        <wp:posOffset>413385</wp:posOffset>
                      </wp:positionV>
                      <wp:extent cx="0" cy="223520"/>
                      <wp:effectExtent l="48895" t="0" r="65405" b="5080"/>
                      <wp:wrapNone/>
                      <wp:docPr id="20" name="直接箭头连接符 20"/>
                      <wp:cNvGraphicFramePr/>
                      <a:graphic xmlns:a="http://schemas.openxmlformats.org/drawingml/2006/main">
                        <a:graphicData uri="http://schemas.microsoft.com/office/word/2010/wordprocessingShape">
                          <wps:wsp>
                            <wps:cNvCnPr/>
                            <wps:spPr>
                              <a:xfrm flipV="1">
                                <a:off x="2237105" y="641858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71.4pt;margin-top:32.55pt;height:17.6pt;width:0pt;z-index:251661312;mso-width-relative:page;mso-height-relative:page;" filled="f" stroked="t" coordsize="21600,21600" o:gfxdata="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O9N4iLWAAAACgEA&#10;AA8AAAAAAAAAAQAgAAAAIgAAAGRycy9kb3ducmV2LnhtbFBLAQIUABQAAAAIAIdO4kA+p31RHAIA&#10;AP8DAAAOAAAAAAAAAAEAIAAAACUBAABkcnMvZTJvRG9jLnhtbFBLBQYAAAAABgAGAFkBAACzBQAA&#10;AAA=&#10;">
                      <v:fill on="f" focussize="0,0"/>
                      <v:stroke weight="0.25pt" color="#385D8A [3204]" joinstyle="round" endarrow="open"/>
                      <v:imagedata o:title=""/>
                      <o:lock v:ext="edit" aspectratio="f"/>
                    </v:shape>
                  </w:pict>
                </mc:Fallback>
              </mc:AlternateContent>
            </w:r>
            <w:r>
              <w:rPr>
                <w:color w:val="auto"/>
              </w:rPr>
              <w:drawing>
                <wp:inline distT="0" distB="0" distL="114300" distR="114300">
                  <wp:extent cx="5616575" cy="2266315"/>
                  <wp:effectExtent l="0" t="0" r="3175" b="63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5"/>
                          <a:stretch>
                            <a:fillRect/>
                          </a:stretch>
                        </pic:blipFill>
                        <pic:spPr>
                          <a:xfrm>
                            <a:off x="0" y="0"/>
                            <a:ext cx="5616575" cy="2266315"/>
                          </a:xfrm>
                          <a:prstGeom prst="rect">
                            <a:avLst/>
                          </a:prstGeom>
                          <a:noFill/>
                          <a:ln>
                            <a:noFill/>
                          </a:ln>
                        </pic:spPr>
                      </pic:pic>
                    </a:graphicData>
                  </a:graphic>
                </wp:inline>
              </w:drawing>
            </w:r>
          </w:p>
          <w:p w14:paraId="327DD36E">
            <w:pPr>
              <w:pStyle w:val="94"/>
              <w:rPr>
                <w:color w:val="auto"/>
                <w:highlight w:val="none"/>
              </w:rPr>
            </w:pPr>
            <w:r>
              <w:rPr>
                <w:rFonts w:hint="eastAsia"/>
                <w:color w:val="auto"/>
                <w:highlight w:val="none"/>
              </w:rPr>
              <w:t>图2-</w:t>
            </w:r>
            <w:r>
              <w:rPr>
                <w:rFonts w:hint="eastAsia"/>
                <w:color w:val="auto"/>
                <w:highlight w:val="none"/>
                <w:lang w:val="en-US" w:eastAsia="zh-CN"/>
              </w:rPr>
              <w:t>6</w:t>
            </w:r>
            <w:r>
              <w:rPr>
                <w:rFonts w:hint="eastAsia"/>
                <w:color w:val="auto"/>
                <w:highlight w:val="none"/>
              </w:rPr>
              <w:t xml:space="preserve"> 三级豆油生产工艺流程及产污节点图</w:t>
            </w:r>
          </w:p>
          <w:p w14:paraId="3EFC9432">
            <w:pPr>
              <w:jc w:val="center"/>
              <w:rPr>
                <w:rFonts w:hint="eastAsia" w:eastAsia="宋体"/>
                <w:color w:val="auto"/>
                <w:highlight w:val="none"/>
                <w:lang w:eastAsia="zh-CN"/>
              </w:rPr>
            </w:pP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4448175</wp:posOffset>
                      </wp:positionH>
                      <wp:positionV relativeFrom="paragraph">
                        <wp:posOffset>1515110</wp:posOffset>
                      </wp:positionV>
                      <wp:extent cx="15240" cy="176530"/>
                      <wp:effectExtent l="41275" t="0" r="57785" b="13970"/>
                      <wp:wrapNone/>
                      <wp:docPr id="55" name="直接箭头连接符 55"/>
                      <wp:cNvGraphicFramePr/>
                      <a:graphic xmlns:a="http://schemas.openxmlformats.org/drawingml/2006/main">
                        <a:graphicData uri="http://schemas.microsoft.com/office/word/2010/wordprocessingShape">
                          <wps:wsp>
                            <wps:cNvCnPr/>
                            <wps:spPr>
                              <a:xfrm flipV="1">
                                <a:off x="0" y="0"/>
                                <a:ext cx="15240" cy="17653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0.25pt;margin-top:119.3pt;height:13.9pt;width:1.2pt;z-index:251680768;mso-width-relative:page;mso-height-relative:page;" filled="f" stroked="t" coordsize="21600,21600" o:gfxdata="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84aktkAAAALAQAADwAA&#10;AAAAAAABACAAAAAiAAAAZHJzL2Rvd25yZXYueG1sUEsBAhQAFAAAAAgAh07iQLfZ82MVAgAA9wMA&#10;AA4AAAAAAAAAAQAgAAAAKAEAAGRycy9lMm9Eb2MueG1sUEsFBgAAAAAGAAYAWQEAAK8FA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4255135</wp:posOffset>
                      </wp:positionH>
                      <wp:positionV relativeFrom="paragraph">
                        <wp:posOffset>1296670</wp:posOffset>
                      </wp:positionV>
                      <wp:extent cx="719455" cy="27559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719455"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EB9AE6">
                                  <w:pPr>
                                    <w:rPr>
                                      <w:rFonts w:hint="default" w:eastAsia="宋体"/>
                                      <w:sz w:val="11"/>
                                      <w:szCs w:val="11"/>
                                      <w:lang w:val="en-US" w:eastAsia="zh-CN"/>
                                    </w:rPr>
                                  </w:pPr>
                                  <w:r>
                                    <w:rPr>
                                      <w:rFonts w:hint="eastAsia"/>
                                      <w:sz w:val="11"/>
                                      <w:szCs w:val="11"/>
                                      <w:lang w:val="en-US" w:eastAsia="zh-CN"/>
                                    </w:rPr>
                                    <w:t>废气、</w:t>
                                  </w:r>
                                  <w:r>
                                    <w:rPr>
                                      <w:rFonts w:hint="eastAsia" w:ascii="Times New Roman" w:hAnsi="Times New Roman" w:eastAsia="宋体" w:cs="Times New Roman"/>
                                      <w:sz w:val="11"/>
                                      <w:szCs w:val="11"/>
                                      <w:lang w:val="en-US" w:eastAsia="zh-CN"/>
                                    </w:rPr>
                                    <w:t>固体废物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05pt;margin-top:102.1pt;height:21.7pt;width:56.65pt;z-index:251679744;mso-width-relative:page;mso-height-relative:page;" filled="f" stroked="f" coordsize="21600,21600" o:gfxdata="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&#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ULXgTcAAAACwEAAA8AAAAAAAAAAQAgAAAAIgAA&#10;AGRycy9kb3ducmV2LnhtbFBLAQIUABQAAAAIAIdO4kC8lgtTPQIAAGcEAAAOAAAAAAAAAAEAIAAA&#10;ACsBAABkcnMvZTJvRG9jLnhtbFBLBQYAAAAABgAGAFkBAADaBQAAAAA=&#10;">
                      <v:fill on="f" focussize="0,0"/>
                      <v:stroke on="f" weight="0.5pt"/>
                      <v:imagedata o:title=""/>
                      <o:lock v:ext="edit" aspectratio="f"/>
                      <v:textbox>
                        <w:txbxContent>
                          <w:p w14:paraId="1EEB9AE6">
                            <w:pPr>
                              <w:rPr>
                                <w:rFonts w:hint="default" w:eastAsia="宋体"/>
                                <w:sz w:val="11"/>
                                <w:szCs w:val="11"/>
                                <w:lang w:val="en-US" w:eastAsia="zh-CN"/>
                              </w:rPr>
                            </w:pPr>
                            <w:r>
                              <w:rPr>
                                <w:rFonts w:hint="eastAsia"/>
                                <w:sz w:val="11"/>
                                <w:szCs w:val="11"/>
                                <w:lang w:val="en-US" w:eastAsia="zh-CN"/>
                              </w:rPr>
                              <w:t>废气、</w:t>
                            </w:r>
                            <w:r>
                              <w:rPr>
                                <w:rFonts w:hint="eastAsia" w:ascii="Times New Roman" w:hAnsi="Times New Roman" w:eastAsia="宋体" w:cs="Times New Roman"/>
                                <w:sz w:val="11"/>
                                <w:szCs w:val="11"/>
                                <w:lang w:val="en-US" w:eastAsia="zh-CN"/>
                              </w:rPr>
                              <w:t>固体废物</w:t>
                            </w:r>
                          </w:p>
                        </w:txbxContent>
                      </v:textbox>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3063240</wp:posOffset>
                      </wp:positionH>
                      <wp:positionV relativeFrom="paragraph">
                        <wp:posOffset>643890</wp:posOffset>
                      </wp:positionV>
                      <wp:extent cx="389890" cy="2755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1787C4">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2pt;margin-top:50.7pt;height:21.7pt;width:30.7pt;z-index:251676672;mso-width-relative:page;mso-height-relative:page;" filled="f" stroked="f" coordsize="21600,21600" o:gfxdata="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E3sFvaAAAACwEAAA8AAAAAAAAAAQAgAAAAIgAAAGRy&#10;cy9kb3ducmV2LnhtbFBLAQIUABQAAAAIAIdO4kCbBr/lPAIAAGcEAAAOAAAAAAAAAAEAIAAAACkB&#10;AABkcnMvZTJvRG9jLnhtbFBLBQYAAAAABgAGAFkBAADXBQAAAAA=&#10;">
                      <v:fill on="f" focussize="0,0"/>
                      <v:stroke on="f" weight="0.5pt"/>
                      <v:imagedata o:title=""/>
                      <o:lock v:ext="edit" aspectratio="f"/>
                      <v:textbox>
                        <w:txbxContent>
                          <w:p w14:paraId="571787C4">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3128010</wp:posOffset>
                      </wp:positionH>
                      <wp:positionV relativeFrom="paragraph">
                        <wp:posOffset>878205</wp:posOffset>
                      </wp:positionV>
                      <wp:extent cx="0" cy="223520"/>
                      <wp:effectExtent l="48895" t="0" r="65405" b="5080"/>
                      <wp:wrapNone/>
                      <wp:docPr id="39" name="直接箭头连接符 39"/>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6.3pt;margin-top:69.15pt;height:17.6pt;width:0pt;z-index:251669504;mso-width-relative:page;mso-height-relative:page;" filled="f" stroked="t" coordsize="21600,21600" o:gfxdata="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HfKQHXAAAACwEAAA8AAAAAAAAAAQAg&#10;AAAAIgAAAGRycy9kb3ducmV2LnhtbFBLAQIUABQAAAAIAIdO4kAYWJ/8DwIAAPMDAAAOAAAAAAAA&#10;AAEAIAAAACYBAABkcnMvZTJvRG9jLnhtbFBLBQYAAAAABgAGAFkBAACnBQ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2165985</wp:posOffset>
                      </wp:positionH>
                      <wp:positionV relativeFrom="paragraph">
                        <wp:posOffset>546735</wp:posOffset>
                      </wp:positionV>
                      <wp:extent cx="389890" cy="27559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077630">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55pt;margin-top:43.05pt;height:21.7pt;width:30.7pt;z-index:251673600;mso-width-relative:page;mso-height-relative:page;" filled="f" stroked="f" coordsize="21600,21600" o:gfxdata="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&#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0pdfq2wAAAAoBAAAPAAAAAAAAAAEAIAAAACIAAABk&#10;cnMvZG93bnJldi54bWxQSwECFAAUAAAACACHTuJAuh2XxDwCAABnBAAADgAAAAAAAAABACAAAAAq&#10;AQAAZHJzL2Uyb0RvYy54bWxQSwUGAAAAAAYABgBZAQAA2AUAAAAA&#10;">
                      <v:fill on="f" focussize="0,0"/>
                      <v:stroke on="f" weight="0.5pt"/>
                      <v:imagedata o:title=""/>
                      <o:lock v:ext="edit" aspectratio="f"/>
                      <v:textbox>
                        <w:txbxContent>
                          <w:p w14:paraId="1C077630">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2353945</wp:posOffset>
                      </wp:positionH>
                      <wp:positionV relativeFrom="paragraph">
                        <wp:posOffset>811530</wp:posOffset>
                      </wp:positionV>
                      <wp:extent cx="0" cy="223520"/>
                      <wp:effectExtent l="48895" t="0" r="65405" b="5080"/>
                      <wp:wrapNone/>
                      <wp:docPr id="40" name="直接箭头连接符 40"/>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5.35pt;margin-top:63.9pt;height:17.6pt;width:0pt;z-index:251670528;mso-width-relative:page;mso-height-relative:page;" filled="f" stroked="t" coordsize="21600,21600" o:gfxdata="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Ig8m9YAAAALAQAADwAAAAAAAAABACAA&#10;AAAiAAAAZHJzL2Rvd25yZXYueG1sUEsBAhQAFAAAAAgAh07iQEqUP8MPAgAA8wMAAA4AAAAAAAAA&#10;AQAgAAAAJQEAAGRycy9lMm9Eb2MueG1sUEsFBgAAAAAGAAYAWQEAAKYFAAAAAA==&#10;">
                      <v:fill on="f" focussize="0,0"/>
                      <v:stroke weight="0.25pt" color="#385D8A [3204]" joinstyle="round" endarrow="open"/>
                      <v:imagedata o:title=""/>
                      <o:lock v:ext="edit" aspectratio="f"/>
                    </v:shape>
                  </w:pict>
                </mc:Fallback>
              </mc:AlternateContent>
            </w:r>
            <w:r>
              <w:rPr>
                <w:color w:val="auto"/>
              </w:rPr>
              <w:drawing>
                <wp:inline distT="0" distB="0" distL="114300" distR="114300">
                  <wp:extent cx="5618480" cy="2784475"/>
                  <wp:effectExtent l="0" t="0" r="1270" b="15875"/>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16"/>
                          <a:stretch>
                            <a:fillRect/>
                          </a:stretch>
                        </pic:blipFill>
                        <pic:spPr>
                          <a:xfrm>
                            <a:off x="0" y="0"/>
                            <a:ext cx="5618480" cy="278447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1490980</wp:posOffset>
                      </wp:positionH>
                      <wp:positionV relativeFrom="paragraph">
                        <wp:posOffset>488315</wp:posOffset>
                      </wp:positionV>
                      <wp:extent cx="389890" cy="27559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8A75A6">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4pt;margin-top:38.45pt;height:21.7pt;width:30.7pt;z-index:251674624;mso-width-relative:page;mso-height-relative:page;" filled="f" stroked="f" coordsize="21600,21600" o:gfxdata="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&#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Gw2QV2wAAAAoBAAAPAAAAAAAAAAEAIAAAACIAAABk&#10;cnMvZG93bnJldi54bWxQSwECFAAUAAAACACHTuJA/2tMMzwCAABnBAAADgAAAAAAAAABACAAAAAq&#10;AQAAZHJzL2Uyb0RvYy54bWxQSwUGAAAAAAYABgBZAQAA2AUAAAAA&#10;">
                      <v:fill on="f" focussize="0,0"/>
                      <v:stroke on="f" weight="0.5pt"/>
                      <v:imagedata o:title=""/>
                      <o:lock v:ext="edit" aspectratio="f"/>
                      <v:textbox>
                        <w:txbxContent>
                          <w:p w14:paraId="108A75A6">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1657985</wp:posOffset>
                      </wp:positionH>
                      <wp:positionV relativeFrom="paragraph">
                        <wp:posOffset>800735</wp:posOffset>
                      </wp:positionV>
                      <wp:extent cx="0" cy="223520"/>
                      <wp:effectExtent l="48895" t="0" r="65405" b="5080"/>
                      <wp:wrapNone/>
                      <wp:docPr id="41" name="直接箭头连接符 41"/>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0.55pt;margin-top:63.05pt;height:17.6pt;width:0pt;z-index:251671552;mso-width-relative:page;mso-height-relative:page;" filled="f" stroked="t" coordsize="21600,21600" o:gfxdata="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kdBJ31QAAAAsBAAAPAAAAAAAAAAEAIAAA&#10;ACIAAABkcnMvZG93bnJldi54bWxQSwECFAAUAAAACACHTuJAXaywug8CAADzAwAADgAAAAAAAAAB&#10;ACAAAAAkAQAAZHJzL2Uyb0RvYy54bWxQSwUGAAAAAAYABgBZAQAApQUAAAAA&#10;">
                      <v:fill on="f" focussize="0,0"/>
                      <v:stroke weight="0.25pt" color="#385D8A [3204]" joinstyle="round" endarrow="open"/>
                      <v:imagedata o:title=""/>
                      <o:lock v:ext="edit" aspectratio="f"/>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765175</wp:posOffset>
                      </wp:positionH>
                      <wp:positionV relativeFrom="paragraph">
                        <wp:posOffset>530225</wp:posOffset>
                      </wp:positionV>
                      <wp:extent cx="389890" cy="27559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38989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6C68A8">
                                  <w:pPr>
                                    <w:rPr>
                                      <w:rFonts w:hint="eastAsia" w:eastAsia="宋体"/>
                                      <w:sz w:val="11"/>
                                      <w:szCs w:val="11"/>
                                      <w:lang w:val="en-US" w:eastAsia="zh-CN"/>
                                    </w:rPr>
                                  </w:pPr>
                                  <w:r>
                                    <w:rPr>
                                      <w:rFonts w:hint="eastAsia"/>
                                      <w:sz w:val="11"/>
                                      <w:szCs w:val="11"/>
                                      <w:lang w:val="en-US"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25pt;margin-top:41.75pt;height:21.7pt;width:30.7pt;z-index:251675648;mso-width-relative:page;mso-height-relative:page;" filled="f" stroked="f" coordsize="21600,21600" o:gfxdata="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R2WSJtkAAAAKAQAADwAAAAAAAAABACAAAAAiAAAAZHJz&#10;L2Rvd25yZXYueG1sUEsBAhQAFAAAAAgAh07iQKUUj9s8AgAAZwQAAA4AAAAAAAAAAQAgAAAAKAEA&#10;AGRycy9lMm9Eb2MueG1sUEsFBgAAAAAGAAYAWQEAANYFAAAAAA==&#10;">
                      <v:fill on="f" focussize="0,0"/>
                      <v:stroke on="f" weight="0.5pt"/>
                      <v:imagedata o:title=""/>
                      <o:lock v:ext="edit" aspectratio="f"/>
                      <v:textbox>
                        <w:txbxContent>
                          <w:p w14:paraId="666C68A8">
                            <w:pPr>
                              <w:rPr>
                                <w:rFonts w:hint="eastAsia" w:eastAsia="宋体"/>
                                <w:sz w:val="11"/>
                                <w:szCs w:val="11"/>
                                <w:lang w:val="en-US" w:eastAsia="zh-CN"/>
                              </w:rPr>
                            </w:pPr>
                            <w:r>
                              <w:rPr>
                                <w:rFonts w:hint="eastAsia"/>
                                <w:sz w:val="11"/>
                                <w:szCs w:val="11"/>
                                <w:lang w:val="en-US" w:eastAsia="zh-CN"/>
                              </w:rPr>
                              <w:t>废气</w:t>
                            </w:r>
                          </w:p>
                        </w:txbxContent>
                      </v:textbox>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952500</wp:posOffset>
                      </wp:positionH>
                      <wp:positionV relativeFrom="paragraph">
                        <wp:posOffset>851535</wp:posOffset>
                      </wp:positionV>
                      <wp:extent cx="0" cy="223520"/>
                      <wp:effectExtent l="48895" t="0" r="65405" b="5080"/>
                      <wp:wrapNone/>
                      <wp:docPr id="42" name="直接箭头连接符 42"/>
                      <wp:cNvGraphicFramePr/>
                      <a:graphic xmlns:a="http://schemas.openxmlformats.org/drawingml/2006/main">
                        <a:graphicData uri="http://schemas.microsoft.com/office/word/2010/wordprocessingShape">
                          <wps:wsp>
                            <wps:cNvCnPr/>
                            <wps:spPr>
                              <a:xfrm flipV="1">
                                <a:off x="0" y="0"/>
                                <a:ext cx="0" cy="223520"/>
                              </a:xfrm>
                              <a:prstGeom prst="straightConnector1">
                                <a:avLst/>
                              </a:prstGeom>
                              <a:ln w="3175" cmpd="sng">
                                <a:solidFill>
                                  <a:schemeClr val="accent1">
                                    <a:shade val="50000"/>
                                  </a:schemeClr>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75pt;margin-top:67.05pt;height:17.6pt;width:0pt;z-index:251672576;mso-width-relative:page;mso-height-relative:page;" filled="f" stroked="t" coordsize="21600,21600" o:gfxdata="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6+4EvWAAAACwEAAA8AAAAAAAAAAQAg&#10;AAAAIgAAAGRycy9kb3ducmV2LnhtbFBLAQIUABQAAAAIAIdO4kBk5CEwEAIAAPMDAAAOAAAAAAAA&#10;AAEAIAAAACUBAABkcnMvZTJvRG9jLnhtbFBLBQYAAAAABgAGAFkBAACnBQAAAAA=&#10;">
                      <v:fill on="f" focussize="0,0"/>
                      <v:stroke weight="0.25pt" color="#385D8A [3204]" joinstyle="round" endarrow="open"/>
                      <v:imagedata o:title=""/>
                      <o:lock v:ext="edit" aspectratio="f"/>
                    </v:shape>
                  </w:pict>
                </mc:Fallback>
              </mc:AlternateContent>
            </w:r>
          </w:p>
          <w:p w14:paraId="39BAFC81">
            <w:pPr>
              <w:pStyle w:val="94"/>
              <w:rPr>
                <w:color w:val="auto"/>
                <w:highlight w:val="none"/>
              </w:rPr>
            </w:pPr>
            <w:r>
              <w:rPr>
                <w:color w:val="auto"/>
                <w:highlight w:val="none"/>
              </w:rPr>
              <w:t>图2-</w:t>
            </w:r>
            <w:r>
              <w:rPr>
                <w:rFonts w:hint="eastAsia"/>
                <w:color w:val="auto"/>
                <w:highlight w:val="none"/>
                <w:lang w:val="en-US" w:eastAsia="zh-CN"/>
              </w:rPr>
              <w:t>7</w:t>
            </w:r>
            <w:r>
              <w:rPr>
                <w:color w:val="auto"/>
                <w:highlight w:val="none"/>
              </w:rPr>
              <w:t xml:space="preserve"> </w:t>
            </w:r>
            <w:r>
              <w:rPr>
                <w:rFonts w:hint="eastAsia"/>
                <w:color w:val="auto"/>
                <w:highlight w:val="none"/>
              </w:rPr>
              <w:t>米糠毛油</w:t>
            </w:r>
            <w:r>
              <w:rPr>
                <w:color w:val="auto"/>
                <w:highlight w:val="none"/>
              </w:rPr>
              <w:t>生产工艺流程及产污节点图</w:t>
            </w:r>
          </w:p>
        </w:tc>
      </w:tr>
      <w:tr w14:paraId="026202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8" w:hRule="atLeast"/>
          <w:jc w:val="center"/>
        </w:trPr>
        <w:tc>
          <w:tcPr>
            <w:tcW w:w="393" w:type="pct"/>
            <w:vAlign w:val="center"/>
          </w:tcPr>
          <w:p w14:paraId="5F06E6E0">
            <w:pPr>
              <w:pStyle w:val="33"/>
              <w:adjustRightInd w:val="0"/>
              <w:snapToGrid w:val="0"/>
              <w:spacing w:before="0" w:beforeAutospacing="0" w:after="0" w:afterAutospacing="0"/>
              <w:jc w:val="center"/>
              <w:rPr>
                <w:rFonts w:ascii="Times New Roman" w:hAnsi="Times New Roman"/>
                <w:color w:val="auto"/>
                <w:szCs w:val="21"/>
                <w:highlight w:val="none"/>
              </w:rPr>
            </w:pPr>
            <w:r>
              <w:rPr>
                <w:rFonts w:ascii="Times New Roman" w:hAnsi="Times New Roman"/>
                <w:bCs/>
                <w:color w:val="auto"/>
                <w:kern w:val="2"/>
                <w:szCs w:val="21"/>
                <w:highlight w:val="none"/>
              </w:rPr>
              <w:t>与项目有关的原有环境污染问题</w:t>
            </w:r>
          </w:p>
        </w:tc>
        <w:tc>
          <w:tcPr>
            <w:tcW w:w="4606" w:type="pct"/>
          </w:tcPr>
          <w:p w14:paraId="00E51986">
            <w:pPr>
              <w:adjustRightInd w:val="0"/>
              <w:snapToGrid w:val="0"/>
              <w:spacing w:line="500" w:lineRule="exact"/>
              <w:ind w:firstLine="480" w:firstLineChars="200"/>
              <w:rPr>
                <w:bCs/>
                <w:color w:val="auto"/>
                <w:sz w:val="32"/>
                <w:szCs w:val="32"/>
                <w:highlight w:val="none"/>
              </w:rPr>
            </w:pPr>
            <w:r>
              <w:rPr>
                <w:rFonts w:hint="eastAsia"/>
                <w:color w:val="auto"/>
                <w:sz w:val="24"/>
                <w:highlight w:val="none"/>
                <w:lang w:val="en-US" w:eastAsia="zh-CN"/>
              </w:rPr>
              <w:t>本项目于2023年4月编制</w:t>
            </w:r>
            <w:r>
              <w:rPr>
                <w:rFonts w:hint="eastAsia" w:ascii="Times New Roman" w:hAnsi="Times New Roman" w:eastAsia="宋体" w:cs="Times New Roman"/>
                <w:color w:val="auto"/>
                <w:sz w:val="24"/>
                <w:highlight w:val="none"/>
                <w:lang w:val="en-US" w:eastAsia="zh-CN"/>
              </w:rPr>
              <w:t>《黑龙江宏昌生物科技有限公司日加工500吨大豆（米糠）双生产线建设项目》，并于2023年6月30日取得《关于黑龙江宏昌生物科技有限公司日加工500吨大豆(米糠)双生产线建设项目环境影响报告表的批复》（佳桦环承审〔2023]3号）。本项目</w:t>
            </w:r>
            <w:r>
              <w:rPr>
                <w:rFonts w:hint="eastAsia" w:ascii="Times New Roman" w:hAnsi="Times New Roman" w:cs="Times New Roman"/>
                <w:color w:val="auto"/>
                <w:sz w:val="24"/>
                <w:highlight w:val="none"/>
                <w:lang w:val="zh-CN"/>
              </w:rPr>
              <w:t>在</w:t>
            </w:r>
            <w:r>
              <w:rPr>
                <w:rFonts w:hint="eastAsia" w:ascii="Times New Roman" w:hAnsi="Times New Roman" w:cs="Times New Roman"/>
                <w:color w:val="auto"/>
                <w:sz w:val="24"/>
                <w:highlight w:val="none"/>
                <w:lang w:val="en-US" w:eastAsia="zh-CN"/>
              </w:rPr>
              <w:t>设计</w:t>
            </w:r>
            <w:r>
              <w:rPr>
                <w:rFonts w:hint="eastAsia" w:ascii="Times New Roman" w:hAnsi="Times New Roman" w:cs="Times New Roman"/>
                <w:color w:val="auto"/>
                <w:sz w:val="24"/>
                <w:highlight w:val="none"/>
                <w:lang w:val="zh-CN"/>
              </w:rPr>
              <w:t>过程中建设单位通过调研发现原环评中批复的生产工艺产生的</w:t>
            </w:r>
            <w:r>
              <w:rPr>
                <w:rFonts w:hint="eastAsia" w:ascii="Times New Roman" w:hAnsi="Times New Roman" w:cs="Times New Roman"/>
                <w:color w:val="auto"/>
                <w:sz w:val="24"/>
                <w:highlight w:val="none"/>
                <w:lang w:val="en-US" w:eastAsia="zh-CN"/>
              </w:rPr>
              <w:t>生产</w:t>
            </w:r>
            <w:r>
              <w:rPr>
                <w:rFonts w:hint="eastAsia" w:ascii="Times New Roman" w:hAnsi="Times New Roman" w:cs="Times New Roman"/>
                <w:color w:val="auto"/>
                <w:sz w:val="24"/>
                <w:highlight w:val="none"/>
                <w:lang w:val="zh-CN"/>
              </w:rPr>
              <w:t>污水无法全回用，因此决定</w:t>
            </w:r>
            <w:r>
              <w:rPr>
                <w:rFonts w:hint="eastAsia" w:ascii="Times New Roman" w:hAnsi="Times New Roman" w:cs="Times New Roman"/>
                <w:color w:val="auto"/>
                <w:sz w:val="24"/>
                <w:highlight w:val="none"/>
                <w:lang w:val="en-US" w:eastAsia="zh-CN"/>
              </w:rPr>
              <w:t>新建一座污水处理站。本项目现除污水处理站部分，其他工程均建设完成，项目未运行。</w:t>
            </w:r>
          </w:p>
        </w:tc>
      </w:tr>
    </w:tbl>
    <w:p w14:paraId="2FDD36A4">
      <w:pPr>
        <w:pStyle w:val="33"/>
        <w:jc w:val="center"/>
        <w:rPr>
          <w:rFonts w:ascii="Times New Roman" w:hAnsi="Times New Roman" w:eastAsia="黑体"/>
          <w:snapToGrid w:val="0"/>
          <w:color w:val="auto"/>
          <w:sz w:val="36"/>
          <w:szCs w:val="36"/>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79103D18">
      <w:pPr>
        <w:pStyle w:val="33"/>
        <w:adjustRightInd w:val="0"/>
        <w:snapToGrid w:val="0"/>
        <w:spacing w:before="0" w:beforeAutospacing="0" w:after="0" w:afterAutospacing="0" w:line="14" w:lineRule="auto"/>
        <w:jc w:val="center"/>
        <w:rPr>
          <w:rFonts w:ascii="Times New Roman" w:hAnsi="Times New Roman" w:eastAsia="黑体"/>
          <w:snapToGrid w:val="0"/>
          <w:color w:val="auto"/>
          <w:sz w:val="30"/>
          <w:szCs w:val="30"/>
        </w:rPr>
      </w:pPr>
    </w:p>
    <w:p w14:paraId="7C86CC9E">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bookmarkStart w:id="31" w:name="_Toc31586"/>
      <w:bookmarkStart w:id="32" w:name="_Toc28443"/>
      <w:r>
        <w:rPr>
          <w:rFonts w:ascii="Times New Roman" w:hAnsi="Times New Roman" w:eastAsia="黑体"/>
          <w:snapToGrid w:val="0"/>
          <w:color w:val="auto"/>
          <w:sz w:val="30"/>
          <w:szCs w:val="30"/>
        </w:rPr>
        <w:t>三、区域环境质量现状、环境保护目标及评价标准</w:t>
      </w:r>
      <w:bookmarkEnd w:id="31"/>
      <w:bookmarkEnd w:id="32"/>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9140"/>
      </w:tblGrid>
      <w:tr w14:paraId="4A413F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62" w:type="pct"/>
            <w:vAlign w:val="center"/>
          </w:tcPr>
          <w:p w14:paraId="052381E4">
            <w:pPr>
              <w:adjustRightInd w:val="0"/>
              <w:snapToGrid w:val="0"/>
              <w:jc w:val="center"/>
              <w:rPr>
                <w:color w:val="auto"/>
                <w:kern w:val="0"/>
                <w:sz w:val="24"/>
                <w:szCs w:val="21"/>
              </w:rPr>
            </w:pPr>
            <w:r>
              <w:rPr>
                <w:color w:val="auto"/>
                <w:kern w:val="0"/>
                <w:sz w:val="24"/>
                <w:szCs w:val="21"/>
              </w:rPr>
              <w:t>区域</w:t>
            </w:r>
          </w:p>
          <w:p w14:paraId="0DA9357E">
            <w:pPr>
              <w:adjustRightInd w:val="0"/>
              <w:snapToGrid w:val="0"/>
              <w:jc w:val="center"/>
              <w:rPr>
                <w:color w:val="auto"/>
                <w:kern w:val="0"/>
                <w:sz w:val="24"/>
                <w:szCs w:val="21"/>
              </w:rPr>
            </w:pPr>
            <w:r>
              <w:rPr>
                <w:color w:val="auto"/>
                <w:kern w:val="0"/>
                <w:sz w:val="24"/>
                <w:szCs w:val="21"/>
              </w:rPr>
              <w:t>环境</w:t>
            </w:r>
          </w:p>
          <w:p w14:paraId="790C9050">
            <w:pPr>
              <w:adjustRightInd w:val="0"/>
              <w:snapToGrid w:val="0"/>
              <w:jc w:val="center"/>
              <w:rPr>
                <w:color w:val="auto"/>
                <w:kern w:val="0"/>
                <w:sz w:val="24"/>
                <w:szCs w:val="21"/>
              </w:rPr>
            </w:pPr>
            <w:r>
              <w:rPr>
                <w:color w:val="auto"/>
                <w:kern w:val="0"/>
                <w:sz w:val="24"/>
                <w:szCs w:val="21"/>
              </w:rPr>
              <w:t>质量</w:t>
            </w:r>
          </w:p>
          <w:p w14:paraId="1F69ED6B">
            <w:pPr>
              <w:adjustRightInd w:val="0"/>
              <w:snapToGrid w:val="0"/>
              <w:jc w:val="center"/>
              <w:rPr>
                <w:color w:val="auto"/>
                <w:kern w:val="0"/>
                <w:sz w:val="24"/>
                <w:szCs w:val="21"/>
              </w:rPr>
            </w:pPr>
            <w:r>
              <w:rPr>
                <w:color w:val="auto"/>
                <w:kern w:val="0"/>
                <w:sz w:val="24"/>
                <w:szCs w:val="21"/>
              </w:rPr>
              <w:t>现状</w:t>
            </w:r>
          </w:p>
        </w:tc>
        <w:tc>
          <w:tcPr>
            <w:tcW w:w="4637" w:type="pct"/>
            <w:vAlign w:val="center"/>
          </w:tcPr>
          <w:p w14:paraId="0E1B994E">
            <w:pPr>
              <w:adjustRightInd w:val="0"/>
              <w:spacing w:line="360" w:lineRule="auto"/>
              <w:rPr>
                <w:rFonts w:eastAsia="黑体"/>
                <w:color w:val="auto"/>
                <w:kern w:val="0"/>
                <w:sz w:val="28"/>
                <w:szCs w:val="28"/>
              </w:rPr>
            </w:pPr>
            <w:r>
              <w:rPr>
                <w:rFonts w:eastAsia="黑体"/>
                <w:color w:val="auto"/>
                <w:kern w:val="0"/>
                <w:sz w:val="28"/>
                <w:szCs w:val="28"/>
              </w:rPr>
              <w:t>1、项目区域环境空气质量部分现状</w:t>
            </w:r>
          </w:p>
          <w:p w14:paraId="5F2F5C03">
            <w:pPr>
              <w:adjustRightInd w:val="0"/>
              <w:spacing w:line="360" w:lineRule="auto"/>
              <w:ind w:firstLine="480" w:firstLineChars="200"/>
              <w:rPr>
                <w:rFonts w:eastAsia="黑体"/>
                <w:color w:val="auto"/>
                <w:kern w:val="0"/>
                <w:sz w:val="24"/>
              </w:rPr>
            </w:pPr>
            <w:r>
              <w:rPr>
                <w:rFonts w:eastAsia="黑体"/>
                <w:color w:val="auto"/>
                <w:kern w:val="0"/>
                <w:sz w:val="24"/>
              </w:rPr>
              <w:t>1.1达标区判定</w:t>
            </w:r>
          </w:p>
          <w:p w14:paraId="1A9710A0">
            <w:pPr>
              <w:numPr>
                <w:ilvl w:val="0"/>
                <w:numId w:val="0"/>
              </w:num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根据《环境空气质量标准》（GB3095-2012）（2018年修改），本项目所在区域环境空气功能区为二类区，根据《环境影响评价技术导则 大气环境》（HJ 2.2-2018）区域达标判定，优先采用国家或地方生态环境主管部门公开发布的评价基准年环境质量公告或环境质量报告中的数据或结论。本项目区位于佳木斯市管辖范围内，故本项目引用2023年佳木斯市环境质量现状。根据佳木斯市人民政府发布的《2023年佳木斯市生态环境质量简报》：2022年，佳木斯市各项污染物平均浓度均达二级标准，PM</w:t>
            </w:r>
            <w:r>
              <w:rPr>
                <w:rFonts w:hint="default" w:ascii="Times New Roman" w:hAnsi="Times New Roman" w:eastAsia="宋体" w:cs="Times New Roman"/>
                <w:color w:val="auto"/>
                <w:sz w:val="24"/>
                <w:szCs w:val="24"/>
                <w:highlight w:val="none"/>
                <w:vertAlign w:val="subscript"/>
                <w:lang w:val="en-US" w:eastAsia="zh-CN"/>
              </w:rPr>
              <w:t>2.5</w:t>
            </w:r>
            <w:r>
              <w:rPr>
                <w:rFonts w:hint="default" w:ascii="Times New Roman" w:hAnsi="Times New Roman" w:eastAsia="宋体" w:cs="Times New Roman"/>
                <w:color w:val="auto"/>
                <w:sz w:val="24"/>
                <w:szCs w:val="24"/>
                <w:highlight w:val="none"/>
                <w:lang w:val="en-US" w:eastAsia="zh-CN"/>
              </w:rPr>
              <w:t>、PM</w:t>
            </w:r>
            <w:r>
              <w:rPr>
                <w:rFonts w:hint="default" w:ascii="Times New Roman" w:hAnsi="Times New Roman" w:eastAsia="宋体" w:cs="Times New Roman"/>
                <w:color w:val="auto"/>
                <w:sz w:val="24"/>
                <w:szCs w:val="24"/>
                <w:highlight w:val="none"/>
                <w:vertAlign w:val="subscript"/>
                <w:lang w:val="en-US" w:eastAsia="zh-CN"/>
              </w:rPr>
              <w:t>10</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、CO和O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-8h 平均浓度分别为27μg/m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、40μg/m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、20μg/m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、0.8mg/m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和106μg/m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。各污染物平均浓度均优于《环境空气质量标准》（GB3095-2012）（2018年修改）中二级标准限值，属于达标区。</w:t>
            </w:r>
          </w:p>
          <w:p w14:paraId="1C5E1C20">
            <w:pPr>
              <w:spacing w:line="520" w:lineRule="exact"/>
              <w:jc w:val="center"/>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表3-1  区域空气质量现状评价表</w:t>
            </w:r>
          </w:p>
          <w:tbl>
            <w:tblPr>
              <w:tblStyle w:val="38"/>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65"/>
              <w:gridCol w:w="2216"/>
              <w:gridCol w:w="1766"/>
              <w:gridCol w:w="1768"/>
              <w:gridCol w:w="1022"/>
              <w:gridCol w:w="1078"/>
            </w:tblGrid>
            <w:tr w14:paraId="6EA358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265384A7">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w:t>
                  </w:r>
                </w:p>
              </w:tc>
              <w:tc>
                <w:tcPr>
                  <w:tcW w:w="1242" w:type="pct"/>
                  <w:noWrap w:val="0"/>
                  <w:vAlign w:val="center"/>
                </w:tcPr>
                <w:p w14:paraId="2E032EDC">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年评价指标</w:t>
                  </w:r>
                </w:p>
              </w:tc>
              <w:tc>
                <w:tcPr>
                  <w:tcW w:w="990" w:type="pct"/>
                  <w:noWrap w:val="0"/>
                  <w:vAlign w:val="center"/>
                </w:tcPr>
                <w:p w14:paraId="67D7AA33">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现状浓度/μg/m</w:t>
                  </w:r>
                  <w:r>
                    <w:rPr>
                      <w:rFonts w:hint="default" w:ascii="Times New Roman" w:hAnsi="Times New Roman" w:eastAsia="宋体" w:cs="Times New Roman"/>
                      <w:color w:val="auto"/>
                      <w:vertAlign w:val="superscript"/>
                    </w:rPr>
                    <w:t>3</w:t>
                  </w:r>
                </w:p>
              </w:tc>
              <w:tc>
                <w:tcPr>
                  <w:tcW w:w="991" w:type="pct"/>
                  <w:noWrap w:val="0"/>
                  <w:vAlign w:val="center"/>
                </w:tcPr>
                <w:p w14:paraId="31A72138">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标准值/μg/m</w:t>
                  </w:r>
                  <w:r>
                    <w:rPr>
                      <w:rFonts w:hint="default" w:ascii="Times New Roman" w:hAnsi="Times New Roman" w:eastAsia="宋体" w:cs="Times New Roman"/>
                      <w:color w:val="auto"/>
                      <w:vertAlign w:val="superscript"/>
                    </w:rPr>
                    <w:t>3</w:t>
                  </w:r>
                </w:p>
              </w:tc>
              <w:tc>
                <w:tcPr>
                  <w:tcW w:w="573" w:type="pct"/>
                  <w:noWrap w:val="0"/>
                  <w:vAlign w:val="center"/>
                </w:tcPr>
                <w:p w14:paraId="6571B794">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占标率/%</w:t>
                  </w:r>
                </w:p>
              </w:tc>
              <w:tc>
                <w:tcPr>
                  <w:tcW w:w="604" w:type="pct"/>
                  <w:noWrap w:val="0"/>
                  <w:vAlign w:val="center"/>
                </w:tcPr>
                <w:p w14:paraId="6B18FD3C">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达标情况</w:t>
                  </w:r>
                </w:p>
              </w:tc>
            </w:tr>
            <w:tr w14:paraId="6F631D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5C68B3C6">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2.5</w:t>
                  </w:r>
                </w:p>
              </w:tc>
              <w:tc>
                <w:tcPr>
                  <w:tcW w:w="1242" w:type="pct"/>
                  <w:noWrap w:val="0"/>
                  <w:vAlign w:val="center"/>
                </w:tcPr>
                <w:p w14:paraId="04E180DA">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年平均质量浓度</w:t>
                  </w:r>
                </w:p>
              </w:tc>
              <w:tc>
                <w:tcPr>
                  <w:tcW w:w="990" w:type="pct"/>
                  <w:noWrap w:val="0"/>
                  <w:vAlign w:val="center"/>
                </w:tcPr>
                <w:p w14:paraId="46BF9FC3">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27</w:t>
                  </w:r>
                </w:p>
              </w:tc>
              <w:tc>
                <w:tcPr>
                  <w:tcW w:w="991" w:type="pct"/>
                  <w:noWrap w:val="0"/>
                  <w:vAlign w:val="center"/>
                </w:tcPr>
                <w:p w14:paraId="54BD331C">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35</w:t>
                  </w:r>
                </w:p>
              </w:tc>
              <w:tc>
                <w:tcPr>
                  <w:tcW w:w="573" w:type="pct"/>
                  <w:noWrap w:val="0"/>
                  <w:vAlign w:val="center"/>
                </w:tcPr>
                <w:p w14:paraId="734E1FDF">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60.0</w:t>
                  </w:r>
                </w:p>
              </w:tc>
              <w:tc>
                <w:tcPr>
                  <w:tcW w:w="604" w:type="pct"/>
                  <w:noWrap w:val="0"/>
                  <w:vAlign w:val="center"/>
                </w:tcPr>
                <w:p w14:paraId="1A022214">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r w14:paraId="44AF31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16722691">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10</w:t>
                  </w:r>
                </w:p>
              </w:tc>
              <w:tc>
                <w:tcPr>
                  <w:tcW w:w="1242" w:type="pct"/>
                  <w:noWrap w:val="0"/>
                  <w:vAlign w:val="center"/>
                </w:tcPr>
                <w:p w14:paraId="70979637">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年平均质量浓度</w:t>
                  </w:r>
                </w:p>
              </w:tc>
              <w:tc>
                <w:tcPr>
                  <w:tcW w:w="990" w:type="pct"/>
                  <w:noWrap w:val="0"/>
                  <w:vAlign w:val="center"/>
                </w:tcPr>
                <w:p w14:paraId="1375A9D4">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40</w:t>
                  </w:r>
                </w:p>
              </w:tc>
              <w:tc>
                <w:tcPr>
                  <w:tcW w:w="991" w:type="pct"/>
                  <w:noWrap w:val="0"/>
                  <w:vAlign w:val="center"/>
                </w:tcPr>
                <w:p w14:paraId="20C4F5F0">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70</w:t>
                  </w:r>
                </w:p>
              </w:tc>
              <w:tc>
                <w:tcPr>
                  <w:tcW w:w="573" w:type="pct"/>
                  <w:noWrap w:val="0"/>
                  <w:vAlign w:val="center"/>
                </w:tcPr>
                <w:p w14:paraId="5BD71B7C">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57.1</w:t>
                  </w:r>
                </w:p>
              </w:tc>
              <w:tc>
                <w:tcPr>
                  <w:tcW w:w="604" w:type="pct"/>
                  <w:noWrap w:val="0"/>
                  <w:vAlign w:val="center"/>
                </w:tcPr>
                <w:p w14:paraId="03534566">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r w14:paraId="27BD10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683E0455">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二氧化硫</w:t>
                  </w:r>
                </w:p>
              </w:tc>
              <w:tc>
                <w:tcPr>
                  <w:tcW w:w="1242" w:type="pct"/>
                  <w:noWrap w:val="0"/>
                  <w:vAlign w:val="center"/>
                </w:tcPr>
                <w:p w14:paraId="6CB68B39">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年平均质量浓度</w:t>
                  </w:r>
                </w:p>
              </w:tc>
              <w:tc>
                <w:tcPr>
                  <w:tcW w:w="990" w:type="pct"/>
                  <w:noWrap w:val="0"/>
                  <w:vAlign w:val="center"/>
                </w:tcPr>
                <w:p w14:paraId="46FD07FD">
                  <w:pPr>
                    <w:adjustRightInd w:val="0"/>
                    <w:snapToGrid w:val="0"/>
                    <w:spacing w:line="320" w:lineRule="exact"/>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6</w:t>
                  </w:r>
                </w:p>
              </w:tc>
              <w:tc>
                <w:tcPr>
                  <w:tcW w:w="991" w:type="pct"/>
                  <w:noWrap w:val="0"/>
                  <w:vAlign w:val="center"/>
                </w:tcPr>
                <w:p w14:paraId="281C30FD">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60</w:t>
                  </w:r>
                </w:p>
              </w:tc>
              <w:tc>
                <w:tcPr>
                  <w:tcW w:w="573" w:type="pct"/>
                  <w:noWrap w:val="0"/>
                  <w:vAlign w:val="center"/>
                </w:tcPr>
                <w:p w14:paraId="43827689">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10.0</w:t>
                  </w:r>
                </w:p>
              </w:tc>
              <w:tc>
                <w:tcPr>
                  <w:tcW w:w="604" w:type="pct"/>
                  <w:noWrap w:val="0"/>
                  <w:vAlign w:val="center"/>
                </w:tcPr>
                <w:p w14:paraId="737D912B">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r w14:paraId="311B54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0A324C51">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二氧化氮</w:t>
                  </w:r>
                </w:p>
              </w:tc>
              <w:tc>
                <w:tcPr>
                  <w:tcW w:w="1242" w:type="pct"/>
                  <w:noWrap w:val="0"/>
                  <w:vAlign w:val="center"/>
                </w:tcPr>
                <w:p w14:paraId="49EC4397">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年平均质量浓度</w:t>
                  </w:r>
                </w:p>
              </w:tc>
              <w:tc>
                <w:tcPr>
                  <w:tcW w:w="990" w:type="pct"/>
                  <w:noWrap w:val="0"/>
                  <w:vAlign w:val="center"/>
                </w:tcPr>
                <w:p w14:paraId="2F148B25">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w:t>
                  </w:r>
                </w:p>
              </w:tc>
              <w:tc>
                <w:tcPr>
                  <w:tcW w:w="991" w:type="pct"/>
                  <w:noWrap w:val="0"/>
                  <w:vAlign w:val="center"/>
                </w:tcPr>
                <w:p w14:paraId="061E3550">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40</w:t>
                  </w:r>
                </w:p>
              </w:tc>
              <w:tc>
                <w:tcPr>
                  <w:tcW w:w="573" w:type="pct"/>
                  <w:noWrap w:val="0"/>
                  <w:vAlign w:val="center"/>
                </w:tcPr>
                <w:p w14:paraId="7C458108">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50.0</w:t>
                  </w:r>
                </w:p>
              </w:tc>
              <w:tc>
                <w:tcPr>
                  <w:tcW w:w="604" w:type="pct"/>
                  <w:noWrap w:val="0"/>
                  <w:vAlign w:val="center"/>
                </w:tcPr>
                <w:p w14:paraId="386E7DC9">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r w14:paraId="6A9396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383D31B5">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一氧化碳</w:t>
                  </w:r>
                </w:p>
              </w:tc>
              <w:tc>
                <w:tcPr>
                  <w:tcW w:w="1242" w:type="pct"/>
                  <w:noWrap w:val="0"/>
                  <w:vAlign w:val="center"/>
                </w:tcPr>
                <w:p w14:paraId="2C146F63">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第95百分位数</w:t>
                  </w:r>
                </w:p>
                <w:p w14:paraId="2A5E9987">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日平均质量浓度</w:t>
                  </w:r>
                </w:p>
              </w:tc>
              <w:tc>
                <w:tcPr>
                  <w:tcW w:w="990" w:type="pct"/>
                  <w:noWrap w:val="0"/>
                  <w:vAlign w:val="center"/>
                </w:tcPr>
                <w:p w14:paraId="13C7ABF9">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0.8</w:t>
                  </w:r>
                  <w:r>
                    <w:rPr>
                      <w:rFonts w:hint="default" w:ascii="Times New Roman" w:hAnsi="Times New Roman" w:eastAsia="宋体" w:cs="Times New Roman"/>
                      <w:color w:val="auto"/>
                    </w:rPr>
                    <w:t>mg/m</w:t>
                  </w:r>
                  <w:r>
                    <w:rPr>
                      <w:rFonts w:hint="default" w:ascii="Times New Roman" w:hAnsi="Times New Roman" w:eastAsia="宋体" w:cs="Times New Roman"/>
                      <w:color w:val="auto"/>
                      <w:vertAlign w:val="superscript"/>
                    </w:rPr>
                    <w:t>3</w:t>
                  </w:r>
                </w:p>
              </w:tc>
              <w:tc>
                <w:tcPr>
                  <w:tcW w:w="991" w:type="pct"/>
                  <w:noWrap w:val="0"/>
                  <w:vAlign w:val="center"/>
                </w:tcPr>
                <w:p w14:paraId="669AEBED">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4mg/m</w:t>
                  </w:r>
                  <w:r>
                    <w:rPr>
                      <w:rFonts w:hint="default" w:ascii="Times New Roman" w:hAnsi="Times New Roman" w:eastAsia="宋体" w:cs="Times New Roman"/>
                      <w:color w:val="auto"/>
                      <w:vertAlign w:val="superscript"/>
                    </w:rPr>
                    <w:t>3</w:t>
                  </w:r>
                </w:p>
              </w:tc>
              <w:tc>
                <w:tcPr>
                  <w:tcW w:w="573" w:type="pct"/>
                  <w:noWrap w:val="0"/>
                  <w:vAlign w:val="center"/>
                </w:tcPr>
                <w:p w14:paraId="3EFDDCB5">
                  <w:pPr>
                    <w:adjustRightInd w:val="0"/>
                    <w:snapToGrid w:val="0"/>
                    <w:spacing w:line="320" w:lineRule="exact"/>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w:t>
                  </w:r>
                </w:p>
              </w:tc>
              <w:tc>
                <w:tcPr>
                  <w:tcW w:w="604" w:type="pct"/>
                  <w:noWrap w:val="0"/>
                  <w:vAlign w:val="center"/>
                </w:tcPr>
                <w:p w14:paraId="61F7C9DA">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r w14:paraId="3FCFB0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27" w:hRule="atLeast"/>
                <w:jc w:val="center"/>
              </w:trPr>
              <w:tc>
                <w:tcPr>
                  <w:tcW w:w="597" w:type="pct"/>
                  <w:noWrap w:val="0"/>
                  <w:vAlign w:val="center"/>
                </w:tcPr>
                <w:p w14:paraId="57B22A73">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臭氧</w:t>
                  </w:r>
                </w:p>
              </w:tc>
              <w:tc>
                <w:tcPr>
                  <w:tcW w:w="1242" w:type="pct"/>
                  <w:noWrap w:val="0"/>
                  <w:vAlign w:val="center"/>
                </w:tcPr>
                <w:p w14:paraId="78A825E3">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第90百分位数8小时平均质量浓度</w:t>
                  </w:r>
                </w:p>
              </w:tc>
              <w:tc>
                <w:tcPr>
                  <w:tcW w:w="990" w:type="pct"/>
                  <w:noWrap w:val="0"/>
                  <w:vAlign w:val="center"/>
                </w:tcPr>
                <w:p w14:paraId="44FF98E9">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106</w:t>
                  </w:r>
                </w:p>
              </w:tc>
              <w:tc>
                <w:tcPr>
                  <w:tcW w:w="991" w:type="pct"/>
                  <w:noWrap w:val="0"/>
                  <w:vAlign w:val="center"/>
                </w:tcPr>
                <w:p w14:paraId="22CB4AD8">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160</w:t>
                  </w:r>
                </w:p>
              </w:tc>
              <w:tc>
                <w:tcPr>
                  <w:tcW w:w="573" w:type="pct"/>
                  <w:noWrap w:val="0"/>
                  <w:vAlign w:val="center"/>
                </w:tcPr>
                <w:p w14:paraId="0DB9B2D5">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66.3</w:t>
                  </w:r>
                </w:p>
              </w:tc>
              <w:tc>
                <w:tcPr>
                  <w:tcW w:w="604" w:type="pct"/>
                  <w:noWrap w:val="0"/>
                  <w:vAlign w:val="center"/>
                </w:tcPr>
                <w:p w14:paraId="1489155A">
                  <w:pPr>
                    <w:adjustRightInd w:val="0"/>
                    <w:snapToGrid w:val="0"/>
                    <w:spacing w:line="320" w:lineRule="exact"/>
                    <w:jc w:val="center"/>
                    <w:rPr>
                      <w:rFonts w:hint="default" w:ascii="Times New Roman" w:hAnsi="Times New Roman" w:eastAsia="宋体" w:cs="Times New Roman"/>
                      <w:color w:val="auto"/>
                    </w:rPr>
                  </w:pPr>
                  <w:r>
                    <w:rPr>
                      <w:rFonts w:hint="default" w:ascii="Times New Roman" w:hAnsi="Times New Roman" w:eastAsia="宋体" w:cs="Times New Roman"/>
                      <w:color w:val="auto"/>
                    </w:rPr>
                    <w:t>达标</w:t>
                  </w:r>
                </w:p>
              </w:tc>
            </w:tr>
          </w:tbl>
          <w:p w14:paraId="760672C0">
            <w:pPr>
              <w:spacing w:line="360" w:lineRule="auto"/>
              <w:ind w:firstLine="480" w:firstLineChars="200"/>
              <w:rPr>
                <w:color w:val="auto"/>
                <w:sz w:val="24"/>
              </w:rPr>
            </w:pPr>
            <w:r>
              <w:rPr>
                <w:rFonts w:hint="eastAsia"/>
                <w:color w:val="auto"/>
                <w:sz w:val="24"/>
              </w:rPr>
              <w:t>1.2补充监测</w:t>
            </w:r>
          </w:p>
          <w:p w14:paraId="46BC2774">
            <w:pPr>
              <w:spacing w:line="360" w:lineRule="auto"/>
              <w:ind w:firstLine="480" w:firstLineChars="200"/>
              <w:rPr>
                <w:snapToGrid w:val="0"/>
                <w:color w:val="auto"/>
                <w:sz w:val="24"/>
              </w:rPr>
            </w:pPr>
            <w:bookmarkStart w:id="33" w:name="_Toc37662862"/>
            <w:bookmarkStart w:id="34" w:name="_Toc23242"/>
            <w:bookmarkStart w:id="35" w:name="_Toc1841"/>
            <w:bookmarkStart w:id="36" w:name="_Toc26177"/>
            <w:bookmarkStart w:id="37" w:name="_Toc31834"/>
            <w:bookmarkStart w:id="38" w:name="_Toc26771"/>
            <w:bookmarkStart w:id="39" w:name="_Toc23600"/>
            <w:bookmarkStart w:id="40" w:name="_Toc26141"/>
            <w:bookmarkStart w:id="41" w:name="_Toc4333"/>
            <w:bookmarkStart w:id="42" w:name="_Toc22377"/>
            <w:r>
              <w:rPr>
                <w:rFonts w:hint="eastAsia"/>
                <w:snapToGrid w:val="0"/>
                <w:color w:val="auto"/>
                <w:sz w:val="24"/>
              </w:rPr>
              <w:t>本项目特征污染物为TSP，本次项目特征因子与《</w:t>
            </w:r>
            <w:r>
              <w:rPr>
                <w:rFonts w:hint="eastAsia"/>
                <w:snapToGrid w:val="0"/>
                <w:color w:val="auto"/>
                <w:sz w:val="24"/>
                <w:lang w:val="en-US" w:eastAsia="zh-CN"/>
              </w:rPr>
              <w:t>黑龙江省恒源食品股份有限公司锅炉改建项目</w:t>
            </w:r>
            <w:r>
              <w:rPr>
                <w:rFonts w:hint="eastAsia"/>
                <w:snapToGrid w:val="0"/>
                <w:color w:val="auto"/>
                <w:sz w:val="24"/>
              </w:rPr>
              <w:t>》相同，监测时间为202</w:t>
            </w:r>
            <w:r>
              <w:rPr>
                <w:rFonts w:hint="eastAsia"/>
                <w:snapToGrid w:val="0"/>
                <w:color w:val="auto"/>
                <w:sz w:val="24"/>
                <w:lang w:val="en-US" w:eastAsia="zh-CN"/>
              </w:rPr>
              <w:t>3</w:t>
            </w:r>
            <w:r>
              <w:rPr>
                <w:rFonts w:hint="eastAsia"/>
                <w:snapToGrid w:val="0"/>
                <w:color w:val="auto"/>
                <w:sz w:val="24"/>
              </w:rPr>
              <w:t>年</w:t>
            </w:r>
            <w:r>
              <w:rPr>
                <w:rFonts w:hint="eastAsia"/>
                <w:snapToGrid w:val="0"/>
                <w:color w:val="auto"/>
                <w:sz w:val="24"/>
                <w:lang w:val="en-US" w:eastAsia="zh-CN"/>
              </w:rPr>
              <w:t>4</w:t>
            </w:r>
            <w:r>
              <w:rPr>
                <w:rFonts w:hint="eastAsia"/>
                <w:snapToGrid w:val="0"/>
                <w:color w:val="auto"/>
                <w:sz w:val="24"/>
              </w:rPr>
              <w:t>月</w:t>
            </w:r>
            <w:r>
              <w:rPr>
                <w:rFonts w:hint="eastAsia"/>
                <w:snapToGrid w:val="0"/>
                <w:color w:val="auto"/>
                <w:sz w:val="24"/>
                <w:lang w:val="en-US" w:eastAsia="zh-CN"/>
              </w:rPr>
              <w:t>21</w:t>
            </w:r>
            <w:r>
              <w:rPr>
                <w:rFonts w:hint="eastAsia"/>
                <w:snapToGrid w:val="0"/>
                <w:color w:val="auto"/>
                <w:sz w:val="24"/>
              </w:rPr>
              <w:t>日-</w:t>
            </w:r>
            <w:r>
              <w:rPr>
                <w:rFonts w:hint="eastAsia"/>
                <w:snapToGrid w:val="0"/>
                <w:color w:val="auto"/>
                <w:sz w:val="24"/>
                <w:lang w:val="en-US" w:eastAsia="zh-CN"/>
              </w:rPr>
              <w:t>4</w:t>
            </w:r>
            <w:r>
              <w:rPr>
                <w:rFonts w:hint="eastAsia"/>
                <w:snapToGrid w:val="0"/>
                <w:color w:val="auto"/>
                <w:sz w:val="24"/>
              </w:rPr>
              <w:t>月</w:t>
            </w:r>
            <w:r>
              <w:rPr>
                <w:rFonts w:hint="eastAsia"/>
                <w:snapToGrid w:val="0"/>
                <w:color w:val="auto"/>
                <w:sz w:val="24"/>
                <w:lang w:val="en-US" w:eastAsia="zh-CN"/>
              </w:rPr>
              <w:t>23</w:t>
            </w:r>
            <w:r>
              <w:rPr>
                <w:rFonts w:hint="eastAsia"/>
                <w:snapToGrid w:val="0"/>
                <w:color w:val="auto"/>
                <w:sz w:val="24"/>
              </w:rPr>
              <w:t>日，连续监测</w:t>
            </w:r>
            <w:r>
              <w:rPr>
                <w:rFonts w:hint="eastAsia"/>
                <w:snapToGrid w:val="0"/>
                <w:color w:val="auto"/>
                <w:sz w:val="24"/>
                <w:lang w:val="en-US" w:eastAsia="zh-CN"/>
              </w:rPr>
              <w:t>3</w:t>
            </w:r>
            <w:r>
              <w:rPr>
                <w:rFonts w:hint="eastAsia"/>
                <w:snapToGrid w:val="0"/>
                <w:color w:val="auto"/>
                <w:sz w:val="24"/>
              </w:rPr>
              <w:t>天，监测点位距离本</w:t>
            </w:r>
            <w:r>
              <w:rPr>
                <w:rFonts w:hint="eastAsia"/>
                <w:snapToGrid w:val="0"/>
                <w:color w:val="auto"/>
                <w:sz w:val="24"/>
                <w:lang w:eastAsia="zh-CN"/>
              </w:rPr>
              <w:t>项目</w:t>
            </w:r>
            <w:r>
              <w:rPr>
                <w:rFonts w:hint="eastAsia"/>
                <w:snapToGrid w:val="0"/>
                <w:color w:val="auto"/>
                <w:sz w:val="24"/>
                <w:lang w:val="en-US" w:eastAsia="zh-CN"/>
              </w:rPr>
              <w:t>4.3</w:t>
            </w:r>
            <w:r>
              <w:rPr>
                <w:rFonts w:hint="eastAsia"/>
                <w:snapToGrid w:val="0"/>
                <w:color w:val="auto"/>
                <w:sz w:val="24"/>
              </w:rPr>
              <w:t>km，因此本项目特征污染物引用上述公示项目中补充监测数据合理。</w:t>
            </w:r>
          </w:p>
          <w:p w14:paraId="1BC7EF32">
            <w:pPr>
              <w:spacing w:line="360" w:lineRule="auto"/>
              <w:ind w:firstLine="480" w:firstLineChars="200"/>
              <w:rPr>
                <w:snapToGrid w:val="0"/>
                <w:color w:val="auto"/>
                <w:sz w:val="24"/>
              </w:rPr>
            </w:pPr>
            <w:r>
              <w:rPr>
                <w:rFonts w:hint="eastAsia"/>
                <w:snapToGrid w:val="0"/>
                <w:color w:val="auto"/>
                <w:sz w:val="24"/>
              </w:rPr>
              <w:t>根据《</w:t>
            </w:r>
            <w:r>
              <w:rPr>
                <w:rFonts w:hint="eastAsia"/>
                <w:snapToGrid w:val="0"/>
                <w:color w:val="auto"/>
                <w:sz w:val="24"/>
                <w:lang w:val="en-US" w:eastAsia="zh-CN"/>
              </w:rPr>
              <w:t>黑龙江省恒源食品股份有限公司锅炉改建项目</w:t>
            </w:r>
            <w:r>
              <w:rPr>
                <w:rFonts w:hint="eastAsia"/>
                <w:snapToGrid w:val="0"/>
                <w:color w:val="auto"/>
                <w:sz w:val="24"/>
              </w:rPr>
              <w:t>》对现状TSP进行监测，监测点位信息见表3-2及附图3，监测结果见表3-4。监测报告见附件。</w:t>
            </w:r>
          </w:p>
          <w:p w14:paraId="7024C1EA">
            <w:pPr>
              <w:spacing w:line="360" w:lineRule="auto"/>
              <w:ind w:firstLine="480" w:firstLineChars="200"/>
              <w:rPr>
                <w:snapToGrid w:val="0"/>
                <w:color w:val="auto"/>
                <w:sz w:val="24"/>
              </w:rPr>
            </w:pPr>
            <w:r>
              <w:rPr>
                <w:rFonts w:hint="eastAsia"/>
                <w:snapToGrid w:val="0"/>
                <w:color w:val="auto"/>
                <w:sz w:val="24"/>
              </w:rPr>
              <w:t>（1）监测因子</w:t>
            </w:r>
          </w:p>
          <w:p w14:paraId="1F2CD286">
            <w:pPr>
              <w:spacing w:line="360" w:lineRule="auto"/>
              <w:ind w:firstLine="480" w:firstLineChars="200"/>
              <w:rPr>
                <w:snapToGrid w:val="0"/>
                <w:color w:val="auto"/>
                <w:sz w:val="24"/>
              </w:rPr>
            </w:pPr>
            <w:r>
              <w:rPr>
                <w:rFonts w:hint="eastAsia"/>
                <w:snapToGrid w:val="0"/>
                <w:color w:val="auto"/>
                <w:sz w:val="24"/>
              </w:rPr>
              <w:t>根据本项目污染物排放特点及拟建厂址周围的环境特征，确定补充监测因子为：TSP。</w:t>
            </w:r>
          </w:p>
          <w:p w14:paraId="518F4F67">
            <w:pPr>
              <w:spacing w:line="360" w:lineRule="auto"/>
              <w:ind w:firstLine="480" w:firstLineChars="200"/>
              <w:rPr>
                <w:snapToGrid w:val="0"/>
                <w:color w:val="auto"/>
                <w:sz w:val="24"/>
              </w:rPr>
            </w:pPr>
            <w:r>
              <w:rPr>
                <w:rFonts w:hint="eastAsia"/>
                <w:snapToGrid w:val="0"/>
                <w:color w:val="auto"/>
                <w:sz w:val="24"/>
              </w:rPr>
              <w:t>（2）监测点位</w:t>
            </w:r>
          </w:p>
          <w:p w14:paraId="0886ABB7">
            <w:pPr>
              <w:spacing w:line="360" w:lineRule="auto"/>
              <w:ind w:firstLine="480" w:firstLineChars="200"/>
              <w:rPr>
                <w:snapToGrid w:val="0"/>
                <w:color w:val="auto"/>
                <w:sz w:val="24"/>
              </w:rPr>
            </w:pPr>
            <w:r>
              <w:rPr>
                <w:rFonts w:hint="eastAsia"/>
                <w:snapToGrid w:val="0"/>
                <w:color w:val="auto"/>
                <w:sz w:val="24"/>
                <w:lang w:val="en-US" w:eastAsia="zh-CN"/>
              </w:rPr>
              <w:t>引用</w:t>
            </w:r>
            <w:r>
              <w:rPr>
                <w:rFonts w:hint="eastAsia"/>
                <w:snapToGrid w:val="0"/>
                <w:color w:val="auto"/>
                <w:sz w:val="24"/>
              </w:rPr>
              <w:t>本项目</w:t>
            </w:r>
            <w:r>
              <w:rPr>
                <w:rFonts w:hint="eastAsia"/>
                <w:snapToGrid w:val="0"/>
                <w:color w:val="auto"/>
                <w:sz w:val="24"/>
                <w:lang w:val="en-US" w:eastAsia="zh-CN"/>
              </w:rPr>
              <w:t>东南</w:t>
            </w:r>
            <w:r>
              <w:rPr>
                <w:rFonts w:hint="eastAsia"/>
                <w:snapToGrid w:val="0"/>
                <w:color w:val="auto"/>
                <w:sz w:val="24"/>
              </w:rPr>
              <w:t>侧方向</w:t>
            </w:r>
            <w:r>
              <w:rPr>
                <w:rFonts w:hint="eastAsia"/>
                <w:snapToGrid w:val="0"/>
                <w:color w:val="auto"/>
                <w:sz w:val="24"/>
                <w:lang w:val="en-US" w:eastAsia="zh-CN"/>
              </w:rPr>
              <w:t>黑龙江省恒源食品股份有限公司监测点位</w:t>
            </w:r>
            <w:r>
              <w:rPr>
                <w:rFonts w:hint="eastAsia"/>
                <w:snapToGrid w:val="0"/>
                <w:color w:val="auto"/>
                <w:sz w:val="24"/>
              </w:rPr>
              <w:t>。</w:t>
            </w:r>
          </w:p>
          <w:p w14:paraId="4D14A9CD">
            <w:pPr>
              <w:adjustRightInd w:val="0"/>
              <w:jc w:val="center"/>
              <w:rPr>
                <w:b/>
                <w:bCs/>
                <w:color w:val="auto"/>
                <w:kern w:val="0"/>
                <w:sz w:val="24"/>
              </w:rPr>
            </w:pPr>
            <w:r>
              <w:rPr>
                <w:rFonts w:hint="eastAsia"/>
                <w:b/>
                <w:bCs/>
                <w:color w:val="auto"/>
                <w:kern w:val="0"/>
                <w:sz w:val="24"/>
              </w:rPr>
              <w:t>表3-2  其他污染物补充监测点基本信息</w:t>
            </w:r>
          </w:p>
          <w:tbl>
            <w:tblPr>
              <w:tblStyle w:val="38"/>
              <w:tblW w:w="4981"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877"/>
              <w:gridCol w:w="1548"/>
              <w:gridCol w:w="1659"/>
              <w:gridCol w:w="2173"/>
              <w:gridCol w:w="1603"/>
            </w:tblGrid>
            <w:tr w14:paraId="730FD5C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4" w:hRule="atLeast"/>
                <w:jc w:val="center"/>
              </w:trPr>
              <w:tc>
                <w:tcPr>
                  <w:tcW w:w="1059" w:type="pct"/>
                  <w:vMerge w:val="restart"/>
                  <w:tcBorders>
                    <w:left w:val="nil"/>
                    <w:right w:val="single" w:color="000000" w:sz="4" w:space="0"/>
                  </w:tcBorders>
                  <w:vAlign w:val="center"/>
                </w:tcPr>
                <w:p w14:paraId="2DB7E48D">
                  <w:pPr>
                    <w:adjustRightInd w:val="0"/>
                    <w:spacing w:line="360" w:lineRule="auto"/>
                    <w:jc w:val="center"/>
                    <w:rPr>
                      <w:color w:val="auto"/>
                    </w:rPr>
                  </w:pPr>
                  <w:r>
                    <w:rPr>
                      <w:rFonts w:hint="eastAsia"/>
                      <w:color w:val="auto"/>
                    </w:rPr>
                    <w:t>监测点名称</w:t>
                  </w:r>
                </w:p>
              </w:tc>
              <w:tc>
                <w:tcPr>
                  <w:tcW w:w="873" w:type="pct"/>
                  <w:vMerge w:val="restart"/>
                  <w:tcBorders>
                    <w:left w:val="single" w:color="000000" w:sz="4" w:space="0"/>
                    <w:right w:val="single" w:color="000000" w:sz="4" w:space="0"/>
                  </w:tcBorders>
                  <w:vAlign w:val="center"/>
                </w:tcPr>
                <w:p w14:paraId="145E36FD">
                  <w:pPr>
                    <w:adjustRightInd w:val="0"/>
                    <w:spacing w:line="360" w:lineRule="auto"/>
                    <w:jc w:val="center"/>
                    <w:rPr>
                      <w:color w:val="auto"/>
                    </w:rPr>
                  </w:pPr>
                  <w:r>
                    <w:rPr>
                      <w:rFonts w:hint="eastAsia"/>
                      <w:color w:val="auto"/>
                    </w:rPr>
                    <w:t>监测因子</w:t>
                  </w:r>
                </w:p>
              </w:tc>
              <w:tc>
                <w:tcPr>
                  <w:tcW w:w="936" w:type="pct"/>
                  <w:vMerge w:val="restart"/>
                  <w:tcBorders>
                    <w:left w:val="single" w:color="000000" w:sz="4" w:space="0"/>
                    <w:right w:val="single" w:color="000000" w:sz="4" w:space="0"/>
                  </w:tcBorders>
                  <w:vAlign w:val="center"/>
                </w:tcPr>
                <w:p w14:paraId="7002041D">
                  <w:pPr>
                    <w:adjustRightInd w:val="0"/>
                    <w:spacing w:line="360" w:lineRule="auto"/>
                    <w:jc w:val="center"/>
                    <w:rPr>
                      <w:color w:val="auto"/>
                    </w:rPr>
                  </w:pPr>
                  <w:r>
                    <w:rPr>
                      <w:rFonts w:hint="eastAsia"/>
                      <w:color w:val="auto"/>
                    </w:rPr>
                    <w:t>监测时段</w:t>
                  </w:r>
                </w:p>
              </w:tc>
              <w:tc>
                <w:tcPr>
                  <w:tcW w:w="1226" w:type="pct"/>
                  <w:vMerge w:val="restart"/>
                  <w:tcBorders>
                    <w:left w:val="single" w:color="000000" w:sz="4" w:space="0"/>
                    <w:right w:val="single" w:color="000000" w:sz="4" w:space="0"/>
                  </w:tcBorders>
                  <w:vAlign w:val="center"/>
                </w:tcPr>
                <w:p w14:paraId="3E44D40F">
                  <w:pPr>
                    <w:adjustRightInd w:val="0"/>
                    <w:spacing w:line="360" w:lineRule="auto"/>
                    <w:jc w:val="center"/>
                    <w:rPr>
                      <w:color w:val="auto"/>
                    </w:rPr>
                  </w:pPr>
                  <w:r>
                    <w:rPr>
                      <w:rFonts w:hint="eastAsia"/>
                      <w:color w:val="auto"/>
                    </w:rPr>
                    <w:t>相对厂址方位</w:t>
                  </w:r>
                </w:p>
              </w:tc>
              <w:tc>
                <w:tcPr>
                  <w:tcW w:w="904" w:type="pct"/>
                  <w:vMerge w:val="restart"/>
                  <w:tcBorders>
                    <w:left w:val="single" w:color="000000" w:sz="4" w:space="0"/>
                    <w:right w:val="nil"/>
                  </w:tcBorders>
                  <w:vAlign w:val="center"/>
                </w:tcPr>
                <w:p w14:paraId="6B411CF2">
                  <w:pPr>
                    <w:adjustRightInd w:val="0"/>
                    <w:spacing w:line="360" w:lineRule="auto"/>
                    <w:jc w:val="center"/>
                    <w:rPr>
                      <w:color w:val="auto"/>
                    </w:rPr>
                  </w:pPr>
                  <w:r>
                    <w:rPr>
                      <w:rFonts w:hint="eastAsia"/>
                      <w:color w:val="auto"/>
                    </w:rPr>
                    <w:t>相对厂界距离（m）</w:t>
                  </w:r>
                </w:p>
              </w:tc>
            </w:tr>
            <w:tr w14:paraId="2232251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4" w:hRule="atLeast"/>
                <w:jc w:val="center"/>
              </w:trPr>
              <w:tc>
                <w:tcPr>
                  <w:tcW w:w="1059" w:type="pct"/>
                  <w:vMerge w:val="continue"/>
                  <w:tcBorders>
                    <w:top w:val="nil"/>
                    <w:left w:val="nil"/>
                    <w:right w:val="single" w:color="000000" w:sz="4" w:space="0"/>
                  </w:tcBorders>
                  <w:vAlign w:val="center"/>
                </w:tcPr>
                <w:p w14:paraId="4B0D27BD">
                  <w:pPr>
                    <w:adjustRightInd w:val="0"/>
                    <w:spacing w:line="360" w:lineRule="auto"/>
                    <w:jc w:val="center"/>
                    <w:rPr>
                      <w:color w:val="auto"/>
                    </w:rPr>
                  </w:pPr>
                </w:p>
              </w:tc>
              <w:tc>
                <w:tcPr>
                  <w:tcW w:w="873" w:type="pct"/>
                  <w:vMerge w:val="continue"/>
                  <w:tcBorders>
                    <w:top w:val="nil"/>
                    <w:left w:val="single" w:color="000000" w:sz="4" w:space="0"/>
                    <w:right w:val="single" w:color="000000" w:sz="4" w:space="0"/>
                  </w:tcBorders>
                  <w:vAlign w:val="center"/>
                </w:tcPr>
                <w:p w14:paraId="54FDD420">
                  <w:pPr>
                    <w:adjustRightInd w:val="0"/>
                    <w:spacing w:line="360" w:lineRule="auto"/>
                    <w:jc w:val="center"/>
                    <w:rPr>
                      <w:color w:val="auto"/>
                    </w:rPr>
                  </w:pPr>
                </w:p>
              </w:tc>
              <w:tc>
                <w:tcPr>
                  <w:tcW w:w="936" w:type="pct"/>
                  <w:vMerge w:val="continue"/>
                  <w:tcBorders>
                    <w:top w:val="nil"/>
                    <w:left w:val="single" w:color="000000" w:sz="4" w:space="0"/>
                    <w:right w:val="single" w:color="000000" w:sz="4" w:space="0"/>
                  </w:tcBorders>
                  <w:vAlign w:val="center"/>
                </w:tcPr>
                <w:p w14:paraId="7D979350">
                  <w:pPr>
                    <w:adjustRightInd w:val="0"/>
                    <w:spacing w:line="360" w:lineRule="auto"/>
                    <w:jc w:val="center"/>
                    <w:rPr>
                      <w:color w:val="auto"/>
                    </w:rPr>
                  </w:pPr>
                </w:p>
              </w:tc>
              <w:tc>
                <w:tcPr>
                  <w:tcW w:w="1226" w:type="pct"/>
                  <w:vMerge w:val="continue"/>
                  <w:tcBorders>
                    <w:top w:val="nil"/>
                    <w:left w:val="single" w:color="000000" w:sz="4" w:space="0"/>
                    <w:right w:val="single" w:color="000000" w:sz="4" w:space="0"/>
                  </w:tcBorders>
                  <w:vAlign w:val="center"/>
                </w:tcPr>
                <w:p w14:paraId="74D5A7DF">
                  <w:pPr>
                    <w:adjustRightInd w:val="0"/>
                    <w:spacing w:line="360" w:lineRule="auto"/>
                    <w:jc w:val="center"/>
                    <w:rPr>
                      <w:color w:val="auto"/>
                    </w:rPr>
                  </w:pPr>
                </w:p>
              </w:tc>
              <w:tc>
                <w:tcPr>
                  <w:tcW w:w="904" w:type="pct"/>
                  <w:vMerge w:val="continue"/>
                  <w:tcBorders>
                    <w:top w:val="nil"/>
                    <w:left w:val="single" w:color="000000" w:sz="4" w:space="0"/>
                    <w:right w:val="nil"/>
                  </w:tcBorders>
                  <w:vAlign w:val="center"/>
                </w:tcPr>
                <w:p w14:paraId="065EF14E">
                  <w:pPr>
                    <w:adjustRightInd w:val="0"/>
                    <w:spacing w:line="360" w:lineRule="auto"/>
                    <w:jc w:val="center"/>
                    <w:rPr>
                      <w:color w:val="auto"/>
                    </w:rPr>
                  </w:pPr>
                </w:p>
              </w:tc>
            </w:tr>
            <w:tr w14:paraId="4FE2D7A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1059" w:type="pct"/>
                  <w:tcBorders>
                    <w:left w:val="nil"/>
                    <w:right w:val="single" w:color="000000" w:sz="4" w:space="0"/>
                  </w:tcBorders>
                  <w:vAlign w:val="center"/>
                </w:tcPr>
                <w:p w14:paraId="14481332">
                  <w:pPr>
                    <w:adjustRightInd w:val="0"/>
                    <w:spacing w:line="360" w:lineRule="auto"/>
                    <w:jc w:val="center"/>
                    <w:rPr>
                      <w:color w:val="auto"/>
                    </w:rPr>
                  </w:pPr>
                  <w:r>
                    <w:rPr>
                      <w:rFonts w:hint="eastAsia"/>
                      <w:color w:val="auto"/>
                      <w:lang w:val="en-US" w:eastAsia="zh-CN"/>
                    </w:rPr>
                    <w:t>黑龙江省恒源食品股份有限公司</w:t>
                  </w:r>
                </w:p>
              </w:tc>
              <w:tc>
                <w:tcPr>
                  <w:tcW w:w="873" w:type="pct"/>
                  <w:tcBorders>
                    <w:left w:val="single" w:color="000000" w:sz="4" w:space="0"/>
                    <w:right w:val="single" w:color="000000" w:sz="4" w:space="0"/>
                  </w:tcBorders>
                  <w:vAlign w:val="center"/>
                </w:tcPr>
                <w:p w14:paraId="6E0CF663">
                  <w:pPr>
                    <w:adjustRightInd w:val="0"/>
                    <w:spacing w:line="360" w:lineRule="auto"/>
                    <w:jc w:val="center"/>
                    <w:rPr>
                      <w:color w:val="auto"/>
                    </w:rPr>
                  </w:pPr>
                  <w:r>
                    <w:rPr>
                      <w:rFonts w:hint="eastAsia"/>
                      <w:color w:val="auto"/>
                    </w:rPr>
                    <w:t>TSP</w:t>
                  </w:r>
                </w:p>
              </w:tc>
              <w:tc>
                <w:tcPr>
                  <w:tcW w:w="936" w:type="pct"/>
                  <w:tcBorders>
                    <w:left w:val="single" w:color="000000" w:sz="4" w:space="0"/>
                    <w:right w:val="single" w:color="000000" w:sz="4" w:space="0"/>
                  </w:tcBorders>
                  <w:vAlign w:val="center"/>
                </w:tcPr>
                <w:p w14:paraId="37B79169">
                  <w:pPr>
                    <w:adjustRightInd w:val="0"/>
                    <w:spacing w:line="360" w:lineRule="auto"/>
                    <w:jc w:val="center"/>
                    <w:rPr>
                      <w:rFonts w:hint="default" w:eastAsia="宋体"/>
                      <w:color w:val="auto"/>
                      <w:lang w:val="en-US" w:eastAsia="zh-CN"/>
                    </w:rPr>
                  </w:pPr>
                  <w:r>
                    <w:rPr>
                      <w:rFonts w:hint="default" w:eastAsia="宋体"/>
                      <w:color w:val="auto"/>
                      <w:lang w:val="en-US" w:eastAsia="zh-CN"/>
                    </w:rPr>
                    <w:t>2023年4月21日-4月23日</w:t>
                  </w:r>
                </w:p>
              </w:tc>
              <w:tc>
                <w:tcPr>
                  <w:tcW w:w="1226" w:type="pct"/>
                  <w:tcBorders>
                    <w:left w:val="single" w:color="000000" w:sz="4" w:space="0"/>
                    <w:right w:val="single" w:color="000000" w:sz="4" w:space="0"/>
                  </w:tcBorders>
                  <w:vAlign w:val="center"/>
                </w:tcPr>
                <w:p w14:paraId="4CAFFD18">
                  <w:pPr>
                    <w:adjustRightInd w:val="0"/>
                    <w:spacing w:line="360" w:lineRule="auto"/>
                    <w:jc w:val="center"/>
                    <w:rPr>
                      <w:rFonts w:hint="default" w:eastAsia="宋体"/>
                      <w:color w:val="auto"/>
                      <w:lang w:val="en-US" w:eastAsia="zh-CN"/>
                    </w:rPr>
                  </w:pPr>
                  <w:r>
                    <w:rPr>
                      <w:rFonts w:hint="eastAsia"/>
                      <w:color w:val="auto"/>
                      <w:lang w:val="en-US" w:eastAsia="zh-CN"/>
                    </w:rPr>
                    <w:t>东南测</w:t>
                  </w:r>
                </w:p>
              </w:tc>
              <w:tc>
                <w:tcPr>
                  <w:tcW w:w="904" w:type="pct"/>
                  <w:tcBorders>
                    <w:left w:val="single" w:color="000000" w:sz="4" w:space="0"/>
                    <w:right w:val="nil"/>
                  </w:tcBorders>
                  <w:vAlign w:val="center"/>
                </w:tcPr>
                <w:p w14:paraId="3F65FFEE">
                  <w:pPr>
                    <w:adjustRightInd w:val="0"/>
                    <w:spacing w:line="360" w:lineRule="auto"/>
                    <w:jc w:val="center"/>
                    <w:rPr>
                      <w:rFonts w:hint="default" w:eastAsia="宋体"/>
                      <w:color w:val="auto"/>
                      <w:lang w:val="en-US" w:eastAsia="zh-CN"/>
                    </w:rPr>
                  </w:pPr>
                  <w:r>
                    <w:rPr>
                      <w:rFonts w:hint="eastAsia"/>
                      <w:color w:val="auto"/>
                      <w:lang w:val="en-US" w:eastAsia="zh-CN"/>
                    </w:rPr>
                    <w:t>4300</w:t>
                  </w:r>
                </w:p>
              </w:tc>
            </w:tr>
          </w:tbl>
          <w:p w14:paraId="00F68B1B">
            <w:pPr>
              <w:spacing w:line="360" w:lineRule="auto"/>
              <w:ind w:firstLine="480" w:firstLineChars="200"/>
              <w:rPr>
                <w:snapToGrid w:val="0"/>
                <w:color w:val="auto"/>
                <w:sz w:val="24"/>
              </w:rPr>
            </w:pPr>
            <w:r>
              <w:rPr>
                <w:rFonts w:hint="eastAsia"/>
                <w:snapToGrid w:val="0"/>
                <w:color w:val="auto"/>
                <w:sz w:val="24"/>
              </w:rPr>
              <w:t>（3）监测结果</w:t>
            </w:r>
          </w:p>
          <w:p w14:paraId="04F862D8">
            <w:pPr>
              <w:adjustRightInd w:val="0"/>
              <w:jc w:val="center"/>
              <w:rPr>
                <w:b/>
                <w:bCs/>
                <w:color w:val="auto"/>
                <w:kern w:val="0"/>
                <w:sz w:val="24"/>
              </w:rPr>
            </w:pPr>
            <w:r>
              <w:rPr>
                <w:rFonts w:hint="eastAsia"/>
                <w:b/>
                <w:bCs/>
                <w:color w:val="auto"/>
                <w:kern w:val="0"/>
                <w:sz w:val="24"/>
              </w:rPr>
              <w:t>表3-3  其他污染物环境质量现状（监测结果）</w:t>
            </w:r>
          </w:p>
          <w:tbl>
            <w:tblPr>
              <w:tblStyle w:val="38"/>
              <w:tblW w:w="4998" w:type="pct"/>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589"/>
              <w:gridCol w:w="869"/>
              <w:gridCol w:w="806"/>
              <w:gridCol w:w="938"/>
              <w:gridCol w:w="1549"/>
              <w:gridCol w:w="1362"/>
              <w:gridCol w:w="886"/>
              <w:gridCol w:w="891"/>
            </w:tblGrid>
            <w:tr w14:paraId="7C84F91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4" w:hRule="atLeast"/>
                <w:jc w:val="center"/>
              </w:trPr>
              <w:tc>
                <w:tcPr>
                  <w:tcW w:w="894" w:type="pct"/>
                  <w:vMerge w:val="restart"/>
                  <w:tcBorders>
                    <w:left w:val="nil"/>
                    <w:right w:val="single" w:color="000000" w:sz="4" w:space="0"/>
                  </w:tcBorders>
                  <w:vAlign w:val="center"/>
                </w:tcPr>
                <w:p w14:paraId="059DEA60">
                  <w:pPr>
                    <w:adjustRightInd w:val="0"/>
                    <w:spacing w:line="360" w:lineRule="auto"/>
                    <w:jc w:val="center"/>
                    <w:rPr>
                      <w:color w:val="auto"/>
                    </w:rPr>
                  </w:pPr>
                  <w:r>
                    <w:rPr>
                      <w:rFonts w:hint="eastAsia"/>
                      <w:color w:val="auto"/>
                    </w:rPr>
                    <w:t>监测点位</w:t>
                  </w:r>
                </w:p>
              </w:tc>
              <w:tc>
                <w:tcPr>
                  <w:tcW w:w="489" w:type="pct"/>
                  <w:vMerge w:val="restart"/>
                  <w:tcBorders>
                    <w:left w:val="single" w:color="000000" w:sz="4" w:space="0"/>
                    <w:right w:val="single" w:color="000000" w:sz="4" w:space="0"/>
                  </w:tcBorders>
                  <w:vAlign w:val="center"/>
                </w:tcPr>
                <w:p w14:paraId="7BB26C01">
                  <w:pPr>
                    <w:adjustRightInd w:val="0"/>
                    <w:spacing w:line="360" w:lineRule="auto"/>
                    <w:jc w:val="center"/>
                    <w:rPr>
                      <w:color w:val="auto"/>
                    </w:rPr>
                  </w:pPr>
                  <w:r>
                    <w:rPr>
                      <w:rFonts w:hint="eastAsia"/>
                      <w:color w:val="auto"/>
                    </w:rPr>
                    <w:t>污染物</w:t>
                  </w:r>
                </w:p>
              </w:tc>
              <w:tc>
                <w:tcPr>
                  <w:tcW w:w="453" w:type="pct"/>
                  <w:vMerge w:val="restart"/>
                  <w:tcBorders>
                    <w:left w:val="single" w:color="000000" w:sz="4" w:space="0"/>
                    <w:right w:val="single" w:color="000000" w:sz="4" w:space="0"/>
                  </w:tcBorders>
                  <w:vAlign w:val="center"/>
                </w:tcPr>
                <w:p w14:paraId="213945BE">
                  <w:pPr>
                    <w:adjustRightInd w:val="0"/>
                    <w:spacing w:line="360" w:lineRule="auto"/>
                    <w:jc w:val="center"/>
                    <w:rPr>
                      <w:color w:val="auto"/>
                    </w:rPr>
                  </w:pPr>
                  <w:r>
                    <w:rPr>
                      <w:rFonts w:hint="eastAsia"/>
                      <w:color w:val="auto"/>
                    </w:rPr>
                    <w:t>平均时间</w:t>
                  </w:r>
                </w:p>
              </w:tc>
              <w:tc>
                <w:tcPr>
                  <w:tcW w:w="889" w:type="dxa"/>
                  <w:vMerge w:val="restart"/>
                  <w:tcBorders>
                    <w:left w:val="single" w:color="000000" w:sz="4" w:space="0"/>
                    <w:right w:val="single" w:color="000000" w:sz="4" w:space="0"/>
                  </w:tcBorders>
                  <w:vAlign w:val="center"/>
                </w:tcPr>
                <w:p w14:paraId="24BCA167">
                  <w:pPr>
                    <w:widowControl/>
                    <w:jc w:val="center"/>
                    <w:rPr>
                      <w:color w:val="auto"/>
                    </w:rPr>
                  </w:pPr>
                  <w:r>
                    <w:rPr>
                      <w:color w:val="auto"/>
                      <w:szCs w:val="21"/>
                    </w:rPr>
                    <w:t>评价标准（μg/m</w:t>
                  </w:r>
                  <w:r>
                    <w:rPr>
                      <w:color w:val="auto"/>
                      <w:szCs w:val="21"/>
                      <w:vertAlign w:val="superscript"/>
                    </w:rPr>
                    <w:t>3</w:t>
                  </w:r>
                  <w:r>
                    <w:rPr>
                      <w:color w:val="auto"/>
                      <w:szCs w:val="21"/>
                    </w:rPr>
                    <w:t>）</w:t>
                  </w:r>
                </w:p>
              </w:tc>
              <w:tc>
                <w:tcPr>
                  <w:tcW w:w="1548" w:type="dxa"/>
                  <w:vMerge w:val="restart"/>
                  <w:tcBorders>
                    <w:left w:val="single" w:color="000000" w:sz="4" w:space="0"/>
                    <w:right w:val="single" w:color="000000" w:sz="4" w:space="0"/>
                  </w:tcBorders>
                  <w:vAlign w:val="center"/>
                </w:tcPr>
                <w:p w14:paraId="2E01AE69">
                  <w:pPr>
                    <w:widowControl/>
                    <w:jc w:val="center"/>
                    <w:rPr>
                      <w:color w:val="auto"/>
                    </w:rPr>
                  </w:pPr>
                  <w:r>
                    <w:rPr>
                      <w:color w:val="auto"/>
                      <w:szCs w:val="21"/>
                    </w:rPr>
                    <w:t>监测浓度（μg/m</w:t>
                  </w:r>
                  <w:r>
                    <w:rPr>
                      <w:color w:val="auto"/>
                      <w:szCs w:val="21"/>
                      <w:vertAlign w:val="superscript"/>
                    </w:rPr>
                    <w:t>3</w:t>
                  </w:r>
                  <w:r>
                    <w:rPr>
                      <w:color w:val="auto"/>
                      <w:szCs w:val="21"/>
                    </w:rPr>
                    <w:t>）</w:t>
                  </w:r>
                </w:p>
              </w:tc>
              <w:tc>
                <w:tcPr>
                  <w:tcW w:w="766" w:type="pct"/>
                  <w:vMerge w:val="restart"/>
                  <w:tcBorders>
                    <w:left w:val="single" w:color="000000" w:sz="4" w:space="0"/>
                    <w:right w:val="single" w:color="000000" w:sz="4" w:space="0"/>
                  </w:tcBorders>
                  <w:vAlign w:val="center"/>
                </w:tcPr>
                <w:p w14:paraId="3200F783">
                  <w:pPr>
                    <w:adjustRightInd w:val="0"/>
                    <w:spacing w:line="360" w:lineRule="auto"/>
                    <w:jc w:val="center"/>
                    <w:rPr>
                      <w:color w:val="auto"/>
                    </w:rPr>
                  </w:pPr>
                  <w:r>
                    <w:rPr>
                      <w:rFonts w:hint="eastAsia"/>
                      <w:color w:val="auto"/>
                    </w:rPr>
                    <w:t>最大浓度占标率%</w:t>
                  </w:r>
                </w:p>
              </w:tc>
              <w:tc>
                <w:tcPr>
                  <w:tcW w:w="498" w:type="pct"/>
                  <w:vMerge w:val="restart"/>
                  <w:tcBorders>
                    <w:left w:val="single" w:color="000000" w:sz="4" w:space="0"/>
                    <w:right w:val="single" w:color="000000" w:sz="4" w:space="0"/>
                  </w:tcBorders>
                  <w:vAlign w:val="center"/>
                </w:tcPr>
                <w:p w14:paraId="2BBECA7B">
                  <w:pPr>
                    <w:adjustRightInd w:val="0"/>
                    <w:spacing w:line="360" w:lineRule="auto"/>
                    <w:jc w:val="center"/>
                    <w:rPr>
                      <w:color w:val="auto"/>
                    </w:rPr>
                  </w:pPr>
                  <w:r>
                    <w:rPr>
                      <w:rFonts w:hint="eastAsia"/>
                      <w:color w:val="auto"/>
                    </w:rPr>
                    <w:t>超标率%</w:t>
                  </w:r>
                </w:p>
              </w:tc>
              <w:tc>
                <w:tcPr>
                  <w:tcW w:w="501" w:type="pct"/>
                  <w:vMerge w:val="restart"/>
                  <w:tcBorders>
                    <w:left w:val="single" w:color="000000" w:sz="4" w:space="0"/>
                    <w:right w:val="nil"/>
                  </w:tcBorders>
                  <w:vAlign w:val="center"/>
                </w:tcPr>
                <w:p w14:paraId="0A25B59E">
                  <w:pPr>
                    <w:adjustRightInd w:val="0"/>
                    <w:spacing w:line="360" w:lineRule="auto"/>
                    <w:jc w:val="center"/>
                    <w:rPr>
                      <w:color w:val="auto"/>
                    </w:rPr>
                  </w:pPr>
                  <w:r>
                    <w:rPr>
                      <w:rFonts w:hint="eastAsia"/>
                      <w:color w:val="auto"/>
                    </w:rPr>
                    <w:t>达标情况</w:t>
                  </w:r>
                </w:p>
              </w:tc>
            </w:tr>
            <w:tr w14:paraId="53615A5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4" w:hRule="atLeast"/>
                <w:jc w:val="center"/>
              </w:trPr>
              <w:tc>
                <w:tcPr>
                  <w:tcW w:w="894" w:type="pct"/>
                  <w:vMerge w:val="continue"/>
                  <w:tcBorders>
                    <w:top w:val="nil"/>
                    <w:left w:val="nil"/>
                    <w:right w:val="single" w:color="000000" w:sz="4" w:space="0"/>
                  </w:tcBorders>
                  <w:vAlign w:val="center"/>
                </w:tcPr>
                <w:p w14:paraId="558B8DF3">
                  <w:pPr>
                    <w:adjustRightInd w:val="0"/>
                    <w:spacing w:line="360" w:lineRule="auto"/>
                    <w:jc w:val="center"/>
                    <w:rPr>
                      <w:color w:val="auto"/>
                    </w:rPr>
                  </w:pPr>
                </w:p>
              </w:tc>
              <w:tc>
                <w:tcPr>
                  <w:tcW w:w="489" w:type="pct"/>
                  <w:vMerge w:val="continue"/>
                  <w:tcBorders>
                    <w:top w:val="nil"/>
                    <w:left w:val="single" w:color="000000" w:sz="4" w:space="0"/>
                    <w:right w:val="single" w:color="000000" w:sz="4" w:space="0"/>
                  </w:tcBorders>
                  <w:vAlign w:val="center"/>
                </w:tcPr>
                <w:p w14:paraId="7480D874">
                  <w:pPr>
                    <w:adjustRightInd w:val="0"/>
                    <w:spacing w:line="360" w:lineRule="auto"/>
                    <w:jc w:val="center"/>
                    <w:rPr>
                      <w:color w:val="auto"/>
                    </w:rPr>
                  </w:pPr>
                </w:p>
              </w:tc>
              <w:tc>
                <w:tcPr>
                  <w:tcW w:w="453" w:type="pct"/>
                  <w:vMerge w:val="continue"/>
                  <w:tcBorders>
                    <w:top w:val="nil"/>
                    <w:left w:val="single" w:color="000000" w:sz="4" w:space="0"/>
                    <w:right w:val="single" w:color="000000" w:sz="4" w:space="0"/>
                  </w:tcBorders>
                  <w:vAlign w:val="center"/>
                </w:tcPr>
                <w:p w14:paraId="1F53AEBD">
                  <w:pPr>
                    <w:adjustRightInd w:val="0"/>
                    <w:spacing w:line="360" w:lineRule="auto"/>
                    <w:jc w:val="center"/>
                    <w:rPr>
                      <w:color w:val="auto"/>
                    </w:rPr>
                  </w:pPr>
                </w:p>
              </w:tc>
              <w:tc>
                <w:tcPr>
                  <w:tcW w:w="509" w:type="pct"/>
                  <w:vMerge w:val="continue"/>
                  <w:tcBorders>
                    <w:top w:val="nil"/>
                    <w:left w:val="single" w:color="000000" w:sz="4" w:space="0"/>
                    <w:right w:val="single" w:color="000000" w:sz="4" w:space="0"/>
                  </w:tcBorders>
                  <w:vAlign w:val="center"/>
                </w:tcPr>
                <w:p w14:paraId="5B5BE600">
                  <w:pPr>
                    <w:adjustRightInd w:val="0"/>
                    <w:spacing w:line="360" w:lineRule="auto"/>
                    <w:jc w:val="center"/>
                    <w:rPr>
                      <w:color w:val="auto"/>
                    </w:rPr>
                  </w:pPr>
                </w:p>
              </w:tc>
              <w:tc>
                <w:tcPr>
                  <w:tcW w:w="886" w:type="pct"/>
                  <w:vMerge w:val="continue"/>
                  <w:tcBorders>
                    <w:top w:val="nil"/>
                    <w:left w:val="single" w:color="000000" w:sz="4" w:space="0"/>
                    <w:right w:val="single" w:color="000000" w:sz="4" w:space="0"/>
                  </w:tcBorders>
                  <w:vAlign w:val="center"/>
                </w:tcPr>
                <w:p w14:paraId="4884A1E5">
                  <w:pPr>
                    <w:adjustRightInd w:val="0"/>
                    <w:spacing w:line="360" w:lineRule="auto"/>
                    <w:jc w:val="center"/>
                    <w:rPr>
                      <w:color w:val="auto"/>
                    </w:rPr>
                  </w:pPr>
                </w:p>
              </w:tc>
              <w:tc>
                <w:tcPr>
                  <w:tcW w:w="766" w:type="pct"/>
                  <w:vMerge w:val="continue"/>
                  <w:tcBorders>
                    <w:top w:val="nil"/>
                    <w:left w:val="single" w:color="000000" w:sz="4" w:space="0"/>
                    <w:right w:val="single" w:color="000000" w:sz="4" w:space="0"/>
                  </w:tcBorders>
                  <w:vAlign w:val="center"/>
                </w:tcPr>
                <w:p w14:paraId="317A26AB">
                  <w:pPr>
                    <w:adjustRightInd w:val="0"/>
                    <w:spacing w:line="360" w:lineRule="auto"/>
                    <w:jc w:val="center"/>
                    <w:rPr>
                      <w:color w:val="auto"/>
                    </w:rPr>
                  </w:pPr>
                </w:p>
              </w:tc>
              <w:tc>
                <w:tcPr>
                  <w:tcW w:w="498" w:type="pct"/>
                  <w:vMerge w:val="continue"/>
                  <w:tcBorders>
                    <w:top w:val="nil"/>
                    <w:left w:val="single" w:color="000000" w:sz="4" w:space="0"/>
                    <w:right w:val="single" w:color="000000" w:sz="4" w:space="0"/>
                  </w:tcBorders>
                  <w:vAlign w:val="center"/>
                </w:tcPr>
                <w:p w14:paraId="4DFA6E9C">
                  <w:pPr>
                    <w:adjustRightInd w:val="0"/>
                    <w:spacing w:line="360" w:lineRule="auto"/>
                    <w:jc w:val="center"/>
                    <w:rPr>
                      <w:color w:val="auto"/>
                    </w:rPr>
                  </w:pPr>
                </w:p>
              </w:tc>
              <w:tc>
                <w:tcPr>
                  <w:tcW w:w="501" w:type="pct"/>
                  <w:vMerge w:val="continue"/>
                  <w:tcBorders>
                    <w:top w:val="nil"/>
                    <w:left w:val="single" w:color="000000" w:sz="4" w:space="0"/>
                    <w:right w:val="nil"/>
                  </w:tcBorders>
                  <w:vAlign w:val="center"/>
                </w:tcPr>
                <w:p w14:paraId="76FD045F">
                  <w:pPr>
                    <w:adjustRightInd w:val="0"/>
                    <w:spacing w:line="360" w:lineRule="auto"/>
                    <w:jc w:val="center"/>
                    <w:rPr>
                      <w:color w:val="auto"/>
                    </w:rPr>
                  </w:pPr>
                </w:p>
              </w:tc>
            </w:tr>
            <w:tr w14:paraId="79852DF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jc w:val="center"/>
              </w:trPr>
              <w:tc>
                <w:tcPr>
                  <w:tcW w:w="894" w:type="pct"/>
                  <w:tcBorders>
                    <w:left w:val="nil"/>
                    <w:right w:val="single" w:color="000000" w:sz="4" w:space="0"/>
                  </w:tcBorders>
                  <w:vAlign w:val="center"/>
                </w:tcPr>
                <w:p w14:paraId="0777182E">
                  <w:pPr>
                    <w:adjustRightInd w:val="0"/>
                    <w:spacing w:line="360" w:lineRule="auto"/>
                    <w:jc w:val="center"/>
                    <w:rPr>
                      <w:color w:val="auto"/>
                    </w:rPr>
                  </w:pPr>
                  <w:r>
                    <w:rPr>
                      <w:rFonts w:hint="default" w:ascii="Times New Roman" w:hAnsi="Times New Roman" w:cs="Times New Roman"/>
                      <w:color w:val="auto"/>
                      <w:sz w:val="21"/>
                      <w:szCs w:val="21"/>
                    </w:rPr>
                    <w:t>环境质量现状补充监测点</w:t>
                  </w:r>
                </w:p>
              </w:tc>
              <w:tc>
                <w:tcPr>
                  <w:tcW w:w="489" w:type="pct"/>
                  <w:tcBorders>
                    <w:left w:val="single" w:color="000000" w:sz="4" w:space="0"/>
                    <w:right w:val="single" w:color="000000" w:sz="4" w:space="0"/>
                  </w:tcBorders>
                  <w:vAlign w:val="center"/>
                </w:tcPr>
                <w:p w14:paraId="7C67BF02">
                  <w:pPr>
                    <w:adjustRightInd w:val="0"/>
                    <w:spacing w:line="360" w:lineRule="auto"/>
                    <w:jc w:val="center"/>
                    <w:rPr>
                      <w:color w:val="auto"/>
                    </w:rPr>
                  </w:pPr>
                  <w:r>
                    <w:rPr>
                      <w:rFonts w:hint="eastAsia"/>
                      <w:color w:val="auto"/>
                    </w:rPr>
                    <w:t>TSP</w:t>
                  </w:r>
                </w:p>
              </w:tc>
              <w:tc>
                <w:tcPr>
                  <w:tcW w:w="453" w:type="pct"/>
                  <w:tcBorders>
                    <w:left w:val="single" w:color="000000" w:sz="4" w:space="0"/>
                    <w:right w:val="single" w:color="000000" w:sz="4" w:space="0"/>
                  </w:tcBorders>
                  <w:vAlign w:val="center"/>
                </w:tcPr>
                <w:p w14:paraId="100FFB12">
                  <w:pPr>
                    <w:adjustRightInd w:val="0"/>
                    <w:spacing w:line="360" w:lineRule="auto"/>
                    <w:jc w:val="center"/>
                    <w:rPr>
                      <w:color w:val="auto"/>
                    </w:rPr>
                  </w:pPr>
                  <w:r>
                    <w:rPr>
                      <w:rFonts w:hint="eastAsia"/>
                      <w:color w:val="auto"/>
                    </w:rPr>
                    <w:t>24h</w:t>
                  </w:r>
                </w:p>
              </w:tc>
              <w:tc>
                <w:tcPr>
                  <w:tcW w:w="889" w:type="dxa"/>
                  <w:tcBorders>
                    <w:left w:val="single" w:color="000000" w:sz="4" w:space="0"/>
                    <w:right w:val="single" w:color="000000" w:sz="4" w:space="0"/>
                  </w:tcBorders>
                  <w:vAlign w:val="center"/>
                </w:tcPr>
                <w:p w14:paraId="79F2B69D">
                  <w:pPr>
                    <w:widowControl/>
                    <w:jc w:val="center"/>
                    <w:rPr>
                      <w:color w:val="auto"/>
                    </w:rPr>
                  </w:pPr>
                  <w:r>
                    <w:rPr>
                      <w:rFonts w:hint="eastAsia"/>
                      <w:color w:val="auto"/>
                      <w:szCs w:val="21"/>
                    </w:rPr>
                    <w:t>300</w:t>
                  </w:r>
                </w:p>
              </w:tc>
              <w:tc>
                <w:tcPr>
                  <w:tcW w:w="1548" w:type="dxa"/>
                  <w:tcBorders>
                    <w:left w:val="single" w:color="000000" w:sz="4" w:space="0"/>
                    <w:right w:val="single" w:color="000000" w:sz="4" w:space="0"/>
                  </w:tcBorders>
                  <w:vAlign w:val="center"/>
                </w:tcPr>
                <w:p w14:paraId="781C91A3">
                  <w:pPr>
                    <w:widowControl/>
                    <w:jc w:val="center"/>
                    <w:rPr>
                      <w:rFonts w:hint="eastAsia" w:eastAsia="宋体"/>
                      <w:color w:val="auto"/>
                      <w:lang w:eastAsia="zh-CN"/>
                    </w:rPr>
                  </w:pPr>
                  <w:r>
                    <w:rPr>
                      <w:rFonts w:hint="eastAsia"/>
                      <w:color w:val="auto"/>
                      <w:szCs w:val="21"/>
                      <w:lang w:val="en-US" w:eastAsia="zh-CN"/>
                    </w:rPr>
                    <w:t>186</w:t>
                  </w:r>
                  <w:r>
                    <w:rPr>
                      <w:rFonts w:hint="eastAsia"/>
                      <w:color w:val="auto"/>
                      <w:szCs w:val="21"/>
                    </w:rPr>
                    <w:t>~21</w:t>
                  </w:r>
                  <w:r>
                    <w:rPr>
                      <w:rFonts w:hint="eastAsia"/>
                      <w:color w:val="auto"/>
                      <w:szCs w:val="21"/>
                      <w:lang w:val="en-US" w:eastAsia="zh-CN"/>
                    </w:rPr>
                    <w:t>0</w:t>
                  </w:r>
                </w:p>
              </w:tc>
              <w:tc>
                <w:tcPr>
                  <w:tcW w:w="766" w:type="pct"/>
                  <w:tcBorders>
                    <w:left w:val="single" w:color="000000" w:sz="4" w:space="0"/>
                    <w:right w:val="single" w:color="000000" w:sz="4" w:space="0"/>
                  </w:tcBorders>
                  <w:vAlign w:val="center"/>
                </w:tcPr>
                <w:p w14:paraId="418A4709">
                  <w:pPr>
                    <w:adjustRightInd w:val="0"/>
                    <w:spacing w:line="360" w:lineRule="auto"/>
                    <w:jc w:val="center"/>
                    <w:rPr>
                      <w:rFonts w:hint="default" w:eastAsia="宋体"/>
                      <w:color w:val="auto"/>
                      <w:lang w:val="en-US" w:eastAsia="zh-CN"/>
                    </w:rPr>
                  </w:pPr>
                  <w:r>
                    <w:rPr>
                      <w:rFonts w:hint="eastAsia"/>
                      <w:color w:val="auto"/>
                      <w:szCs w:val="21"/>
                      <w:lang w:val="en-US" w:eastAsia="zh-CN"/>
                    </w:rPr>
                    <w:t>70</w:t>
                  </w:r>
                </w:p>
              </w:tc>
              <w:tc>
                <w:tcPr>
                  <w:tcW w:w="498" w:type="pct"/>
                  <w:tcBorders>
                    <w:left w:val="single" w:color="000000" w:sz="4" w:space="0"/>
                    <w:right w:val="single" w:color="000000" w:sz="4" w:space="0"/>
                  </w:tcBorders>
                  <w:vAlign w:val="center"/>
                </w:tcPr>
                <w:p w14:paraId="29F701B7">
                  <w:pPr>
                    <w:adjustRightInd w:val="0"/>
                    <w:spacing w:line="360" w:lineRule="auto"/>
                    <w:jc w:val="center"/>
                    <w:rPr>
                      <w:color w:val="auto"/>
                    </w:rPr>
                  </w:pPr>
                  <w:r>
                    <w:rPr>
                      <w:rFonts w:hint="eastAsia"/>
                      <w:color w:val="auto"/>
                    </w:rPr>
                    <w:t>/</w:t>
                  </w:r>
                </w:p>
              </w:tc>
              <w:tc>
                <w:tcPr>
                  <w:tcW w:w="501" w:type="pct"/>
                  <w:tcBorders>
                    <w:left w:val="single" w:color="000000" w:sz="4" w:space="0"/>
                    <w:right w:val="nil"/>
                  </w:tcBorders>
                  <w:vAlign w:val="center"/>
                </w:tcPr>
                <w:p w14:paraId="4F668D7D">
                  <w:pPr>
                    <w:adjustRightInd w:val="0"/>
                    <w:spacing w:line="360" w:lineRule="auto"/>
                    <w:jc w:val="center"/>
                    <w:rPr>
                      <w:color w:val="auto"/>
                    </w:rPr>
                  </w:pPr>
                  <w:r>
                    <w:rPr>
                      <w:rFonts w:hint="eastAsia"/>
                      <w:color w:val="auto"/>
                    </w:rPr>
                    <w:t>达标</w:t>
                  </w:r>
                </w:p>
              </w:tc>
            </w:tr>
          </w:tbl>
          <w:p w14:paraId="14AE4CA6">
            <w:pPr>
              <w:spacing w:line="360" w:lineRule="auto"/>
              <w:ind w:firstLine="480" w:firstLineChars="200"/>
              <w:rPr>
                <w:snapToGrid w:val="0"/>
                <w:color w:val="auto"/>
                <w:sz w:val="24"/>
              </w:rPr>
            </w:pPr>
            <w:r>
              <w:rPr>
                <w:rFonts w:hint="eastAsia"/>
                <w:snapToGrid w:val="0"/>
                <w:color w:val="auto"/>
                <w:sz w:val="24"/>
              </w:rPr>
              <w:t>根据引用项目监测结果可知：项目环境空气质量现状监测点处颗粒物浓度满足《环境空气质量标准》（GB3095-2012）中二级标准限值。</w:t>
            </w:r>
          </w:p>
          <w:bookmarkEnd w:id="33"/>
          <w:bookmarkEnd w:id="34"/>
          <w:bookmarkEnd w:id="35"/>
          <w:bookmarkEnd w:id="36"/>
          <w:bookmarkEnd w:id="37"/>
          <w:bookmarkEnd w:id="38"/>
          <w:bookmarkEnd w:id="39"/>
          <w:bookmarkEnd w:id="40"/>
          <w:bookmarkEnd w:id="41"/>
          <w:bookmarkEnd w:id="42"/>
          <w:p w14:paraId="2D4E91DF">
            <w:pPr>
              <w:adjustRightInd w:val="0"/>
              <w:spacing w:line="360" w:lineRule="auto"/>
              <w:rPr>
                <w:rFonts w:eastAsia="黑体"/>
                <w:color w:val="auto"/>
                <w:kern w:val="18"/>
                <w:sz w:val="28"/>
                <w:szCs w:val="28"/>
              </w:rPr>
            </w:pPr>
            <w:r>
              <w:rPr>
                <w:rFonts w:eastAsia="黑体"/>
                <w:color w:val="auto"/>
                <w:kern w:val="0"/>
                <w:sz w:val="28"/>
                <w:szCs w:val="28"/>
              </w:rPr>
              <w:t>2、地表水环境质量部分现状</w:t>
            </w:r>
          </w:p>
          <w:p w14:paraId="6DBCAFBC">
            <w:pPr>
              <w:spacing w:line="360" w:lineRule="auto"/>
              <w:ind w:firstLine="480" w:firstLineChars="200"/>
              <w:rPr>
                <w:rFonts w:hint="default" w:ascii="Times New Roman" w:hAnsi="Times New Roman" w:eastAsia="宋体" w:cs="Times New Roman"/>
                <w:snapToGrid w:val="0"/>
                <w:color w:val="auto"/>
                <w:sz w:val="24"/>
              </w:rPr>
            </w:pPr>
            <w:r>
              <w:rPr>
                <w:rFonts w:hint="default" w:ascii="Times New Roman" w:hAnsi="Times New Roman" w:eastAsia="宋体" w:cs="Times New Roman"/>
                <w:snapToGrid w:val="0"/>
                <w:color w:val="auto"/>
                <w:sz w:val="24"/>
              </w:rPr>
              <w:t>根据佳木斯市人民政府发布的《202</w:t>
            </w:r>
            <w:r>
              <w:rPr>
                <w:rFonts w:hint="default" w:ascii="Times New Roman" w:hAnsi="Times New Roman" w:eastAsia="宋体" w:cs="Times New Roman"/>
                <w:snapToGrid w:val="0"/>
                <w:color w:val="auto"/>
                <w:sz w:val="24"/>
                <w:lang w:val="en-US" w:eastAsia="zh-CN"/>
              </w:rPr>
              <w:t>3</w:t>
            </w:r>
            <w:r>
              <w:rPr>
                <w:rFonts w:hint="default" w:ascii="Times New Roman" w:hAnsi="Times New Roman" w:eastAsia="宋体" w:cs="Times New Roman"/>
                <w:snapToGrid w:val="0"/>
                <w:color w:val="auto"/>
                <w:sz w:val="24"/>
              </w:rPr>
              <w:t>年佳木斯市环境质量简报》给出的数据，2023年，佳木斯市国、省控河流断面共12个，Ⅰ-Ⅲ类水质断面8个，比例为66.7%，同比持平，无劣Ⅴ类水质断面，总体水质状况为轻度污染。2023年，佳木斯市10个国家考核断面中，Ⅰ-Ⅲ类水质断面6个，比例为60.0%，同比持平。2023年，松花江佳木斯江段干流及支流断面共6个，Ⅰ-Ⅲ类水质比例为100%，无劣Ⅴ类水质断面，水质状况为优。</w:t>
            </w:r>
          </w:p>
          <w:p w14:paraId="25E9650C">
            <w:pPr>
              <w:adjustRightInd w:val="0"/>
              <w:spacing w:line="360" w:lineRule="auto"/>
              <w:rPr>
                <w:rFonts w:eastAsia="黑体"/>
                <w:color w:val="auto"/>
                <w:kern w:val="0"/>
                <w:sz w:val="28"/>
                <w:szCs w:val="28"/>
              </w:rPr>
            </w:pPr>
            <w:r>
              <w:rPr>
                <w:rFonts w:eastAsia="黑体"/>
                <w:color w:val="auto"/>
                <w:kern w:val="0"/>
                <w:sz w:val="28"/>
                <w:szCs w:val="28"/>
              </w:rPr>
              <w:t>3、声环境质量部分现状</w:t>
            </w:r>
          </w:p>
          <w:p w14:paraId="79541F1D">
            <w:pPr>
              <w:spacing w:line="360" w:lineRule="auto"/>
              <w:ind w:firstLine="480" w:firstLineChars="200"/>
              <w:rPr>
                <w:color w:val="auto"/>
                <w:sz w:val="24"/>
              </w:rPr>
            </w:pPr>
            <w:r>
              <w:rPr>
                <w:rFonts w:hint="eastAsia"/>
                <w:color w:val="auto"/>
                <w:sz w:val="24"/>
              </w:rPr>
              <w:t>本项目所在区域声环境功能区为</w:t>
            </w:r>
            <w:r>
              <w:rPr>
                <w:rFonts w:hint="eastAsia"/>
                <w:color w:val="auto"/>
                <w:sz w:val="24"/>
                <w:lang w:val="en-US" w:eastAsia="zh-CN"/>
              </w:rPr>
              <w:t>3</w:t>
            </w:r>
            <w:r>
              <w:rPr>
                <w:rFonts w:hint="eastAsia"/>
                <w:color w:val="auto"/>
                <w:sz w:val="24"/>
              </w:rPr>
              <w:t>类。执行《声环境质量标准》（GB3096-2008）</w:t>
            </w:r>
            <w:r>
              <w:rPr>
                <w:rFonts w:hint="eastAsia"/>
                <w:color w:val="auto"/>
                <w:sz w:val="24"/>
                <w:lang w:val="en-US" w:eastAsia="zh-CN"/>
              </w:rPr>
              <w:t>3</w:t>
            </w:r>
            <w:r>
              <w:rPr>
                <w:rFonts w:hint="eastAsia"/>
                <w:color w:val="auto"/>
                <w:sz w:val="24"/>
              </w:rPr>
              <w:t>类标准要求。</w:t>
            </w:r>
          </w:p>
          <w:p w14:paraId="3F5C30BC">
            <w:pPr>
              <w:spacing w:line="360" w:lineRule="auto"/>
              <w:ind w:firstLine="480" w:firstLineChars="200"/>
              <w:rPr>
                <w:color w:val="auto"/>
                <w:sz w:val="24"/>
              </w:rPr>
            </w:pPr>
            <w:r>
              <w:rPr>
                <w:color w:val="auto"/>
                <w:sz w:val="24"/>
              </w:rPr>
              <w:t>根据《建设项目环境影响报告表编制技术指南 （污染影响类）（试行）》中关于区域声环境质量现状中的要求，厂界外周边50米范围内存在声环境保护目标的建设项目，应监测保护目标声环境质量现状并评价达标情况，各点位应监测昼夜间噪声，监测时间不少于1天。本项目厂界外周边50米</w:t>
            </w:r>
            <w:r>
              <w:rPr>
                <w:rFonts w:hint="eastAsia"/>
                <w:color w:val="auto"/>
                <w:sz w:val="24"/>
              </w:rPr>
              <w:t>范围内无声环境保护目标，因此未进行声环境质量监测</w:t>
            </w:r>
            <w:r>
              <w:rPr>
                <w:color w:val="auto"/>
                <w:sz w:val="24"/>
              </w:rPr>
              <w:t>。</w:t>
            </w:r>
          </w:p>
          <w:p w14:paraId="5E806DFA">
            <w:pPr>
              <w:spacing w:line="360" w:lineRule="auto"/>
              <w:rPr>
                <w:color w:val="auto"/>
              </w:rPr>
            </w:pPr>
            <w:r>
              <w:rPr>
                <w:rFonts w:hint="eastAsia" w:eastAsia="黑体"/>
                <w:color w:val="auto"/>
                <w:kern w:val="0"/>
                <w:sz w:val="28"/>
                <w:szCs w:val="28"/>
              </w:rPr>
              <w:t>4、地下水、土壤环境质量部分现状</w:t>
            </w:r>
          </w:p>
          <w:p w14:paraId="06C39723">
            <w:pPr>
              <w:spacing w:line="360" w:lineRule="auto"/>
              <w:ind w:firstLine="480" w:firstLineChars="200"/>
              <w:rPr>
                <w:color w:val="auto"/>
                <w:kern w:val="0"/>
                <w:sz w:val="24"/>
                <w:szCs w:val="21"/>
              </w:rPr>
            </w:pPr>
            <w:r>
              <w:rPr>
                <w:rFonts w:hint="eastAsia"/>
                <w:color w:val="auto"/>
                <w:sz w:val="24"/>
                <w:lang w:eastAsia="zh-CN"/>
              </w:rPr>
              <w:t>本项目生活废水经厂区内的市政管网排入桦南县污水处理站；</w:t>
            </w:r>
            <w:r>
              <w:rPr>
                <w:rFonts w:hint="eastAsia" w:cs="Times New Roman"/>
                <w:smallCaps w:val="0"/>
                <w:color w:val="auto"/>
                <w:sz w:val="24"/>
                <w:szCs w:val="24"/>
                <w:highlight w:val="none"/>
                <w:lang w:val="en-US" w:eastAsia="zh-CN"/>
              </w:rPr>
              <w:t>生产废水包括锅炉排污水、设备清洗水、浸出废水，锅炉废水部分用于厂区洒水降尘和灰渣加湿，剩余部分和设备清洗水、浸出废水一同排入厂内污水处理站</w:t>
            </w:r>
            <w:r>
              <w:rPr>
                <w:rFonts w:hint="eastAsia"/>
                <w:color w:val="auto"/>
                <w:sz w:val="24"/>
                <w:lang w:eastAsia="zh-CN"/>
              </w:rPr>
              <w:t>。所有地面做防渗混凝土，将地下溶剂库座、事故池、危险废物贮存点作为重点防渗区。其中危险废物贮存点应符合《危险废物贮存污染控制标准》（GB18597—2023）要求，地下溶剂库座、事故池、危险废物贮存点要满足等效黏土层防渗层Mb≥6.0m，渗透系数K≤1.0×10-7cm/s的防渗要求；浸出车间、糠粕加工车间、液体油罐、固废暂存间等做一般防渗，浸出车间、糠粕加工车间、液体油罐、固废暂存间要满足等效黏土层防渗层Mb≥1.5m，渗透系数K≤1.0×10-7cm/s的防渗要求；厂区其他区域为简单防渗区，采取一般地面水泥硬化。；</w:t>
            </w:r>
            <w:r>
              <w:rPr>
                <w:color w:val="auto"/>
                <w:sz w:val="24"/>
              </w:rPr>
              <w:t>无地下水及土壤的污染途径，因此没有本底值的检测</w:t>
            </w:r>
          </w:p>
        </w:tc>
      </w:tr>
      <w:tr w14:paraId="51612F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62" w:type="pct"/>
            <w:vAlign w:val="center"/>
          </w:tcPr>
          <w:p w14:paraId="1FF9776D">
            <w:pPr>
              <w:adjustRightInd w:val="0"/>
              <w:snapToGrid w:val="0"/>
              <w:jc w:val="center"/>
              <w:rPr>
                <w:color w:val="auto"/>
                <w:kern w:val="0"/>
                <w:sz w:val="24"/>
                <w:szCs w:val="21"/>
              </w:rPr>
            </w:pPr>
            <w:r>
              <w:rPr>
                <w:color w:val="auto"/>
                <w:kern w:val="0"/>
                <w:sz w:val="24"/>
                <w:szCs w:val="21"/>
              </w:rPr>
              <w:t>环境</w:t>
            </w:r>
          </w:p>
          <w:p w14:paraId="1FBB0E4F">
            <w:pPr>
              <w:adjustRightInd w:val="0"/>
              <w:snapToGrid w:val="0"/>
              <w:jc w:val="center"/>
              <w:rPr>
                <w:color w:val="auto"/>
                <w:kern w:val="0"/>
                <w:sz w:val="24"/>
                <w:szCs w:val="21"/>
              </w:rPr>
            </w:pPr>
            <w:r>
              <w:rPr>
                <w:color w:val="auto"/>
                <w:kern w:val="0"/>
                <w:sz w:val="24"/>
                <w:szCs w:val="21"/>
              </w:rPr>
              <w:t>保护</w:t>
            </w:r>
          </w:p>
          <w:p w14:paraId="0195670E">
            <w:pPr>
              <w:adjustRightInd w:val="0"/>
              <w:snapToGrid w:val="0"/>
              <w:jc w:val="center"/>
              <w:rPr>
                <w:color w:val="auto"/>
                <w:kern w:val="0"/>
                <w:sz w:val="24"/>
                <w:szCs w:val="21"/>
              </w:rPr>
            </w:pPr>
            <w:r>
              <w:rPr>
                <w:color w:val="auto"/>
                <w:kern w:val="0"/>
                <w:sz w:val="24"/>
                <w:szCs w:val="21"/>
              </w:rPr>
              <w:t>目标</w:t>
            </w:r>
          </w:p>
        </w:tc>
        <w:tc>
          <w:tcPr>
            <w:tcW w:w="4637" w:type="pct"/>
          </w:tcPr>
          <w:p w14:paraId="3897E47D">
            <w:pPr>
              <w:spacing w:line="360" w:lineRule="auto"/>
              <w:ind w:firstLine="480" w:firstLineChars="200"/>
              <w:rPr>
                <w:color w:val="auto"/>
                <w:sz w:val="24"/>
              </w:rPr>
            </w:pPr>
            <w:r>
              <w:rPr>
                <w:rFonts w:hint="eastAsia"/>
                <w:color w:val="auto"/>
                <w:sz w:val="24"/>
              </w:rPr>
              <w:t>本项目位于黑龙江省佳木斯市桦南县双果路与龙兴街交叉口西南侧，项目东侧和北侧是道路，南侧是佳木斯六月土健康食品有限公司和西侧是先锋种业。。</w:t>
            </w:r>
          </w:p>
          <w:p w14:paraId="6B6B5E0C">
            <w:pPr>
              <w:spacing w:line="360" w:lineRule="auto"/>
              <w:ind w:firstLine="480" w:firstLineChars="200"/>
              <w:rPr>
                <w:color w:val="auto"/>
                <w:sz w:val="24"/>
              </w:rPr>
            </w:pPr>
            <w:r>
              <w:rPr>
                <w:color w:val="auto"/>
                <w:sz w:val="24"/>
              </w:rPr>
              <w:t>根据《建设项目环境影响报告表编制技术指南 （污染影响类）（试行）》中环境空气敏感保护目标为厂界外500m范围内，500m范围内</w:t>
            </w:r>
            <w:r>
              <w:rPr>
                <w:rFonts w:hint="eastAsia"/>
                <w:color w:val="auto"/>
                <w:sz w:val="24"/>
              </w:rPr>
              <w:t>不</w:t>
            </w:r>
            <w:r>
              <w:rPr>
                <w:color w:val="auto"/>
                <w:sz w:val="24"/>
              </w:rPr>
              <w:t>存在居民区</w:t>
            </w:r>
            <w:r>
              <w:rPr>
                <w:rFonts w:hint="eastAsia"/>
                <w:color w:val="auto"/>
                <w:sz w:val="24"/>
              </w:rPr>
              <w:t>。</w:t>
            </w:r>
          </w:p>
          <w:p w14:paraId="16B6E4B8">
            <w:pPr>
              <w:spacing w:line="360" w:lineRule="auto"/>
              <w:ind w:firstLine="480" w:firstLineChars="200"/>
              <w:rPr>
                <w:color w:val="auto"/>
                <w:sz w:val="24"/>
              </w:rPr>
            </w:pPr>
            <w:r>
              <w:rPr>
                <w:color w:val="auto"/>
                <w:sz w:val="24"/>
              </w:rPr>
              <w:t>本项目厂界外50m范围内无声环境保护目标。</w:t>
            </w:r>
          </w:p>
          <w:p w14:paraId="26542064">
            <w:pPr>
              <w:spacing w:line="360" w:lineRule="auto"/>
              <w:ind w:firstLine="480" w:firstLineChars="200"/>
              <w:rPr>
                <w:color w:val="auto"/>
              </w:rPr>
            </w:pPr>
            <w:r>
              <w:rPr>
                <w:color w:val="auto"/>
                <w:sz w:val="24"/>
              </w:rPr>
              <w:t>本项目厂界外厂界外500m范围内的地下水集中式饮用水水源和热水、矿泉水、温泉等特殊地下水资源。</w:t>
            </w:r>
          </w:p>
        </w:tc>
      </w:tr>
      <w:tr w14:paraId="007C7C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62" w:type="pct"/>
            <w:tcMar>
              <w:left w:w="28" w:type="dxa"/>
              <w:right w:w="28" w:type="dxa"/>
            </w:tcMar>
            <w:vAlign w:val="center"/>
          </w:tcPr>
          <w:p w14:paraId="3D4EDBF8">
            <w:pPr>
              <w:adjustRightInd w:val="0"/>
              <w:snapToGrid w:val="0"/>
              <w:jc w:val="center"/>
              <w:rPr>
                <w:color w:val="auto"/>
                <w:kern w:val="0"/>
                <w:sz w:val="24"/>
                <w:szCs w:val="21"/>
              </w:rPr>
            </w:pPr>
            <w:r>
              <w:rPr>
                <w:color w:val="auto"/>
                <w:kern w:val="0"/>
                <w:sz w:val="24"/>
                <w:szCs w:val="21"/>
              </w:rPr>
              <w:t>污染</w:t>
            </w:r>
          </w:p>
          <w:p w14:paraId="63073267">
            <w:pPr>
              <w:adjustRightInd w:val="0"/>
              <w:snapToGrid w:val="0"/>
              <w:jc w:val="center"/>
              <w:rPr>
                <w:color w:val="auto"/>
                <w:kern w:val="0"/>
                <w:sz w:val="24"/>
                <w:szCs w:val="21"/>
              </w:rPr>
            </w:pPr>
            <w:r>
              <w:rPr>
                <w:color w:val="auto"/>
                <w:kern w:val="0"/>
                <w:sz w:val="24"/>
                <w:szCs w:val="21"/>
              </w:rPr>
              <w:t>物排</w:t>
            </w:r>
          </w:p>
          <w:p w14:paraId="544B9006">
            <w:pPr>
              <w:adjustRightInd w:val="0"/>
              <w:snapToGrid w:val="0"/>
              <w:jc w:val="center"/>
              <w:rPr>
                <w:color w:val="auto"/>
                <w:kern w:val="0"/>
                <w:sz w:val="24"/>
                <w:szCs w:val="21"/>
              </w:rPr>
            </w:pPr>
            <w:r>
              <w:rPr>
                <w:color w:val="auto"/>
                <w:kern w:val="0"/>
                <w:sz w:val="24"/>
                <w:szCs w:val="21"/>
              </w:rPr>
              <w:t>放控</w:t>
            </w:r>
          </w:p>
          <w:p w14:paraId="1BC571F3">
            <w:pPr>
              <w:adjustRightInd w:val="0"/>
              <w:snapToGrid w:val="0"/>
              <w:jc w:val="center"/>
              <w:rPr>
                <w:color w:val="auto"/>
                <w:kern w:val="0"/>
                <w:sz w:val="24"/>
                <w:szCs w:val="21"/>
              </w:rPr>
            </w:pPr>
            <w:r>
              <w:rPr>
                <w:color w:val="auto"/>
                <w:kern w:val="0"/>
                <w:sz w:val="24"/>
                <w:szCs w:val="21"/>
              </w:rPr>
              <w:t>制标</w:t>
            </w:r>
          </w:p>
          <w:p w14:paraId="1599632F">
            <w:pPr>
              <w:adjustRightInd w:val="0"/>
              <w:snapToGrid w:val="0"/>
              <w:jc w:val="center"/>
              <w:rPr>
                <w:color w:val="auto"/>
                <w:kern w:val="0"/>
                <w:sz w:val="24"/>
                <w:szCs w:val="21"/>
              </w:rPr>
            </w:pPr>
            <w:r>
              <w:rPr>
                <w:color w:val="auto"/>
                <w:kern w:val="0"/>
                <w:sz w:val="24"/>
                <w:szCs w:val="21"/>
              </w:rPr>
              <w:t>准</w:t>
            </w:r>
          </w:p>
        </w:tc>
        <w:tc>
          <w:tcPr>
            <w:tcW w:w="4637" w:type="pct"/>
            <w:vAlign w:val="center"/>
          </w:tcPr>
          <w:p w14:paraId="09490BE4">
            <w:pPr>
              <w:spacing w:line="360" w:lineRule="auto"/>
              <w:ind w:firstLine="480" w:firstLineChars="200"/>
              <w:rPr>
                <w:color w:val="auto"/>
                <w:sz w:val="24"/>
              </w:rPr>
            </w:pPr>
            <w:r>
              <w:rPr>
                <w:rFonts w:hint="eastAsia"/>
                <w:color w:val="auto"/>
                <w:sz w:val="24"/>
              </w:rPr>
              <w:t>1、废气</w:t>
            </w:r>
          </w:p>
          <w:p w14:paraId="106B146F">
            <w:pPr>
              <w:spacing w:line="360" w:lineRule="auto"/>
              <w:ind w:firstLine="480" w:firstLineChars="200"/>
              <w:rPr>
                <w:color w:val="auto"/>
                <w:sz w:val="24"/>
              </w:rPr>
            </w:pPr>
            <w:r>
              <w:rPr>
                <w:color w:val="auto"/>
                <w:sz w:val="24"/>
              </w:rPr>
              <w:t>施工期产生的颗粒物执行《大气污染物综合排放标准》（GB16297-1996）表2新污染源大气污染物排放限值中的无组织排放监控浓度限值，即颗粒物无组织排放浓度为1mg/</w:t>
            </w:r>
            <w:r>
              <w:rPr>
                <w:color w:val="auto"/>
                <w:kern w:val="0"/>
                <w:sz w:val="24"/>
              </w:rPr>
              <w:t>m</w:t>
            </w:r>
            <w:r>
              <w:rPr>
                <w:color w:val="auto"/>
                <w:kern w:val="0"/>
                <w:sz w:val="24"/>
                <w:vertAlign w:val="superscript"/>
              </w:rPr>
              <w:t>3</w:t>
            </w:r>
            <w:r>
              <w:rPr>
                <w:color w:val="auto"/>
                <w:sz w:val="24"/>
              </w:rPr>
              <w:t>。</w:t>
            </w:r>
          </w:p>
          <w:p w14:paraId="0B463E11">
            <w:pPr>
              <w:spacing w:line="360" w:lineRule="auto"/>
              <w:ind w:firstLine="480" w:firstLineChars="200"/>
              <w:rPr>
                <w:color w:val="auto"/>
                <w:sz w:val="24"/>
              </w:rPr>
            </w:pPr>
            <w:r>
              <w:rPr>
                <w:rFonts w:hint="eastAsia"/>
                <w:color w:val="auto"/>
                <w:sz w:val="24"/>
              </w:rPr>
              <w:t>营运期产生的工艺废气有组织排放执行《大气污染物综合排放标准》（GB16297-1996）表2新污染源大气污染物排放限值二级标准限值，具体见下表。</w:t>
            </w:r>
          </w:p>
          <w:p w14:paraId="37F809CD">
            <w:pPr>
              <w:pStyle w:val="95"/>
              <w:ind w:firstLine="0"/>
              <w:rPr>
                <w:color w:val="auto"/>
              </w:rPr>
            </w:pPr>
            <w:r>
              <w:rPr>
                <w:rFonts w:hint="eastAsia"/>
                <w:color w:val="auto"/>
              </w:rPr>
              <w:t>表3-</w:t>
            </w:r>
            <w:r>
              <w:rPr>
                <w:rFonts w:hint="eastAsia"/>
                <w:color w:val="auto"/>
                <w:lang w:val="en-US" w:eastAsia="zh-CN"/>
              </w:rPr>
              <w:t>5</w:t>
            </w:r>
            <w:r>
              <w:rPr>
                <w:rFonts w:hint="eastAsia"/>
                <w:color w:val="auto"/>
              </w:rPr>
              <w:t xml:space="preserve"> 大气污染物综合排放标准（截选）</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914"/>
              <w:gridCol w:w="1202"/>
              <w:gridCol w:w="1561"/>
              <w:gridCol w:w="1561"/>
              <w:gridCol w:w="1561"/>
              <w:gridCol w:w="1563"/>
            </w:tblGrid>
            <w:tr w14:paraId="382FF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2" w:type="dxa"/>
                  <w:vMerge w:val="restart"/>
                  <w:vAlign w:val="center"/>
                </w:tcPr>
                <w:p w14:paraId="25BD55DB">
                  <w:pPr>
                    <w:snapToGrid w:val="0"/>
                    <w:jc w:val="center"/>
                    <w:rPr>
                      <w:color w:val="auto"/>
                      <w:szCs w:val="21"/>
                    </w:rPr>
                  </w:pPr>
                  <w:r>
                    <w:rPr>
                      <w:rFonts w:hint="eastAsia"/>
                      <w:color w:val="auto"/>
                      <w:szCs w:val="21"/>
                    </w:rPr>
                    <w:t>序号</w:t>
                  </w:r>
                </w:p>
              </w:tc>
              <w:tc>
                <w:tcPr>
                  <w:tcW w:w="817" w:type="dxa"/>
                  <w:vMerge w:val="restart"/>
                  <w:vAlign w:val="center"/>
                </w:tcPr>
                <w:p w14:paraId="2D3ABEDF">
                  <w:pPr>
                    <w:snapToGrid w:val="0"/>
                    <w:jc w:val="center"/>
                    <w:rPr>
                      <w:rFonts w:ascii="宋体" w:hAnsi="Courier New"/>
                      <w:color w:val="auto"/>
                      <w:szCs w:val="21"/>
                    </w:rPr>
                  </w:pPr>
                  <w:r>
                    <w:rPr>
                      <w:rFonts w:hint="eastAsia"/>
                      <w:color w:val="auto"/>
                      <w:szCs w:val="21"/>
                    </w:rPr>
                    <w:t>污染物</w:t>
                  </w:r>
                </w:p>
              </w:tc>
              <w:tc>
                <w:tcPr>
                  <w:tcW w:w="1074" w:type="dxa"/>
                  <w:vMerge w:val="restart"/>
                  <w:vAlign w:val="center"/>
                </w:tcPr>
                <w:p w14:paraId="0F927579">
                  <w:pPr>
                    <w:snapToGrid w:val="0"/>
                    <w:jc w:val="center"/>
                    <w:rPr>
                      <w:color w:val="auto"/>
                      <w:szCs w:val="21"/>
                    </w:rPr>
                  </w:pPr>
                  <w:r>
                    <w:rPr>
                      <w:rFonts w:hint="eastAsia"/>
                      <w:color w:val="auto"/>
                      <w:szCs w:val="21"/>
                    </w:rPr>
                    <w:t>最高允许排放浓度mg/m</w:t>
                  </w:r>
                  <w:r>
                    <w:rPr>
                      <w:rFonts w:hint="eastAsia"/>
                      <w:color w:val="auto"/>
                      <w:szCs w:val="21"/>
                      <w:vertAlign w:val="superscript"/>
                    </w:rPr>
                    <w:t>3</w:t>
                  </w:r>
                </w:p>
              </w:tc>
              <w:tc>
                <w:tcPr>
                  <w:tcW w:w="2790" w:type="dxa"/>
                  <w:gridSpan w:val="2"/>
                  <w:vAlign w:val="center"/>
                </w:tcPr>
                <w:p w14:paraId="6D07F1DF">
                  <w:pPr>
                    <w:snapToGrid w:val="0"/>
                    <w:jc w:val="center"/>
                    <w:rPr>
                      <w:color w:val="auto"/>
                      <w:szCs w:val="21"/>
                    </w:rPr>
                  </w:pPr>
                  <w:r>
                    <w:rPr>
                      <w:rFonts w:hint="eastAsia"/>
                      <w:color w:val="auto"/>
                      <w:szCs w:val="21"/>
                    </w:rPr>
                    <w:t>最高允许排放速率，kg/h</w:t>
                  </w:r>
                </w:p>
              </w:tc>
              <w:tc>
                <w:tcPr>
                  <w:tcW w:w="2791" w:type="dxa"/>
                  <w:gridSpan w:val="2"/>
                  <w:vAlign w:val="center"/>
                </w:tcPr>
                <w:p w14:paraId="21B01969">
                  <w:pPr>
                    <w:snapToGrid w:val="0"/>
                    <w:jc w:val="center"/>
                    <w:rPr>
                      <w:color w:val="auto"/>
                      <w:szCs w:val="21"/>
                    </w:rPr>
                  </w:pPr>
                  <w:r>
                    <w:rPr>
                      <w:rFonts w:hint="eastAsia"/>
                      <w:color w:val="auto"/>
                      <w:szCs w:val="21"/>
                    </w:rPr>
                    <w:t>无组织排放监控浓度限值</w:t>
                  </w:r>
                </w:p>
              </w:tc>
            </w:tr>
            <w:tr w14:paraId="77D49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2" w:type="dxa"/>
                  <w:vMerge w:val="continue"/>
                  <w:vAlign w:val="center"/>
                </w:tcPr>
                <w:p w14:paraId="2862B882">
                  <w:pPr>
                    <w:snapToGrid w:val="0"/>
                    <w:spacing w:before="113" w:beforeLines="35"/>
                    <w:jc w:val="center"/>
                    <w:rPr>
                      <w:color w:val="auto"/>
                      <w:szCs w:val="21"/>
                    </w:rPr>
                  </w:pPr>
                </w:p>
              </w:tc>
              <w:tc>
                <w:tcPr>
                  <w:tcW w:w="817" w:type="dxa"/>
                  <w:vMerge w:val="continue"/>
                  <w:vAlign w:val="center"/>
                </w:tcPr>
                <w:p w14:paraId="7E08A0EE">
                  <w:pPr>
                    <w:snapToGrid w:val="0"/>
                    <w:spacing w:before="113" w:beforeLines="35"/>
                    <w:jc w:val="center"/>
                    <w:rPr>
                      <w:rFonts w:ascii="宋体" w:hAnsi="Courier New"/>
                      <w:color w:val="auto"/>
                      <w:szCs w:val="21"/>
                    </w:rPr>
                  </w:pPr>
                </w:p>
              </w:tc>
              <w:tc>
                <w:tcPr>
                  <w:tcW w:w="1074" w:type="dxa"/>
                  <w:vMerge w:val="continue"/>
                  <w:vAlign w:val="center"/>
                </w:tcPr>
                <w:p w14:paraId="49667A04">
                  <w:pPr>
                    <w:snapToGrid w:val="0"/>
                    <w:spacing w:before="113" w:beforeLines="35"/>
                    <w:jc w:val="center"/>
                    <w:rPr>
                      <w:rFonts w:ascii="宋体" w:hAnsi="Courier New"/>
                      <w:color w:val="auto"/>
                      <w:szCs w:val="21"/>
                    </w:rPr>
                  </w:pPr>
                </w:p>
              </w:tc>
              <w:tc>
                <w:tcPr>
                  <w:tcW w:w="1395" w:type="dxa"/>
                  <w:vAlign w:val="center"/>
                </w:tcPr>
                <w:p w14:paraId="7E7421B1">
                  <w:pPr>
                    <w:snapToGrid w:val="0"/>
                    <w:jc w:val="center"/>
                    <w:rPr>
                      <w:color w:val="auto"/>
                      <w:szCs w:val="21"/>
                    </w:rPr>
                  </w:pPr>
                  <w:r>
                    <w:rPr>
                      <w:rFonts w:hint="eastAsia"/>
                      <w:color w:val="auto"/>
                      <w:szCs w:val="21"/>
                    </w:rPr>
                    <w:t>排气筒高度</w:t>
                  </w:r>
                </w:p>
              </w:tc>
              <w:tc>
                <w:tcPr>
                  <w:tcW w:w="1395" w:type="dxa"/>
                  <w:vAlign w:val="center"/>
                </w:tcPr>
                <w:p w14:paraId="7ADA044B">
                  <w:pPr>
                    <w:snapToGrid w:val="0"/>
                    <w:jc w:val="center"/>
                    <w:rPr>
                      <w:color w:val="auto"/>
                      <w:szCs w:val="21"/>
                    </w:rPr>
                  </w:pPr>
                  <w:r>
                    <w:rPr>
                      <w:rFonts w:hint="eastAsia"/>
                      <w:color w:val="auto"/>
                      <w:szCs w:val="21"/>
                    </w:rPr>
                    <w:t>二级</w:t>
                  </w:r>
                </w:p>
              </w:tc>
              <w:tc>
                <w:tcPr>
                  <w:tcW w:w="1395" w:type="dxa"/>
                  <w:vAlign w:val="center"/>
                </w:tcPr>
                <w:p w14:paraId="16C5BF4F">
                  <w:pPr>
                    <w:snapToGrid w:val="0"/>
                    <w:jc w:val="center"/>
                    <w:rPr>
                      <w:color w:val="auto"/>
                      <w:szCs w:val="21"/>
                    </w:rPr>
                  </w:pPr>
                  <w:r>
                    <w:rPr>
                      <w:rFonts w:hint="eastAsia"/>
                      <w:color w:val="auto"/>
                      <w:szCs w:val="21"/>
                    </w:rPr>
                    <w:t>监控点</w:t>
                  </w:r>
                </w:p>
              </w:tc>
              <w:tc>
                <w:tcPr>
                  <w:tcW w:w="1396" w:type="dxa"/>
                  <w:vAlign w:val="center"/>
                </w:tcPr>
                <w:p w14:paraId="1896617B">
                  <w:pPr>
                    <w:snapToGrid w:val="0"/>
                    <w:jc w:val="center"/>
                    <w:rPr>
                      <w:color w:val="auto"/>
                      <w:szCs w:val="21"/>
                    </w:rPr>
                  </w:pPr>
                  <w:r>
                    <w:rPr>
                      <w:rFonts w:hint="eastAsia"/>
                      <w:color w:val="auto"/>
                      <w:szCs w:val="21"/>
                    </w:rPr>
                    <w:t>浓度（mg/m</w:t>
                  </w:r>
                  <w:r>
                    <w:rPr>
                      <w:rFonts w:hint="eastAsia"/>
                      <w:color w:val="auto"/>
                      <w:szCs w:val="21"/>
                      <w:vertAlign w:val="superscript"/>
                    </w:rPr>
                    <w:t>3</w:t>
                  </w:r>
                  <w:r>
                    <w:rPr>
                      <w:rFonts w:hint="eastAsia"/>
                      <w:color w:val="auto"/>
                      <w:szCs w:val="21"/>
                    </w:rPr>
                    <w:t>）</w:t>
                  </w:r>
                </w:p>
              </w:tc>
            </w:tr>
            <w:tr w14:paraId="50E62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2" w:type="dxa"/>
                  <w:vAlign w:val="center"/>
                </w:tcPr>
                <w:p w14:paraId="2D352584">
                  <w:pPr>
                    <w:snapToGrid w:val="0"/>
                    <w:jc w:val="center"/>
                    <w:rPr>
                      <w:color w:val="auto"/>
                      <w:szCs w:val="21"/>
                    </w:rPr>
                  </w:pPr>
                  <w:r>
                    <w:rPr>
                      <w:rFonts w:hint="eastAsia"/>
                      <w:color w:val="auto"/>
                      <w:szCs w:val="21"/>
                    </w:rPr>
                    <w:t>1</w:t>
                  </w:r>
                </w:p>
              </w:tc>
              <w:tc>
                <w:tcPr>
                  <w:tcW w:w="817" w:type="dxa"/>
                  <w:vAlign w:val="center"/>
                </w:tcPr>
                <w:p w14:paraId="4FBBF3C6">
                  <w:pPr>
                    <w:snapToGrid w:val="0"/>
                    <w:jc w:val="center"/>
                    <w:rPr>
                      <w:color w:val="auto"/>
                      <w:szCs w:val="21"/>
                    </w:rPr>
                  </w:pPr>
                  <w:r>
                    <w:rPr>
                      <w:rFonts w:hint="eastAsia"/>
                      <w:color w:val="auto"/>
                      <w:szCs w:val="21"/>
                    </w:rPr>
                    <w:t>颗粒物</w:t>
                  </w:r>
                </w:p>
              </w:tc>
              <w:tc>
                <w:tcPr>
                  <w:tcW w:w="1074" w:type="dxa"/>
                  <w:vAlign w:val="center"/>
                </w:tcPr>
                <w:p w14:paraId="6AAC49F1">
                  <w:pPr>
                    <w:snapToGrid w:val="0"/>
                    <w:jc w:val="center"/>
                    <w:rPr>
                      <w:color w:val="auto"/>
                      <w:szCs w:val="21"/>
                    </w:rPr>
                  </w:pPr>
                  <w:r>
                    <w:rPr>
                      <w:rFonts w:hint="eastAsia"/>
                      <w:color w:val="auto"/>
                      <w:szCs w:val="21"/>
                    </w:rPr>
                    <w:t>120</w:t>
                  </w:r>
                </w:p>
                <w:p w14:paraId="0B803DE2">
                  <w:pPr>
                    <w:snapToGrid w:val="0"/>
                    <w:jc w:val="center"/>
                    <w:rPr>
                      <w:color w:val="auto"/>
                      <w:szCs w:val="21"/>
                    </w:rPr>
                  </w:pPr>
                  <w:r>
                    <w:rPr>
                      <w:rFonts w:hint="eastAsia"/>
                      <w:color w:val="auto"/>
                      <w:szCs w:val="21"/>
                    </w:rPr>
                    <w:t>（其他</w:t>
                  </w:r>
                  <w:r>
                    <w:rPr>
                      <w:rFonts w:hint="eastAsia"/>
                      <w:color w:val="auto"/>
                      <w:szCs w:val="21"/>
                      <w:lang w:eastAsia="zh-CN"/>
                    </w:rPr>
                    <w:t>，</w:t>
                  </w:r>
                  <w:r>
                    <w:rPr>
                      <w:rFonts w:hint="eastAsia"/>
                      <w:color w:val="auto"/>
                      <w:szCs w:val="21"/>
                      <w:lang w:val="en-US" w:eastAsia="zh-CN"/>
                    </w:rPr>
                    <w:t>严格50%执行</w:t>
                  </w:r>
                  <w:r>
                    <w:rPr>
                      <w:rFonts w:hint="eastAsia"/>
                      <w:color w:val="auto"/>
                      <w:szCs w:val="21"/>
                    </w:rPr>
                    <w:t>）</w:t>
                  </w:r>
                </w:p>
              </w:tc>
              <w:tc>
                <w:tcPr>
                  <w:tcW w:w="1395" w:type="dxa"/>
                  <w:vAlign w:val="center"/>
                </w:tcPr>
                <w:p w14:paraId="0BF91706">
                  <w:pPr>
                    <w:snapToGrid w:val="0"/>
                    <w:jc w:val="center"/>
                    <w:rPr>
                      <w:rFonts w:hint="default" w:eastAsia="宋体"/>
                      <w:color w:val="auto"/>
                      <w:szCs w:val="21"/>
                      <w:lang w:val="en-US" w:eastAsia="zh-CN"/>
                    </w:rPr>
                  </w:pPr>
                  <w:r>
                    <w:rPr>
                      <w:rFonts w:hint="eastAsia"/>
                      <w:color w:val="auto"/>
                      <w:szCs w:val="21"/>
                      <w:lang w:val="en-US" w:eastAsia="zh-CN"/>
                    </w:rPr>
                    <w:t>15</w:t>
                  </w:r>
                </w:p>
              </w:tc>
              <w:tc>
                <w:tcPr>
                  <w:tcW w:w="1395" w:type="dxa"/>
                  <w:vAlign w:val="center"/>
                </w:tcPr>
                <w:p w14:paraId="4C988F8D">
                  <w:pPr>
                    <w:snapToGrid w:val="0"/>
                    <w:jc w:val="center"/>
                    <w:rPr>
                      <w:rFonts w:hint="default" w:eastAsia="宋体"/>
                      <w:color w:val="auto"/>
                      <w:szCs w:val="21"/>
                      <w:lang w:val="en-US" w:eastAsia="zh-CN"/>
                    </w:rPr>
                  </w:pPr>
                  <w:r>
                    <w:rPr>
                      <w:rFonts w:hint="eastAsia"/>
                      <w:color w:val="auto"/>
                      <w:szCs w:val="21"/>
                      <w:lang w:val="en-US" w:eastAsia="zh-CN"/>
                    </w:rPr>
                    <w:t>1.75</w:t>
                  </w:r>
                </w:p>
              </w:tc>
              <w:tc>
                <w:tcPr>
                  <w:tcW w:w="1395" w:type="dxa"/>
                  <w:vAlign w:val="center"/>
                </w:tcPr>
                <w:p w14:paraId="1A5E7EFE">
                  <w:pPr>
                    <w:snapToGrid w:val="0"/>
                    <w:jc w:val="center"/>
                    <w:rPr>
                      <w:color w:val="auto"/>
                      <w:szCs w:val="21"/>
                    </w:rPr>
                  </w:pPr>
                  <w:r>
                    <w:rPr>
                      <w:rFonts w:hint="eastAsia"/>
                      <w:color w:val="auto"/>
                      <w:szCs w:val="21"/>
                    </w:rPr>
                    <w:t>周界外浓度</w:t>
                  </w:r>
                </w:p>
                <w:p w14:paraId="408FD573">
                  <w:pPr>
                    <w:snapToGrid w:val="0"/>
                    <w:jc w:val="center"/>
                    <w:rPr>
                      <w:color w:val="auto"/>
                      <w:szCs w:val="21"/>
                    </w:rPr>
                  </w:pPr>
                  <w:r>
                    <w:rPr>
                      <w:rFonts w:hint="eastAsia"/>
                      <w:color w:val="auto"/>
                      <w:szCs w:val="21"/>
                    </w:rPr>
                    <w:t>最高点</w:t>
                  </w:r>
                </w:p>
              </w:tc>
              <w:tc>
                <w:tcPr>
                  <w:tcW w:w="1396" w:type="dxa"/>
                  <w:vAlign w:val="center"/>
                </w:tcPr>
                <w:p w14:paraId="3B156F39">
                  <w:pPr>
                    <w:snapToGrid w:val="0"/>
                    <w:jc w:val="center"/>
                    <w:rPr>
                      <w:color w:val="auto"/>
                      <w:szCs w:val="21"/>
                    </w:rPr>
                  </w:pPr>
                  <w:r>
                    <w:rPr>
                      <w:rFonts w:hint="eastAsia"/>
                      <w:color w:val="auto"/>
                      <w:szCs w:val="21"/>
                    </w:rPr>
                    <w:t>1.0</w:t>
                  </w:r>
                </w:p>
              </w:tc>
            </w:tr>
            <w:tr w14:paraId="4E4C7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2" w:type="dxa"/>
                  <w:vAlign w:val="center"/>
                </w:tcPr>
                <w:p w14:paraId="0A649996">
                  <w:pPr>
                    <w:snapToGrid w:val="0"/>
                    <w:jc w:val="center"/>
                    <w:rPr>
                      <w:color w:val="auto"/>
                      <w:szCs w:val="21"/>
                    </w:rPr>
                  </w:pPr>
                  <w:r>
                    <w:rPr>
                      <w:rFonts w:hint="eastAsia"/>
                      <w:color w:val="auto"/>
                      <w:szCs w:val="21"/>
                    </w:rPr>
                    <w:t>2</w:t>
                  </w:r>
                </w:p>
              </w:tc>
              <w:tc>
                <w:tcPr>
                  <w:tcW w:w="817" w:type="dxa"/>
                  <w:vAlign w:val="center"/>
                </w:tcPr>
                <w:p w14:paraId="448EABC1">
                  <w:pPr>
                    <w:snapToGrid w:val="0"/>
                    <w:jc w:val="center"/>
                    <w:rPr>
                      <w:rFonts w:ascii="宋体" w:hAnsi="Courier New"/>
                      <w:color w:val="auto"/>
                      <w:szCs w:val="21"/>
                    </w:rPr>
                  </w:pPr>
                  <w:r>
                    <w:rPr>
                      <w:rFonts w:hint="eastAsia"/>
                      <w:color w:val="auto"/>
                      <w:szCs w:val="21"/>
                    </w:rPr>
                    <w:t>非甲烷总烃</w:t>
                  </w:r>
                </w:p>
              </w:tc>
              <w:tc>
                <w:tcPr>
                  <w:tcW w:w="1074" w:type="dxa"/>
                  <w:vAlign w:val="center"/>
                </w:tcPr>
                <w:p w14:paraId="12D782A6">
                  <w:pPr>
                    <w:snapToGrid w:val="0"/>
                    <w:jc w:val="center"/>
                    <w:rPr>
                      <w:color w:val="auto"/>
                      <w:szCs w:val="21"/>
                    </w:rPr>
                  </w:pPr>
                  <w:r>
                    <w:rPr>
                      <w:rFonts w:hint="eastAsia"/>
                      <w:color w:val="auto"/>
                      <w:szCs w:val="21"/>
                    </w:rPr>
                    <w:t>120</w:t>
                  </w:r>
                </w:p>
              </w:tc>
              <w:tc>
                <w:tcPr>
                  <w:tcW w:w="1395" w:type="dxa"/>
                  <w:vAlign w:val="center"/>
                </w:tcPr>
                <w:p w14:paraId="362DC006">
                  <w:pPr>
                    <w:snapToGrid w:val="0"/>
                    <w:jc w:val="center"/>
                    <w:rPr>
                      <w:rFonts w:hint="default" w:eastAsia="宋体"/>
                      <w:color w:val="auto"/>
                      <w:szCs w:val="21"/>
                      <w:lang w:val="en-US" w:eastAsia="zh-CN"/>
                    </w:rPr>
                  </w:pPr>
                  <w:r>
                    <w:rPr>
                      <w:rFonts w:hint="eastAsia"/>
                      <w:color w:val="auto"/>
                      <w:szCs w:val="21"/>
                      <w:lang w:val="en-US" w:eastAsia="zh-CN"/>
                    </w:rPr>
                    <w:t>15</w:t>
                  </w:r>
                </w:p>
              </w:tc>
              <w:tc>
                <w:tcPr>
                  <w:tcW w:w="1395" w:type="dxa"/>
                  <w:vAlign w:val="center"/>
                </w:tcPr>
                <w:p w14:paraId="4960B3EA">
                  <w:pPr>
                    <w:snapToGrid w:val="0"/>
                    <w:jc w:val="center"/>
                    <w:rPr>
                      <w:rFonts w:hint="default" w:eastAsia="宋体"/>
                      <w:color w:val="auto"/>
                      <w:szCs w:val="21"/>
                      <w:lang w:val="en-US" w:eastAsia="zh-CN"/>
                    </w:rPr>
                  </w:pPr>
                  <w:r>
                    <w:rPr>
                      <w:rFonts w:hint="eastAsia"/>
                      <w:color w:val="auto"/>
                      <w:szCs w:val="21"/>
                      <w:lang w:val="en-US" w:eastAsia="zh-CN"/>
                    </w:rPr>
                    <w:t>10</w:t>
                  </w:r>
                </w:p>
              </w:tc>
              <w:tc>
                <w:tcPr>
                  <w:tcW w:w="1395" w:type="dxa"/>
                  <w:vAlign w:val="center"/>
                </w:tcPr>
                <w:p w14:paraId="19E33FFD">
                  <w:pPr>
                    <w:snapToGrid w:val="0"/>
                    <w:jc w:val="center"/>
                    <w:rPr>
                      <w:color w:val="auto"/>
                      <w:szCs w:val="21"/>
                    </w:rPr>
                  </w:pPr>
                  <w:r>
                    <w:rPr>
                      <w:rFonts w:hint="eastAsia"/>
                      <w:color w:val="auto"/>
                      <w:szCs w:val="21"/>
                    </w:rPr>
                    <w:t>周界外浓度</w:t>
                  </w:r>
                </w:p>
                <w:p w14:paraId="38CA000C">
                  <w:pPr>
                    <w:snapToGrid w:val="0"/>
                    <w:jc w:val="center"/>
                    <w:rPr>
                      <w:color w:val="auto"/>
                      <w:szCs w:val="21"/>
                    </w:rPr>
                  </w:pPr>
                  <w:r>
                    <w:rPr>
                      <w:rFonts w:hint="eastAsia"/>
                      <w:color w:val="auto"/>
                      <w:szCs w:val="21"/>
                    </w:rPr>
                    <w:t>最高点</w:t>
                  </w:r>
                </w:p>
              </w:tc>
              <w:tc>
                <w:tcPr>
                  <w:tcW w:w="1396" w:type="dxa"/>
                  <w:vAlign w:val="center"/>
                </w:tcPr>
                <w:p w14:paraId="6BE9CF2E">
                  <w:pPr>
                    <w:snapToGrid w:val="0"/>
                    <w:jc w:val="center"/>
                    <w:rPr>
                      <w:color w:val="auto"/>
                      <w:szCs w:val="21"/>
                    </w:rPr>
                  </w:pPr>
                  <w:r>
                    <w:rPr>
                      <w:rFonts w:hint="eastAsia"/>
                      <w:color w:val="auto"/>
                      <w:szCs w:val="21"/>
                    </w:rPr>
                    <w:t>4.0</w:t>
                  </w:r>
                </w:p>
              </w:tc>
            </w:tr>
          </w:tbl>
          <w:p w14:paraId="4789BD48">
            <w:pPr>
              <w:spacing w:line="360" w:lineRule="auto"/>
              <w:ind w:firstLine="480" w:firstLineChars="200"/>
              <w:rPr>
                <w:color w:val="auto"/>
                <w:sz w:val="24"/>
              </w:rPr>
            </w:pPr>
            <w:r>
              <w:rPr>
                <w:rFonts w:hint="eastAsia"/>
                <w:color w:val="auto"/>
                <w:sz w:val="24"/>
              </w:rPr>
              <w:t>营运期产生的无组织正己烷排放执行《挥发性有机物无组织排放控制标准》（GB 37822-2019）附录A限值，具体见下表。</w:t>
            </w:r>
          </w:p>
          <w:p w14:paraId="441E5B77">
            <w:pPr>
              <w:pStyle w:val="95"/>
              <w:ind w:firstLine="0"/>
              <w:rPr>
                <w:color w:val="auto"/>
              </w:rPr>
            </w:pPr>
            <w:r>
              <w:rPr>
                <w:rFonts w:hint="eastAsia"/>
                <w:color w:val="auto"/>
              </w:rPr>
              <w:t>表3-</w:t>
            </w:r>
            <w:r>
              <w:rPr>
                <w:rFonts w:hint="eastAsia"/>
                <w:color w:val="auto"/>
                <w:lang w:val="en-US" w:eastAsia="zh-CN"/>
              </w:rPr>
              <w:t>6</w:t>
            </w:r>
            <w:r>
              <w:rPr>
                <w:rFonts w:hint="eastAsia"/>
                <w:color w:val="auto"/>
              </w:rPr>
              <w:t xml:space="preserve"> 挥发性有机物无组织排放控制标准                mg/m</w:t>
            </w:r>
            <w:r>
              <w:rPr>
                <w:rFonts w:hint="eastAsia"/>
                <w:color w:val="auto"/>
                <w:vertAlign w:val="superscript"/>
              </w:rPr>
              <w:t>3</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332"/>
              <w:gridCol w:w="1410"/>
              <w:gridCol w:w="1494"/>
              <w:gridCol w:w="3055"/>
              <w:gridCol w:w="1633"/>
            </w:tblGrid>
            <w:tr w14:paraId="10013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190" w:type="dxa"/>
                  <w:vAlign w:val="center"/>
                </w:tcPr>
                <w:p w14:paraId="6B9BCD53">
                  <w:pPr>
                    <w:widowControl/>
                    <w:jc w:val="center"/>
                    <w:rPr>
                      <w:color w:val="auto"/>
                      <w:kern w:val="0"/>
                      <w:szCs w:val="21"/>
                    </w:rPr>
                  </w:pPr>
                  <w:r>
                    <w:rPr>
                      <w:rFonts w:hint="eastAsia"/>
                      <w:color w:val="auto"/>
                      <w:kern w:val="0"/>
                      <w:szCs w:val="21"/>
                    </w:rPr>
                    <w:t>污染物项目</w:t>
                  </w:r>
                </w:p>
              </w:tc>
              <w:tc>
                <w:tcPr>
                  <w:tcW w:w="1260" w:type="dxa"/>
                  <w:vAlign w:val="center"/>
                </w:tcPr>
                <w:p w14:paraId="19348AF2">
                  <w:pPr>
                    <w:widowControl/>
                    <w:jc w:val="center"/>
                    <w:rPr>
                      <w:color w:val="auto"/>
                      <w:kern w:val="0"/>
                      <w:szCs w:val="21"/>
                    </w:rPr>
                  </w:pPr>
                  <w:r>
                    <w:rPr>
                      <w:rFonts w:hint="eastAsia"/>
                      <w:color w:val="auto"/>
                      <w:kern w:val="0"/>
                      <w:szCs w:val="21"/>
                    </w:rPr>
                    <w:t>排放限值</w:t>
                  </w:r>
                </w:p>
              </w:tc>
              <w:tc>
                <w:tcPr>
                  <w:tcW w:w="1335" w:type="dxa"/>
                  <w:vAlign w:val="center"/>
                </w:tcPr>
                <w:p w14:paraId="7537419B">
                  <w:pPr>
                    <w:widowControl/>
                    <w:jc w:val="center"/>
                    <w:rPr>
                      <w:color w:val="auto"/>
                      <w:kern w:val="0"/>
                      <w:szCs w:val="21"/>
                    </w:rPr>
                  </w:pPr>
                  <w:r>
                    <w:rPr>
                      <w:rFonts w:hint="eastAsia"/>
                      <w:color w:val="auto"/>
                      <w:kern w:val="0"/>
                      <w:szCs w:val="21"/>
                    </w:rPr>
                    <w:t>特别排放限值</w:t>
                  </w:r>
                </w:p>
              </w:tc>
              <w:tc>
                <w:tcPr>
                  <w:tcW w:w="2730" w:type="dxa"/>
                  <w:vAlign w:val="center"/>
                </w:tcPr>
                <w:p w14:paraId="28514B84">
                  <w:pPr>
                    <w:widowControl/>
                    <w:jc w:val="center"/>
                    <w:rPr>
                      <w:color w:val="auto"/>
                      <w:kern w:val="0"/>
                      <w:szCs w:val="21"/>
                    </w:rPr>
                  </w:pPr>
                  <w:r>
                    <w:rPr>
                      <w:rFonts w:hint="eastAsia"/>
                      <w:color w:val="auto"/>
                      <w:kern w:val="0"/>
                      <w:szCs w:val="21"/>
                    </w:rPr>
                    <w:t>限值含义</w:t>
                  </w:r>
                </w:p>
              </w:tc>
              <w:tc>
                <w:tcPr>
                  <w:tcW w:w="1459" w:type="dxa"/>
                  <w:vAlign w:val="center"/>
                </w:tcPr>
                <w:p w14:paraId="264DAF22">
                  <w:pPr>
                    <w:widowControl/>
                    <w:jc w:val="center"/>
                    <w:rPr>
                      <w:color w:val="auto"/>
                      <w:kern w:val="0"/>
                      <w:szCs w:val="21"/>
                    </w:rPr>
                  </w:pPr>
                  <w:r>
                    <w:rPr>
                      <w:rFonts w:hint="eastAsia"/>
                      <w:color w:val="auto"/>
                      <w:szCs w:val="21"/>
                    </w:rPr>
                    <w:t>无组织排放监控位置</w:t>
                  </w:r>
                </w:p>
              </w:tc>
            </w:tr>
            <w:tr w14:paraId="271A17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90" w:type="dxa"/>
                  <w:vMerge w:val="restart"/>
                  <w:vAlign w:val="center"/>
                </w:tcPr>
                <w:p w14:paraId="1A257C95">
                  <w:pPr>
                    <w:jc w:val="center"/>
                    <w:rPr>
                      <w:color w:val="auto"/>
                      <w:kern w:val="0"/>
                      <w:szCs w:val="21"/>
                    </w:rPr>
                  </w:pPr>
                  <w:r>
                    <w:rPr>
                      <w:rFonts w:hint="eastAsia"/>
                      <w:color w:val="auto"/>
                      <w:kern w:val="0"/>
                      <w:szCs w:val="21"/>
                    </w:rPr>
                    <w:t>NMHC</w:t>
                  </w:r>
                </w:p>
              </w:tc>
              <w:tc>
                <w:tcPr>
                  <w:tcW w:w="1260" w:type="dxa"/>
                  <w:vAlign w:val="center"/>
                </w:tcPr>
                <w:p w14:paraId="53ACA6F6">
                  <w:pPr>
                    <w:adjustRightInd w:val="0"/>
                    <w:snapToGrid w:val="0"/>
                    <w:jc w:val="center"/>
                    <w:textAlignment w:val="baseline"/>
                    <w:rPr>
                      <w:color w:val="auto"/>
                      <w:kern w:val="0"/>
                      <w:szCs w:val="21"/>
                    </w:rPr>
                  </w:pPr>
                  <w:r>
                    <w:rPr>
                      <w:rFonts w:hint="eastAsia"/>
                      <w:color w:val="auto"/>
                      <w:kern w:val="0"/>
                      <w:szCs w:val="21"/>
                    </w:rPr>
                    <w:t>10</w:t>
                  </w:r>
                </w:p>
              </w:tc>
              <w:tc>
                <w:tcPr>
                  <w:tcW w:w="1335" w:type="dxa"/>
                  <w:vAlign w:val="center"/>
                </w:tcPr>
                <w:p w14:paraId="5C8389DD">
                  <w:pPr>
                    <w:jc w:val="center"/>
                    <w:rPr>
                      <w:color w:val="auto"/>
                      <w:kern w:val="0"/>
                      <w:szCs w:val="21"/>
                    </w:rPr>
                  </w:pPr>
                  <w:r>
                    <w:rPr>
                      <w:rFonts w:hint="eastAsia"/>
                      <w:color w:val="auto"/>
                      <w:szCs w:val="21"/>
                    </w:rPr>
                    <w:t>6</w:t>
                  </w:r>
                </w:p>
              </w:tc>
              <w:tc>
                <w:tcPr>
                  <w:tcW w:w="2730" w:type="dxa"/>
                  <w:vAlign w:val="center"/>
                </w:tcPr>
                <w:p w14:paraId="396064E3">
                  <w:pPr>
                    <w:jc w:val="center"/>
                    <w:rPr>
                      <w:color w:val="auto"/>
                      <w:szCs w:val="21"/>
                    </w:rPr>
                  </w:pPr>
                  <w:r>
                    <w:rPr>
                      <w:rFonts w:hint="eastAsia"/>
                      <w:color w:val="auto"/>
                      <w:szCs w:val="21"/>
                    </w:rPr>
                    <w:t>监控点处1h平均浓度值</w:t>
                  </w:r>
                </w:p>
              </w:tc>
              <w:tc>
                <w:tcPr>
                  <w:tcW w:w="1459" w:type="dxa"/>
                  <w:vMerge w:val="restart"/>
                  <w:vAlign w:val="center"/>
                </w:tcPr>
                <w:p w14:paraId="7A620B9C">
                  <w:pPr>
                    <w:jc w:val="center"/>
                    <w:rPr>
                      <w:color w:val="auto"/>
                      <w:szCs w:val="21"/>
                    </w:rPr>
                  </w:pPr>
                  <w:r>
                    <w:rPr>
                      <w:rFonts w:hint="eastAsia"/>
                      <w:color w:val="auto"/>
                      <w:szCs w:val="21"/>
                    </w:rPr>
                    <w:t>在厂房外设置监控点</w:t>
                  </w:r>
                </w:p>
              </w:tc>
            </w:tr>
            <w:tr w14:paraId="068AD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1190" w:type="dxa"/>
                  <w:vMerge w:val="continue"/>
                  <w:vAlign w:val="center"/>
                </w:tcPr>
                <w:p w14:paraId="05B5A025">
                  <w:pPr>
                    <w:jc w:val="center"/>
                    <w:rPr>
                      <w:color w:val="auto"/>
                      <w:kern w:val="0"/>
                      <w:szCs w:val="21"/>
                    </w:rPr>
                  </w:pPr>
                </w:p>
              </w:tc>
              <w:tc>
                <w:tcPr>
                  <w:tcW w:w="1260" w:type="dxa"/>
                  <w:vAlign w:val="center"/>
                </w:tcPr>
                <w:p w14:paraId="40A14A50">
                  <w:pPr>
                    <w:adjustRightInd w:val="0"/>
                    <w:snapToGrid w:val="0"/>
                    <w:jc w:val="center"/>
                    <w:textAlignment w:val="baseline"/>
                    <w:rPr>
                      <w:color w:val="auto"/>
                      <w:kern w:val="0"/>
                      <w:szCs w:val="21"/>
                    </w:rPr>
                  </w:pPr>
                  <w:r>
                    <w:rPr>
                      <w:rFonts w:hint="eastAsia"/>
                      <w:color w:val="auto"/>
                      <w:kern w:val="0"/>
                      <w:szCs w:val="21"/>
                    </w:rPr>
                    <w:t>30</w:t>
                  </w:r>
                </w:p>
              </w:tc>
              <w:tc>
                <w:tcPr>
                  <w:tcW w:w="1335" w:type="dxa"/>
                  <w:vAlign w:val="center"/>
                </w:tcPr>
                <w:p w14:paraId="3EDF5D42">
                  <w:pPr>
                    <w:jc w:val="center"/>
                    <w:rPr>
                      <w:color w:val="auto"/>
                      <w:kern w:val="0"/>
                      <w:szCs w:val="21"/>
                    </w:rPr>
                  </w:pPr>
                  <w:r>
                    <w:rPr>
                      <w:rFonts w:hint="eastAsia"/>
                      <w:color w:val="auto"/>
                      <w:szCs w:val="21"/>
                    </w:rPr>
                    <w:t>20</w:t>
                  </w:r>
                </w:p>
              </w:tc>
              <w:tc>
                <w:tcPr>
                  <w:tcW w:w="2730" w:type="dxa"/>
                  <w:vAlign w:val="center"/>
                </w:tcPr>
                <w:p w14:paraId="3A548290">
                  <w:pPr>
                    <w:jc w:val="center"/>
                    <w:rPr>
                      <w:color w:val="auto"/>
                      <w:szCs w:val="21"/>
                    </w:rPr>
                  </w:pPr>
                  <w:r>
                    <w:rPr>
                      <w:rFonts w:hint="eastAsia"/>
                      <w:color w:val="auto"/>
                      <w:szCs w:val="21"/>
                    </w:rPr>
                    <w:t>监控点处任意一次浓度值</w:t>
                  </w:r>
                </w:p>
              </w:tc>
              <w:tc>
                <w:tcPr>
                  <w:tcW w:w="1459" w:type="dxa"/>
                  <w:vMerge w:val="continue"/>
                  <w:vAlign w:val="center"/>
                </w:tcPr>
                <w:p w14:paraId="6BC0E441">
                  <w:pPr>
                    <w:jc w:val="center"/>
                    <w:rPr>
                      <w:color w:val="auto"/>
                      <w:szCs w:val="21"/>
                    </w:rPr>
                  </w:pPr>
                </w:p>
              </w:tc>
            </w:tr>
          </w:tbl>
          <w:p w14:paraId="516F8E15">
            <w:pPr>
              <w:spacing w:line="360" w:lineRule="auto"/>
              <w:ind w:firstLine="480" w:firstLineChars="200"/>
              <w:rPr>
                <w:color w:val="auto"/>
                <w:sz w:val="24"/>
              </w:rPr>
            </w:pPr>
            <w:r>
              <w:rPr>
                <w:rFonts w:hint="eastAsia"/>
                <w:color w:val="auto"/>
                <w:sz w:val="24"/>
              </w:rPr>
              <w:t>营运期锅炉烟气排放执行《锅炉大气污染物排放标准》（GB13271-2014）表2中燃煤锅炉标准限值，具体见下表。</w:t>
            </w:r>
          </w:p>
          <w:p w14:paraId="0CC91BCC">
            <w:pPr>
              <w:pStyle w:val="95"/>
              <w:ind w:firstLine="0"/>
              <w:rPr>
                <w:color w:val="auto"/>
              </w:rPr>
            </w:pPr>
            <w:r>
              <w:rPr>
                <w:rFonts w:hint="eastAsia"/>
                <w:color w:val="auto"/>
              </w:rPr>
              <w:t>表3-</w:t>
            </w:r>
            <w:r>
              <w:rPr>
                <w:rFonts w:hint="eastAsia"/>
                <w:color w:val="auto"/>
                <w:lang w:val="en-US" w:eastAsia="zh-CN"/>
              </w:rPr>
              <w:t>7</w:t>
            </w:r>
            <w:r>
              <w:rPr>
                <w:rFonts w:hint="eastAsia"/>
                <w:color w:val="auto"/>
              </w:rPr>
              <w:t xml:space="preserve"> 大气污染物最高允许浓度</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103"/>
              <w:gridCol w:w="1104"/>
              <w:gridCol w:w="1145"/>
              <w:gridCol w:w="5567"/>
            </w:tblGrid>
            <w:tr w14:paraId="323DA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Align w:val="center"/>
                </w:tcPr>
                <w:p w14:paraId="22F6DB9C">
                  <w:pPr>
                    <w:widowControl/>
                    <w:jc w:val="center"/>
                    <w:rPr>
                      <w:color w:val="auto"/>
                      <w:kern w:val="0"/>
                      <w:szCs w:val="21"/>
                    </w:rPr>
                  </w:pPr>
                  <w:r>
                    <w:rPr>
                      <w:color w:val="auto"/>
                      <w:kern w:val="0"/>
                      <w:szCs w:val="21"/>
                    </w:rPr>
                    <w:t>排放方式</w:t>
                  </w:r>
                </w:p>
              </w:tc>
              <w:tc>
                <w:tcPr>
                  <w:tcW w:w="619" w:type="pct"/>
                  <w:vAlign w:val="center"/>
                </w:tcPr>
                <w:p w14:paraId="145993BF">
                  <w:pPr>
                    <w:widowControl/>
                    <w:jc w:val="center"/>
                    <w:rPr>
                      <w:color w:val="auto"/>
                      <w:kern w:val="0"/>
                      <w:szCs w:val="21"/>
                    </w:rPr>
                  </w:pPr>
                  <w:r>
                    <w:rPr>
                      <w:color w:val="auto"/>
                      <w:kern w:val="0"/>
                      <w:szCs w:val="21"/>
                    </w:rPr>
                    <w:t>控制项目</w:t>
                  </w:r>
                </w:p>
              </w:tc>
              <w:tc>
                <w:tcPr>
                  <w:tcW w:w="642" w:type="pct"/>
                  <w:vAlign w:val="center"/>
                </w:tcPr>
                <w:p w14:paraId="51A859EF">
                  <w:pPr>
                    <w:widowControl/>
                    <w:jc w:val="center"/>
                    <w:rPr>
                      <w:color w:val="auto"/>
                      <w:kern w:val="0"/>
                      <w:szCs w:val="21"/>
                    </w:rPr>
                  </w:pPr>
                  <w:r>
                    <w:rPr>
                      <w:color w:val="auto"/>
                      <w:kern w:val="0"/>
                      <w:szCs w:val="21"/>
                    </w:rPr>
                    <w:t>标准值</w:t>
                  </w:r>
                </w:p>
              </w:tc>
              <w:tc>
                <w:tcPr>
                  <w:tcW w:w="3120" w:type="pct"/>
                  <w:vAlign w:val="center"/>
                </w:tcPr>
                <w:p w14:paraId="4F7EB1F4">
                  <w:pPr>
                    <w:widowControl/>
                    <w:jc w:val="center"/>
                    <w:rPr>
                      <w:color w:val="auto"/>
                      <w:kern w:val="0"/>
                      <w:szCs w:val="21"/>
                    </w:rPr>
                  </w:pPr>
                  <w:r>
                    <w:rPr>
                      <w:color w:val="auto"/>
                      <w:kern w:val="0"/>
                      <w:szCs w:val="21"/>
                    </w:rPr>
                    <w:t>标准</w:t>
                  </w:r>
                </w:p>
              </w:tc>
            </w:tr>
            <w:tr w14:paraId="3F0C19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Merge w:val="restart"/>
                  <w:vAlign w:val="center"/>
                </w:tcPr>
                <w:p w14:paraId="3D613525">
                  <w:pPr>
                    <w:jc w:val="center"/>
                    <w:rPr>
                      <w:color w:val="auto"/>
                      <w:kern w:val="0"/>
                      <w:szCs w:val="21"/>
                    </w:rPr>
                  </w:pPr>
                  <w:r>
                    <w:rPr>
                      <w:color w:val="auto"/>
                      <w:kern w:val="0"/>
                      <w:szCs w:val="21"/>
                    </w:rPr>
                    <w:t>有组织</w:t>
                  </w:r>
                </w:p>
                <w:p w14:paraId="00819031">
                  <w:pPr>
                    <w:jc w:val="center"/>
                    <w:rPr>
                      <w:color w:val="auto"/>
                      <w:kern w:val="0"/>
                      <w:szCs w:val="21"/>
                    </w:rPr>
                  </w:pPr>
                  <w:r>
                    <w:rPr>
                      <w:color w:val="auto"/>
                      <w:kern w:val="0"/>
                      <w:szCs w:val="21"/>
                    </w:rPr>
                    <w:t>排放</w:t>
                  </w:r>
                </w:p>
              </w:tc>
              <w:tc>
                <w:tcPr>
                  <w:tcW w:w="619" w:type="pct"/>
                  <w:vAlign w:val="center"/>
                </w:tcPr>
                <w:p w14:paraId="7CD37A3A">
                  <w:pPr>
                    <w:adjustRightInd w:val="0"/>
                    <w:snapToGrid w:val="0"/>
                    <w:jc w:val="center"/>
                    <w:textAlignment w:val="baseline"/>
                    <w:rPr>
                      <w:color w:val="auto"/>
                      <w:kern w:val="0"/>
                      <w:szCs w:val="21"/>
                    </w:rPr>
                  </w:pPr>
                  <w:r>
                    <w:rPr>
                      <w:rFonts w:hint="eastAsia"/>
                      <w:color w:val="auto"/>
                      <w:kern w:val="0"/>
                      <w:szCs w:val="21"/>
                    </w:rPr>
                    <w:t>颗粒物</w:t>
                  </w:r>
                </w:p>
              </w:tc>
              <w:tc>
                <w:tcPr>
                  <w:tcW w:w="642" w:type="pct"/>
                  <w:vAlign w:val="center"/>
                </w:tcPr>
                <w:p w14:paraId="37104919">
                  <w:pPr>
                    <w:jc w:val="center"/>
                    <w:rPr>
                      <w:color w:val="auto"/>
                      <w:kern w:val="0"/>
                      <w:szCs w:val="21"/>
                    </w:rPr>
                  </w:pPr>
                  <w:r>
                    <w:rPr>
                      <w:rFonts w:hint="eastAsia"/>
                      <w:color w:val="auto"/>
                      <w:szCs w:val="21"/>
                    </w:rPr>
                    <w:t>50</w:t>
                  </w:r>
                  <w:r>
                    <w:rPr>
                      <w:color w:val="auto"/>
                      <w:szCs w:val="21"/>
                    </w:rPr>
                    <w:t>mg/m</w:t>
                  </w:r>
                  <w:r>
                    <w:rPr>
                      <w:color w:val="auto"/>
                      <w:szCs w:val="21"/>
                      <w:vertAlign w:val="superscript"/>
                    </w:rPr>
                    <w:t>3</w:t>
                  </w:r>
                </w:p>
              </w:tc>
              <w:tc>
                <w:tcPr>
                  <w:tcW w:w="3120" w:type="pct"/>
                  <w:vMerge w:val="restart"/>
                  <w:vAlign w:val="center"/>
                </w:tcPr>
                <w:p w14:paraId="7CE8A40F">
                  <w:pPr>
                    <w:widowControl/>
                    <w:jc w:val="center"/>
                    <w:rPr>
                      <w:color w:val="auto"/>
                      <w:kern w:val="0"/>
                      <w:szCs w:val="21"/>
                    </w:rPr>
                  </w:pPr>
                  <w:r>
                    <w:rPr>
                      <w:rFonts w:hint="eastAsia"/>
                      <w:bCs/>
                      <w:color w:val="auto"/>
                      <w:szCs w:val="21"/>
                    </w:rPr>
                    <w:t>《锅炉大气污染物排放标准》（GB13271-2014）</w:t>
                  </w:r>
                </w:p>
              </w:tc>
            </w:tr>
            <w:tr w14:paraId="01511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Merge w:val="continue"/>
                  <w:vAlign w:val="center"/>
                </w:tcPr>
                <w:p w14:paraId="5913FBE7">
                  <w:pPr>
                    <w:jc w:val="center"/>
                    <w:rPr>
                      <w:color w:val="auto"/>
                      <w:kern w:val="0"/>
                      <w:szCs w:val="21"/>
                    </w:rPr>
                  </w:pPr>
                </w:p>
              </w:tc>
              <w:tc>
                <w:tcPr>
                  <w:tcW w:w="619" w:type="pct"/>
                  <w:vAlign w:val="center"/>
                </w:tcPr>
                <w:p w14:paraId="277DF2BA">
                  <w:pPr>
                    <w:adjustRightInd w:val="0"/>
                    <w:snapToGrid w:val="0"/>
                    <w:jc w:val="center"/>
                    <w:textAlignment w:val="baseline"/>
                    <w:rPr>
                      <w:color w:val="auto"/>
                      <w:kern w:val="0"/>
                      <w:szCs w:val="21"/>
                    </w:rPr>
                  </w:pPr>
                  <w:r>
                    <w:rPr>
                      <w:rFonts w:hint="eastAsia"/>
                      <w:color w:val="auto"/>
                      <w:szCs w:val="21"/>
                    </w:rPr>
                    <w:t>SO</w:t>
                  </w:r>
                  <w:r>
                    <w:rPr>
                      <w:rFonts w:hint="eastAsia"/>
                      <w:color w:val="auto"/>
                      <w:szCs w:val="21"/>
                      <w:vertAlign w:val="subscript"/>
                    </w:rPr>
                    <w:t>2</w:t>
                  </w:r>
                </w:p>
              </w:tc>
              <w:tc>
                <w:tcPr>
                  <w:tcW w:w="642" w:type="pct"/>
                  <w:vAlign w:val="center"/>
                </w:tcPr>
                <w:p w14:paraId="6D8F51D9">
                  <w:pPr>
                    <w:jc w:val="center"/>
                    <w:rPr>
                      <w:color w:val="auto"/>
                      <w:kern w:val="0"/>
                      <w:szCs w:val="21"/>
                    </w:rPr>
                  </w:pPr>
                  <w:r>
                    <w:rPr>
                      <w:rFonts w:hint="eastAsia"/>
                      <w:color w:val="auto"/>
                      <w:szCs w:val="21"/>
                    </w:rPr>
                    <w:t>300</w:t>
                  </w:r>
                  <w:r>
                    <w:rPr>
                      <w:color w:val="auto"/>
                      <w:szCs w:val="21"/>
                    </w:rPr>
                    <w:t>mg/m</w:t>
                  </w:r>
                  <w:r>
                    <w:rPr>
                      <w:color w:val="auto"/>
                      <w:szCs w:val="21"/>
                      <w:vertAlign w:val="superscript"/>
                    </w:rPr>
                    <w:t>3</w:t>
                  </w:r>
                </w:p>
              </w:tc>
              <w:tc>
                <w:tcPr>
                  <w:tcW w:w="3120" w:type="pct"/>
                  <w:vMerge w:val="continue"/>
                  <w:vAlign w:val="center"/>
                </w:tcPr>
                <w:p w14:paraId="2B7F7433">
                  <w:pPr>
                    <w:widowControl/>
                    <w:jc w:val="center"/>
                    <w:rPr>
                      <w:color w:val="auto"/>
                      <w:kern w:val="0"/>
                      <w:szCs w:val="21"/>
                    </w:rPr>
                  </w:pPr>
                </w:p>
              </w:tc>
            </w:tr>
            <w:tr w14:paraId="34A253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Merge w:val="continue"/>
                  <w:vAlign w:val="center"/>
                </w:tcPr>
                <w:p w14:paraId="208FE599">
                  <w:pPr>
                    <w:widowControl/>
                    <w:jc w:val="center"/>
                    <w:rPr>
                      <w:color w:val="auto"/>
                      <w:kern w:val="0"/>
                      <w:szCs w:val="21"/>
                    </w:rPr>
                  </w:pPr>
                </w:p>
              </w:tc>
              <w:tc>
                <w:tcPr>
                  <w:tcW w:w="619" w:type="pct"/>
                  <w:vAlign w:val="center"/>
                </w:tcPr>
                <w:p w14:paraId="6C5D18BD">
                  <w:pPr>
                    <w:adjustRightInd w:val="0"/>
                    <w:snapToGrid w:val="0"/>
                    <w:jc w:val="center"/>
                    <w:textAlignment w:val="baseline"/>
                    <w:rPr>
                      <w:color w:val="auto"/>
                      <w:kern w:val="0"/>
                      <w:szCs w:val="21"/>
                    </w:rPr>
                  </w:pPr>
                  <w:r>
                    <w:rPr>
                      <w:rFonts w:hint="eastAsia"/>
                      <w:color w:val="auto"/>
                      <w:szCs w:val="21"/>
                    </w:rPr>
                    <w:t>NO</w:t>
                  </w:r>
                  <w:r>
                    <w:rPr>
                      <w:rFonts w:hint="eastAsia"/>
                      <w:color w:val="auto"/>
                      <w:szCs w:val="21"/>
                      <w:vertAlign w:val="subscript"/>
                    </w:rPr>
                    <w:t>x</w:t>
                  </w:r>
                </w:p>
              </w:tc>
              <w:tc>
                <w:tcPr>
                  <w:tcW w:w="642" w:type="pct"/>
                  <w:vAlign w:val="center"/>
                </w:tcPr>
                <w:p w14:paraId="0776FED7">
                  <w:pPr>
                    <w:jc w:val="center"/>
                    <w:rPr>
                      <w:color w:val="auto"/>
                      <w:kern w:val="0"/>
                      <w:szCs w:val="21"/>
                    </w:rPr>
                  </w:pPr>
                  <w:r>
                    <w:rPr>
                      <w:rFonts w:hint="eastAsia"/>
                      <w:color w:val="auto"/>
                      <w:szCs w:val="21"/>
                    </w:rPr>
                    <w:t>300</w:t>
                  </w:r>
                  <w:r>
                    <w:rPr>
                      <w:color w:val="auto"/>
                      <w:szCs w:val="21"/>
                    </w:rPr>
                    <w:t>mg/m</w:t>
                  </w:r>
                  <w:r>
                    <w:rPr>
                      <w:color w:val="auto"/>
                      <w:szCs w:val="21"/>
                      <w:vertAlign w:val="superscript"/>
                    </w:rPr>
                    <w:t>3</w:t>
                  </w:r>
                </w:p>
              </w:tc>
              <w:tc>
                <w:tcPr>
                  <w:tcW w:w="3120" w:type="pct"/>
                  <w:vMerge w:val="continue"/>
                  <w:vAlign w:val="center"/>
                </w:tcPr>
                <w:p w14:paraId="770BE17C">
                  <w:pPr>
                    <w:widowControl/>
                    <w:jc w:val="center"/>
                    <w:rPr>
                      <w:color w:val="auto"/>
                      <w:kern w:val="0"/>
                      <w:szCs w:val="21"/>
                    </w:rPr>
                  </w:pPr>
                </w:p>
              </w:tc>
            </w:tr>
            <w:tr w14:paraId="7A346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Merge w:val="continue"/>
                  <w:vAlign w:val="center"/>
                </w:tcPr>
                <w:p w14:paraId="754BBC09">
                  <w:pPr>
                    <w:widowControl/>
                    <w:jc w:val="center"/>
                    <w:rPr>
                      <w:color w:val="auto"/>
                      <w:kern w:val="0"/>
                      <w:szCs w:val="21"/>
                    </w:rPr>
                  </w:pPr>
                </w:p>
              </w:tc>
              <w:tc>
                <w:tcPr>
                  <w:tcW w:w="619" w:type="pct"/>
                  <w:vAlign w:val="center"/>
                </w:tcPr>
                <w:p w14:paraId="24D52E53">
                  <w:pPr>
                    <w:adjustRightInd w:val="0"/>
                    <w:snapToGrid w:val="0"/>
                    <w:jc w:val="center"/>
                    <w:textAlignment w:val="baseline"/>
                    <w:rPr>
                      <w:color w:val="auto"/>
                      <w:szCs w:val="21"/>
                    </w:rPr>
                  </w:pPr>
                  <w:r>
                    <w:rPr>
                      <w:rFonts w:hint="eastAsia"/>
                      <w:color w:val="auto"/>
                      <w:szCs w:val="21"/>
                    </w:rPr>
                    <w:t>汞</w:t>
                  </w:r>
                </w:p>
              </w:tc>
              <w:tc>
                <w:tcPr>
                  <w:tcW w:w="642" w:type="pct"/>
                  <w:vAlign w:val="center"/>
                </w:tcPr>
                <w:p w14:paraId="26770BAF">
                  <w:pPr>
                    <w:jc w:val="center"/>
                    <w:rPr>
                      <w:color w:val="auto"/>
                      <w:szCs w:val="21"/>
                    </w:rPr>
                  </w:pPr>
                  <w:r>
                    <w:rPr>
                      <w:rFonts w:hint="eastAsia"/>
                      <w:color w:val="auto"/>
                      <w:szCs w:val="21"/>
                    </w:rPr>
                    <w:t>0.05mg/m</w:t>
                  </w:r>
                  <w:r>
                    <w:rPr>
                      <w:rFonts w:hint="eastAsia"/>
                      <w:color w:val="auto"/>
                      <w:szCs w:val="21"/>
                      <w:vertAlign w:val="superscript"/>
                    </w:rPr>
                    <w:t>3</w:t>
                  </w:r>
                </w:p>
              </w:tc>
              <w:tc>
                <w:tcPr>
                  <w:tcW w:w="3120" w:type="pct"/>
                  <w:vMerge w:val="continue"/>
                  <w:vAlign w:val="center"/>
                </w:tcPr>
                <w:p w14:paraId="3B440FD1">
                  <w:pPr>
                    <w:widowControl/>
                    <w:jc w:val="center"/>
                    <w:rPr>
                      <w:color w:val="auto"/>
                      <w:kern w:val="0"/>
                      <w:szCs w:val="21"/>
                    </w:rPr>
                  </w:pPr>
                </w:p>
              </w:tc>
            </w:tr>
            <w:tr w14:paraId="18903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18" w:type="pct"/>
                  <w:vMerge w:val="continue"/>
                  <w:vAlign w:val="center"/>
                </w:tcPr>
                <w:p w14:paraId="021AEBE6">
                  <w:pPr>
                    <w:widowControl/>
                    <w:jc w:val="center"/>
                    <w:rPr>
                      <w:color w:val="auto"/>
                      <w:kern w:val="0"/>
                      <w:szCs w:val="21"/>
                    </w:rPr>
                  </w:pPr>
                </w:p>
              </w:tc>
              <w:tc>
                <w:tcPr>
                  <w:tcW w:w="619" w:type="pct"/>
                  <w:vAlign w:val="center"/>
                </w:tcPr>
                <w:p w14:paraId="12B6E0CA">
                  <w:pPr>
                    <w:adjustRightInd w:val="0"/>
                    <w:snapToGrid w:val="0"/>
                    <w:jc w:val="center"/>
                    <w:textAlignment w:val="baseline"/>
                    <w:rPr>
                      <w:color w:val="auto"/>
                      <w:szCs w:val="21"/>
                    </w:rPr>
                  </w:pPr>
                  <w:r>
                    <w:rPr>
                      <w:rFonts w:hint="eastAsia"/>
                      <w:color w:val="auto"/>
                      <w:szCs w:val="21"/>
                    </w:rPr>
                    <w:t>烟气灰度</w:t>
                  </w:r>
                </w:p>
              </w:tc>
              <w:tc>
                <w:tcPr>
                  <w:tcW w:w="642" w:type="pct"/>
                  <w:vAlign w:val="center"/>
                </w:tcPr>
                <w:p w14:paraId="61C40C4E">
                  <w:pPr>
                    <w:jc w:val="center"/>
                    <w:rPr>
                      <w:color w:val="auto"/>
                      <w:szCs w:val="21"/>
                    </w:rPr>
                  </w:pPr>
                  <w:r>
                    <w:rPr>
                      <w:rFonts w:hint="eastAsia"/>
                      <w:color w:val="auto"/>
                      <w:szCs w:val="21"/>
                    </w:rPr>
                    <w:t>≤1</w:t>
                  </w:r>
                  <w:r>
                    <w:rPr>
                      <w:color w:val="auto"/>
                      <w:szCs w:val="21"/>
                    </w:rPr>
                    <w:t>mg/m</w:t>
                  </w:r>
                  <w:r>
                    <w:rPr>
                      <w:color w:val="auto"/>
                      <w:szCs w:val="21"/>
                      <w:vertAlign w:val="superscript"/>
                    </w:rPr>
                    <w:t>3</w:t>
                  </w:r>
                </w:p>
              </w:tc>
              <w:tc>
                <w:tcPr>
                  <w:tcW w:w="3120" w:type="pct"/>
                  <w:vMerge w:val="continue"/>
                  <w:vAlign w:val="center"/>
                </w:tcPr>
                <w:p w14:paraId="498F5BC8">
                  <w:pPr>
                    <w:widowControl/>
                    <w:jc w:val="center"/>
                    <w:rPr>
                      <w:color w:val="auto"/>
                      <w:kern w:val="0"/>
                      <w:szCs w:val="21"/>
                    </w:rPr>
                  </w:pPr>
                </w:p>
              </w:tc>
            </w:tr>
          </w:tbl>
          <w:p w14:paraId="41939650">
            <w:pPr>
              <w:spacing w:line="360" w:lineRule="auto"/>
              <w:ind w:firstLine="480" w:firstLineChars="200"/>
              <w:rPr>
                <w:rFonts w:hint="eastAsia"/>
                <w:color w:val="auto"/>
                <w:sz w:val="24"/>
              </w:rPr>
            </w:pPr>
            <w:r>
              <w:rPr>
                <w:rFonts w:hint="eastAsia"/>
                <w:color w:val="auto"/>
                <w:sz w:val="24"/>
              </w:rPr>
              <w:t>营运期恶臭污染物执行《恶臭污染物排放标准》（GB14554-93）标准。</w:t>
            </w:r>
          </w:p>
          <w:p w14:paraId="4FDBEBCB">
            <w:pPr>
              <w:pStyle w:val="95"/>
              <w:ind w:firstLine="0"/>
              <w:rPr>
                <w:color w:val="auto"/>
              </w:rPr>
            </w:pPr>
            <w:r>
              <w:rPr>
                <w:rFonts w:hint="eastAsia"/>
                <w:color w:val="auto"/>
              </w:rPr>
              <w:t>表3-</w:t>
            </w:r>
            <w:r>
              <w:rPr>
                <w:rFonts w:hint="eastAsia"/>
                <w:color w:val="auto"/>
                <w:lang w:val="en-US" w:eastAsia="zh-CN"/>
              </w:rPr>
              <w:t>8</w:t>
            </w:r>
            <w:r>
              <w:rPr>
                <w:rFonts w:hint="eastAsia"/>
                <w:color w:val="auto"/>
              </w:rPr>
              <w:t xml:space="preserve"> </w:t>
            </w:r>
            <w:r>
              <w:rPr>
                <w:color w:val="auto"/>
                <w:kern w:val="0"/>
                <w:szCs w:val="21"/>
              </w:rPr>
              <w:t>恶臭污染物排放标准</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90"/>
              <w:gridCol w:w="2720"/>
              <w:gridCol w:w="1366"/>
              <w:gridCol w:w="3748"/>
            </w:tblGrid>
            <w:tr w14:paraId="7B9F9A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noWrap w:val="0"/>
                  <w:vAlign w:val="center"/>
                </w:tcPr>
                <w:p w14:paraId="7149CF16">
                  <w:pPr>
                    <w:widowControl/>
                    <w:jc w:val="center"/>
                    <w:rPr>
                      <w:color w:val="auto"/>
                      <w:kern w:val="0"/>
                      <w:szCs w:val="21"/>
                    </w:rPr>
                  </w:pPr>
                  <w:r>
                    <w:rPr>
                      <w:color w:val="auto"/>
                      <w:kern w:val="0"/>
                      <w:szCs w:val="21"/>
                    </w:rPr>
                    <w:t>排放方式</w:t>
                  </w:r>
                </w:p>
              </w:tc>
              <w:tc>
                <w:tcPr>
                  <w:tcW w:w="2430" w:type="dxa"/>
                  <w:noWrap w:val="0"/>
                  <w:vAlign w:val="center"/>
                </w:tcPr>
                <w:p w14:paraId="1A1DFA80">
                  <w:pPr>
                    <w:widowControl/>
                    <w:jc w:val="center"/>
                    <w:rPr>
                      <w:color w:val="auto"/>
                      <w:kern w:val="0"/>
                      <w:szCs w:val="21"/>
                    </w:rPr>
                  </w:pPr>
                  <w:r>
                    <w:rPr>
                      <w:color w:val="auto"/>
                      <w:kern w:val="0"/>
                      <w:szCs w:val="21"/>
                    </w:rPr>
                    <w:t>控制项目</w:t>
                  </w:r>
                </w:p>
              </w:tc>
              <w:tc>
                <w:tcPr>
                  <w:tcW w:w="1221" w:type="dxa"/>
                  <w:noWrap w:val="0"/>
                  <w:vAlign w:val="center"/>
                </w:tcPr>
                <w:p w14:paraId="1220415F">
                  <w:pPr>
                    <w:widowControl/>
                    <w:jc w:val="center"/>
                    <w:rPr>
                      <w:color w:val="auto"/>
                      <w:kern w:val="0"/>
                      <w:szCs w:val="21"/>
                    </w:rPr>
                  </w:pPr>
                  <w:r>
                    <w:rPr>
                      <w:color w:val="auto"/>
                      <w:kern w:val="0"/>
                      <w:szCs w:val="21"/>
                    </w:rPr>
                    <w:t>标准值</w:t>
                  </w:r>
                </w:p>
              </w:tc>
              <w:tc>
                <w:tcPr>
                  <w:tcW w:w="3349" w:type="dxa"/>
                  <w:noWrap w:val="0"/>
                  <w:vAlign w:val="center"/>
                </w:tcPr>
                <w:p w14:paraId="0E5C1BF7">
                  <w:pPr>
                    <w:widowControl/>
                    <w:jc w:val="center"/>
                    <w:rPr>
                      <w:color w:val="auto"/>
                      <w:kern w:val="0"/>
                      <w:szCs w:val="21"/>
                    </w:rPr>
                  </w:pPr>
                  <w:r>
                    <w:rPr>
                      <w:color w:val="auto"/>
                      <w:kern w:val="0"/>
                      <w:szCs w:val="21"/>
                    </w:rPr>
                    <w:t>标准</w:t>
                  </w:r>
                </w:p>
              </w:tc>
            </w:tr>
            <w:tr w14:paraId="120D0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restart"/>
                  <w:noWrap w:val="0"/>
                  <w:vAlign w:val="center"/>
                </w:tcPr>
                <w:p w14:paraId="58A39FA3">
                  <w:pPr>
                    <w:jc w:val="center"/>
                    <w:rPr>
                      <w:rFonts w:hint="eastAsia"/>
                      <w:color w:val="auto"/>
                      <w:kern w:val="0"/>
                      <w:szCs w:val="21"/>
                    </w:rPr>
                  </w:pPr>
                  <w:r>
                    <w:rPr>
                      <w:rFonts w:hint="eastAsia"/>
                      <w:color w:val="auto"/>
                      <w:kern w:val="0"/>
                      <w:szCs w:val="21"/>
                    </w:rPr>
                    <w:t>厂界</w:t>
                  </w:r>
                </w:p>
                <w:p w14:paraId="1A7AA152">
                  <w:pPr>
                    <w:jc w:val="center"/>
                    <w:rPr>
                      <w:rFonts w:hint="eastAsia"/>
                      <w:color w:val="auto"/>
                      <w:kern w:val="0"/>
                      <w:szCs w:val="21"/>
                    </w:rPr>
                  </w:pPr>
                  <w:r>
                    <w:rPr>
                      <w:rFonts w:hint="eastAsia"/>
                      <w:color w:val="auto"/>
                      <w:kern w:val="0"/>
                      <w:szCs w:val="21"/>
                    </w:rPr>
                    <w:t>标准值</w:t>
                  </w:r>
                </w:p>
              </w:tc>
              <w:tc>
                <w:tcPr>
                  <w:tcW w:w="2430" w:type="dxa"/>
                  <w:noWrap w:val="0"/>
                  <w:vAlign w:val="center"/>
                </w:tcPr>
                <w:p w14:paraId="0526B670">
                  <w:pPr>
                    <w:widowControl/>
                    <w:jc w:val="center"/>
                    <w:rPr>
                      <w:color w:val="auto"/>
                      <w:kern w:val="0"/>
                      <w:szCs w:val="21"/>
                    </w:rPr>
                  </w:pPr>
                  <w:r>
                    <w:rPr>
                      <w:color w:val="auto"/>
                      <w:kern w:val="0"/>
                      <w:szCs w:val="21"/>
                    </w:rPr>
                    <w:t>臭气浓度（无量纲）</w:t>
                  </w:r>
                </w:p>
              </w:tc>
              <w:tc>
                <w:tcPr>
                  <w:tcW w:w="1221" w:type="dxa"/>
                  <w:noWrap w:val="0"/>
                  <w:vAlign w:val="center"/>
                </w:tcPr>
                <w:p w14:paraId="34E97A09">
                  <w:pPr>
                    <w:widowControl/>
                    <w:jc w:val="center"/>
                    <w:rPr>
                      <w:color w:val="auto"/>
                      <w:kern w:val="0"/>
                      <w:szCs w:val="21"/>
                    </w:rPr>
                  </w:pPr>
                  <w:r>
                    <w:rPr>
                      <w:rFonts w:hint="eastAsia"/>
                      <w:color w:val="auto"/>
                      <w:kern w:val="0"/>
                      <w:szCs w:val="21"/>
                    </w:rPr>
                    <w:t>20</w:t>
                  </w:r>
                </w:p>
              </w:tc>
              <w:tc>
                <w:tcPr>
                  <w:tcW w:w="3349" w:type="dxa"/>
                  <w:vMerge w:val="restart"/>
                  <w:noWrap w:val="0"/>
                  <w:vAlign w:val="center"/>
                </w:tcPr>
                <w:p w14:paraId="32630D68">
                  <w:pPr>
                    <w:widowControl/>
                    <w:jc w:val="center"/>
                    <w:rPr>
                      <w:rFonts w:hint="eastAsia"/>
                      <w:color w:val="auto"/>
                      <w:kern w:val="0"/>
                      <w:szCs w:val="21"/>
                    </w:rPr>
                  </w:pPr>
                  <w:r>
                    <w:rPr>
                      <w:color w:val="auto"/>
                      <w:kern w:val="0"/>
                      <w:szCs w:val="21"/>
                    </w:rPr>
                    <w:t>《恶臭污染物排放标准》（GB14554-93）表</w:t>
                  </w:r>
                  <w:r>
                    <w:rPr>
                      <w:rFonts w:hint="eastAsia"/>
                      <w:color w:val="auto"/>
                      <w:kern w:val="0"/>
                      <w:szCs w:val="21"/>
                    </w:rPr>
                    <w:t>1</w:t>
                  </w:r>
                </w:p>
              </w:tc>
            </w:tr>
            <w:tr w14:paraId="302C1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continue"/>
                  <w:noWrap w:val="0"/>
                  <w:vAlign w:val="center"/>
                </w:tcPr>
                <w:p w14:paraId="2E38A39D">
                  <w:pPr>
                    <w:jc w:val="center"/>
                    <w:rPr>
                      <w:color w:val="auto"/>
                      <w:kern w:val="0"/>
                      <w:szCs w:val="21"/>
                    </w:rPr>
                  </w:pPr>
                </w:p>
              </w:tc>
              <w:tc>
                <w:tcPr>
                  <w:tcW w:w="2430" w:type="dxa"/>
                  <w:noWrap w:val="0"/>
                  <w:vAlign w:val="center"/>
                </w:tcPr>
                <w:p w14:paraId="08762D98">
                  <w:pPr>
                    <w:widowControl/>
                    <w:jc w:val="center"/>
                    <w:rPr>
                      <w:color w:val="auto"/>
                      <w:kern w:val="0"/>
                      <w:szCs w:val="21"/>
                    </w:rPr>
                  </w:pPr>
                  <w:r>
                    <w:rPr>
                      <w:color w:val="auto"/>
                      <w:kern w:val="0"/>
                      <w:szCs w:val="21"/>
                    </w:rPr>
                    <w:t>NH</w:t>
                  </w:r>
                  <w:r>
                    <w:rPr>
                      <w:color w:val="auto"/>
                      <w:kern w:val="0"/>
                      <w:szCs w:val="21"/>
                      <w:vertAlign w:val="subscript"/>
                    </w:rPr>
                    <w:t>3</w:t>
                  </w:r>
                </w:p>
              </w:tc>
              <w:tc>
                <w:tcPr>
                  <w:tcW w:w="1221" w:type="dxa"/>
                  <w:noWrap w:val="0"/>
                  <w:vAlign w:val="center"/>
                </w:tcPr>
                <w:p w14:paraId="761FFB2F">
                  <w:pPr>
                    <w:widowControl/>
                    <w:jc w:val="center"/>
                    <w:rPr>
                      <w:color w:val="auto"/>
                      <w:kern w:val="0"/>
                      <w:szCs w:val="21"/>
                    </w:rPr>
                  </w:pPr>
                  <w:r>
                    <w:rPr>
                      <w:rFonts w:hint="eastAsia"/>
                      <w:color w:val="auto"/>
                      <w:kern w:val="0"/>
                      <w:szCs w:val="21"/>
                    </w:rPr>
                    <w:t>1.5</w:t>
                  </w:r>
                  <w:r>
                    <w:rPr>
                      <w:bCs/>
                      <w:snapToGrid w:val="0"/>
                      <w:color w:val="auto"/>
                      <w:szCs w:val="21"/>
                    </w:rPr>
                    <w:t>mg/m</w:t>
                  </w:r>
                  <w:r>
                    <w:rPr>
                      <w:bCs/>
                      <w:snapToGrid w:val="0"/>
                      <w:color w:val="auto"/>
                      <w:szCs w:val="21"/>
                      <w:vertAlign w:val="superscript"/>
                    </w:rPr>
                    <w:t>3</w:t>
                  </w:r>
                </w:p>
              </w:tc>
              <w:tc>
                <w:tcPr>
                  <w:tcW w:w="3349" w:type="dxa"/>
                  <w:vMerge w:val="continue"/>
                  <w:noWrap w:val="0"/>
                  <w:vAlign w:val="center"/>
                </w:tcPr>
                <w:p w14:paraId="1F0B1CEE">
                  <w:pPr>
                    <w:widowControl/>
                    <w:jc w:val="center"/>
                    <w:rPr>
                      <w:color w:val="auto"/>
                      <w:kern w:val="0"/>
                      <w:szCs w:val="21"/>
                    </w:rPr>
                  </w:pPr>
                </w:p>
              </w:tc>
            </w:tr>
            <w:tr w14:paraId="174B0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continue"/>
                  <w:noWrap w:val="0"/>
                  <w:vAlign w:val="center"/>
                </w:tcPr>
                <w:p w14:paraId="6EDCA38B">
                  <w:pPr>
                    <w:widowControl/>
                    <w:jc w:val="center"/>
                    <w:rPr>
                      <w:color w:val="auto"/>
                      <w:kern w:val="0"/>
                      <w:szCs w:val="21"/>
                    </w:rPr>
                  </w:pPr>
                </w:p>
              </w:tc>
              <w:tc>
                <w:tcPr>
                  <w:tcW w:w="2430" w:type="dxa"/>
                  <w:noWrap w:val="0"/>
                  <w:vAlign w:val="center"/>
                </w:tcPr>
                <w:p w14:paraId="21F1DBF2">
                  <w:pPr>
                    <w:widowControl/>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221" w:type="dxa"/>
                  <w:noWrap w:val="0"/>
                  <w:vAlign w:val="center"/>
                </w:tcPr>
                <w:p w14:paraId="19292391">
                  <w:pPr>
                    <w:widowControl/>
                    <w:jc w:val="center"/>
                    <w:rPr>
                      <w:color w:val="auto"/>
                      <w:kern w:val="0"/>
                      <w:szCs w:val="21"/>
                    </w:rPr>
                  </w:pPr>
                  <w:r>
                    <w:rPr>
                      <w:rFonts w:hint="eastAsia"/>
                      <w:color w:val="auto"/>
                      <w:kern w:val="0"/>
                      <w:szCs w:val="21"/>
                    </w:rPr>
                    <w:t>0.06</w:t>
                  </w:r>
                  <w:r>
                    <w:rPr>
                      <w:bCs/>
                      <w:snapToGrid w:val="0"/>
                      <w:color w:val="auto"/>
                      <w:szCs w:val="21"/>
                    </w:rPr>
                    <w:t>mg/m</w:t>
                  </w:r>
                  <w:r>
                    <w:rPr>
                      <w:bCs/>
                      <w:snapToGrid w:val="0"/>
                      <w:color w:val="auto"/>
                      <w:szCs w:val="21"/>
                      <w:vertAlign w:val="superscript"/>
                    </w:rPr>
                    <w:t>3</w:t>
                  </w:r>
                </w:p>
              </w:tc>
              <w:tc>
                <w:tcPr>
                  <w:tcW w:w="3349" w:type="dxa"/>
                  <w:vMerge w:val="continue"/>
                  <w:noWrap w:val="0"/>
                  <w:vAlign w:val="center"/>
                </w:tcPr>
                <w:p w14:paraId="40075596">
                  <w:pPr>
                    <w:widowControl/>
                    <w:jc w:val="center"/>
                    <w:rPr>
                      <w:color w:val="auto"/>
                      <w:kern w:val="0"/>
                      <w:szCs w:val="21"/>
                    </w:rPr>
                  </w:pPr>
                </w:p>
              </w:tc>
            </w:tr>
            <w:tr w14:paraId="03F79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restart"/>
                  <w:noWrap w:val="0"/>
                  <w:vAlign w:val="center"/>
                </w:tcPr>
                <w:p w14:paraId="3136B851">
                  <w:pPr>
                    <w:widowControl/>
                    <w:jc w:val="center"/>
                    <w:rPr>
                      <w:rFonts w:hint="eastAsia"/>
                      <w:color w:val="auto"/>
                      <w:kern w:val="0"/>
                      <w:szCs w:val="21"/>
                    </w:rPr>
                  </w:pPr>
                  <w:r>
                    <w:rPr>
                      <w:rFonts w:hint="eastAsia"/>
                      <w:color w:val="auto"/>
                      <w:kern w:val="0"/>
                      <w:szCs w:val="21"/>
                    </w:rPr>
                    <w:t>排放</w:t>
                  </w:r>
                </w:p>
                <w:p w14:paraId="62F55C1B">
                  <w:pPr>
                    <w:widowControl/>
                    <w:jc w:val="center"/>
                    <w:rPr>
                      <w:rFonts w:hint="eastAsia"/>
                      <w:color w:val="auto"/>
                      <w:kern w:val="0"/>
                      <w:szCs w:val="21"/>
                    </w:rPr>
                  </w:pPr>
                  <w:r>
                    <w:rPr>
                      <w:rFonts w:hint="eastAsia"/>
                      <w:color w:val="auto"/>
                      <w:kern w:val="0"/>
                      <w:szCs w:val="21"/>
                    </w:rPr>
                    <w:t>标准值</w:t>
                  </w:r>
                </w:p>
              </w:tc>
              <w:tc>
                <w:tcPr>
                  <w:tcW w:w="2430" w:type="dxa"/>
                  <w:noWrap w:val="0"/>
                  <w:vAlign w:val="center"/>
                </w:tcPr>
                <w:p w14:paraId="36FB40F9">
                  <w:pPr>
                    <w:widowControl/>
                    <w:jc w:val="center"/>
                    <w:rPr>
                      <w:color w:val="auto"/>
                      <w:kern w:val="0"/>
                      <w:szCs w:val="21"/>
                    </w:rPr>
                  </w:pPr>
                  <w:r>
                    <w:rPr>
                      <w:color w:val="auto"/>
                      <w:kern w:val="0"/>
                      <w:szCs w:val="21"/>
                    </w:rPr>
                    <w:t>臭气浓度（无量纲）</w:t>
                  </w:r>
                </w:p>
              </w:tc>
              <w:tc>
                <w:tcPr>
                  <w:tcW w:w="1221" w:type="dxa"/>
                  <w:noWrap w:val="0"/>
                  <w:vAlign w:val="center"/>
                </w:tcPr>
                <w:p w14:paraId="0A632A44">
                  <w:pPr>
                    <w:widowControl/>
                    <w:jc w:val="center"/>
                    <w:rPr>
                      <w:color w:val="auto"/>
                      <w:kern w:val="0"/>
                      <w:szCs w:val="21"/>
                    </w:rPr>
                  </w:pPr>
                  <w:r>
                    <w:rPr>
                      <w:rFonts w:hint="eastAsia"/>
                      <w:color w:val="auto"/>
                      <w:kern w:val="0"/>
                      <w:szCs w:val="21"/>
                    </w:rPr>
                    <w:t>2000</w:t>
                  </w:r>
                </w:p>
              </w:tc>
              <w:tc>
                <w:tcPr>
                  <w:tcW w:w="3349" w:type="dxa"/>
                  <w:vMerge w:val="restart"/>
                  <w:noWrap w:val="0"/>
                  <w:vAlign w:val="center"/>
                </w:tcPr>
                <w:p w14:paraId="6A3FD05E">
                  <w:pPr>
                    <w:widowControl/>
                    <w:jc w:val="center"/>
                    <w:rPr>
                      <w:color w:val="auto"/>
                      <w:kern w:val="0"/>
                      <w:szCs w:val="21"/>
                    </w:rPr>
                  </w:pPr>
                  <w:r>
                    <w:rPr>
                      <w:color w:val="auto"/>
                      <w:kern w:val="0"/>
                      <w:szCs w:val="21"/>
                    </w:rPr>
                    <w:t>《恶臭污染物排放标准》（GB14554-93）表2（</w:t>
                  </w:r>
                  <w:r>
                    <w:rPr>
                      <w:rFonts w:hint="eastAsia"/>
                      <w:color w:val="auto"/>
                      <w:kern w:val="0"/>
                      <w:szCs w:val="21"/>
                      <w:lang w:val="en-US" w:eastAsia="zh-CN"/>
                    </w:rPr>
                    <w:t>15</w:t>
                  </w:r>
                  <w:r>
                    <w:rPr>
                      <w:color w:val="auto"/>
                      <w:kern w:val="0"/>
                      <w:szCs w:val="21"/>
                    </w:rPr>
                    <w:t>m高排气筒）</w:t>
                  </w:r>
                </w:p>
              </w:tc>
            </w:tr>
            <w:tr w14:paraId="02034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continue"/>
                  <w:noWrap w:val="0"/>
                  <w:vAlign w:val="center"/>
                </w:tcPr>
                <w:p w14:paraId="22D5033E">
                  <w:pPr>
                    <w:widowControl/>
                    <w:jc w:val="center"/>
                    <w:rPr>
                      <w:color w:val="auto"/>
                      <w:kern w:val="0"/>
                      <w:szCs w:val="21"/>
                    </w:rPr>
                  </w:pPr>
                </w:p>
              </w:tc>
              <w:tc>
                <w:tcPr>
                  <w:tcW w:w="2430" w:type="dxa"/>
                  <w:noWrap w:val="0"/>
                  <w:vAlign w:val="center"/>
                </w:tcPr>
                <w:p w14:paraId="6CF8977F">
                  <w:pPr>
                    <w:widowControl/>
                    <w:jc w:val="center"/>
                    <w:rPr>
                      <w:rFonts w:hint="eastAsia" w:eastAsia="宋体"/>
                      <w:color w:val="auto"/>
                      <w:kern w:val="0"/>
                      <w:szCs w:val="21"/>
                      <w:vertAlign w:val="baseline"/>
                      <w:lang w:eastAsia="zh-CN"/>
                    </w:rPr>
                  </w:pPr>
                  <w:r>
                    <w:rPr>
                      <w:color w:val="auto"/>
                      <w:kern w:val="0"/>
                      <w:szCs w:val="21"/>
                    </w:rPr>
                    <w:t>NH</w:t>
                  </w:r>
                  <w:r>
                    <w:rPr>
                      <w:color w:val="auto"/>
                      <w:kern w:val="0"/>
                      <w:szCs w:val="21"/>
                      <w:vertAlign w:val="subscript"/>
                    </w:rPr>
                    <w:t>3</w:t>
                  </w:r>
                </w:p>
              </w:tc>
              <w:tc>
                <w:tcPr>
                  <w:tcW w:w="1221" w:type="dxa"/>
                  <w:noWrap w:val="0"/>
                  <w:vAlign w:val="center"/>
                </w:tcPr>
                <w:p w14:paraId="2DA88985">
                  <w:pPr>
                    <w:widowControl/>
                    <w:jc w:val="center"/>
                    <w:rPr>
                      <w:color w:val="auto"/>
                      <w:kern w:val="0"/>
                      <w:szCs w:val="21"/>
                    </w:rPr>
                  </w:pPr>
                  <w:r>
                    <w:rPr>
                      <w:rFonts w:hint="eastAsia"/>
                      <w:color w:val="auto"/>
                      <w:kern w:val="0"/>
                      <w:szCs w:val="21"/>
                      <w:lang w:val="en-US" w:eastAsia="zh-CN"/>
                    </w:rPr>
                    <w:t>4.9</w:t>
                  </w:r>
                  <w:r>
                    <w:rPr>
                      <w:color w:val="auto"/>
                      <w:kern w:val="0"/>
                      <w:szCs w:val="21"/>
                    </w:rPr>
                    <w:t>kg/h</w:t>
                  </w:r>
                </w:p>
              </w:tc>
              <w:tc>
                <w:tcPr>
                  <w:tcW w:w="3349" w:type="dxa"/>
                  <w:vMerge w:val="continue"/>
                  <w:noWrap w:val="0"/>
                  <w:vAlign w:val="center"/>
                </w:tcPr>
                <w:p w14:paraId="7F995C99">
                  <w:pPr>
                    <w:widowControl/>
                    <w:jc w:val="center"/>
                    <w:rPr>
                      <w:color w:val="auto"/>
                      <w:kern w:val="0"/>
                      <w:szCs w:val="21"/>
                    </w:rPr>
                  </w:pPr>
                </w:p>
              </w:tc>
            </w:tr>
            <w:tr w14:paraId="1408B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974" w:type="dxa"/>
                  <w:vMerge w:val="continue"/>
                  <w:noWrap w:val="0"/>
                  <w:vAlign w:val="center"/>
                </w:tcPr>
                <w:p w14:paraId="1168AF10">
                  <w:pPr>
                    <w:widowControl/>
                    <w:jc w:val="center"/>
                    <w:rPr>
                      <w:color w:val="auto"/>
                      <w:kern w:val="0"/>
                      <w:szCs w:val="21"/>
                    </w:rPr>
                  </w:pPr>
                </w:p>
              </w:tc>
              <w:tc>
                <w:tcPr>
                  <w:tcW w:w="2430" w:type="dxa"/>
                  <w:noWrap w:val="0"/>
                  <w:vAlign w:val="center"/>
                </w:tcPr>
                <w:p w14:paraId="31072BFC">
                  <w:pPr>
                    <w:widowControl/>
                    <w:jc w:val="center"/>
                    <w:rPr>
                      <w:color w:val="auto"/>
                      <w:kern w:val="0"/>
                      <w:szCs w:val="21"/>
                    </w:rPr>
                  </w:pPr>
                  <w:r>
                    <w:rPr>
                      <w:color w:val="auto"/>
                      <w:kern w:val="0"/>
                      <w:szCs w:val="21"/>
                    </w:rPr>
                    <w:t>H</w:t>
                  </w:r>
                  <w:r>
                    <w:rPr>
                      <w:color w:val="auto"/>
                      <w:kern w:val="0"/>
                      <w:szCs w:val="21"/>
                      <w:vertAlign w:val="subscript"/>
                    </w:rPr>
                    <w:t>2</w:t>
                  </w:r>
                  <w:r>
                    <w:rPr>
                      <w:color w:val="auto"/>
                      <w:kern w:val="0"/>
                      <w:szCs w:val="21"/>
                    </w:rPr>
                    <w:t>S</w:t>
                  </w:r>
                </w:p>
              </w:tc>
              <w:tc>
                <w:tcPr>
                  <w:tcW w:w="1221" w:type="dxa"/>
                  <w:noWrap w:val="0"/>
                  <w:vAlign w:val="center"/>
                </w:tcPr>
                <w:p w14:paraId="7A5789BE">
                  <w:pPr>
                    <w:widowControl/>
                    <w:jc w:val="center"/>
                    <w:rPr>
                      <w:rFonts w:hint="default" w:eastAsia="宋体"/>
                      <w:color w:val="auto"/>
                      <w:kern w:val="0"/>
                      <w:szCs w:val="21"/>
                      <w:lang w:val="en-US" w:eastAsia="zh-CN"/>
                    </w:rPr>
                  </w:pPr>
                  <w:r>
                    <w:rPr>
                      <w:rFonts w:hint="eastAsia"/>
                      <w:color w:val="auto"/>
                      <w:kern w:val="0"/>
                      <w:szCs w:val="21"/>
                      <w:lang w:val="en-US" w:eastAsia="zh-CN"/>
                    </w:rPr>
                    <w:t>0.33</w:t>
                  </w:r>
                  <w:r>
                    <w:rPr>
                      <w:color w:val="auto"/>
                      <w:kern w:val="0"/>
                      <w:szCs w:val="21"/>
                    </w:rPr>
                    <w:t>kg/h</w:t>
                  </w:r>
                </w:p>
              </w:tc>
              <w:tc>
                <w:tcPr>
                  <w:tcW w:w="3349" w:type="dxa"/>
                  <w:vMerge w:val="continue"/>
                  <w:noWrap w:val="0"/>
                  <w:vAlign w:val="center"/>
                </w:tcPr>
                <w:p w14:paraId="619558F1">
                  <w:pPr>
                    <w:widowControl/>
                    <w:jc w:val="center"/>
                    <w:rPr>
                      <w:color w:val="auto"/>
                      <w:kern w:val="0"/>
                      <w:szCs w:val="21"/>
                    </w:rPr>
                  </w:pPr>
                </w:p>
              </w:tc>
            </w:tr>
          </w:tbl>
          <w:p w14:paraId="43286078">
            <w:pPr>
              <w:spacing w:line="360" w:lineRule="auto"/>
              <w:ind w:firstLine="480" w:firstLineChars="200"/>
              <w:rPr>
                <w:color w:val="auto"/>
                <w:kern w:val="0"/>
                <w:sz w:val="24"/>
              </w:rPr>
            </w:pPr>
            <w:r>
              <w:rPr>
                <w:rFonts w:hint="eastAsia"/>
                <w:color w:val="auto"/>
                <w:kern w:val="0"/>
                <w:sz w:val="24"/>
              </w:rPr>
              <w:t>2、废水</w:t>
            </w:r>
          </w:p>
          <w:p w14:paraId="284F2AD2">
            <w:pPr>
              <w:spacing w:line="360" w:lineRule="auto"/>
              <w:ind w:firstLine="480" w:firstLineChars="200"/>
              <w:rPr>
                <w:color w:val="auto"/>
                <w:kern w:val="0"/>
                <w:sz w:val="24"/>
              </w:rPr>
            </w:pPr>
            <w:r>
              <w:rPr>
                <w:rFonts w:hint="eastAsia" w:ascii="Times New Roman" w:hAnsi="Times New Roman" w:eastAsia="宋体" w:cs="Times New Roman"/>
                <w:color w:val="auto"/>
                <w:kern w:val="0"/>
                <w:sz w:val="24"/>
                <w:lang w:eastAsia="zh-CN"/>
              </w:rPr>
              <w:t>本项目建成后生产废水及生活污水经市政管网排入污水处理厂处理。废水执行《污水综合排放标准》（GB8978-1996）三级标准及城镇污水处理厂进水水质要求。</w:t>
            </w:r>
          </w:p>
          <w:p w14:paraId="3D650A22">
            <w:pPr>
              <w:pStyle w:val="95"/>
              <w:ind w:firstLine="0"/>
              <w:rPr>
                <w:color w:val="auto"/>
              </w:rPr>
            </w:pPr>
            <w:r>
              <w:rPr>
                <w:rFonts w:hint="eastAsia"/>
                <w:color w:val="auto"/>
              </w:rPr>
              <w:t>表3-</w:t>
            </w:r>
            <w:r>
              <w:rPr>
                <w:rFonts w:hint="eastAsia"/>
                <w:color w:val="auto"/>
                <w:lang w:val="en-US" w:eastAsia="zh-CN"/>
              </w:rPr>
              <w:t>9</w:t>
            </w:r>
            <w:r>
              <w:rPr>
                <w:rFonts w:hint="eastAsia"/>
                <w:color w:val="auto"/>
              </w:rPr>
              <w:t xml:space="preserve"> 污水综合排放标准</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904"/>
              <w:gridCol w:w="2848"/>
              <w:gridCol w:w="2084"/>
              <w:gridCol w:w="2084"/>
            </w:tblGrid>
            <w:tr w14:paraId="09965E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651FF8F3">
                  <w:pPr>
                    <w:autoSpaceDE w:val="0"/>
                    <w:autoSpaceDN w:val="0"/>
                    <w:jc w:val="center"/>
                    <w:textAlignment w:val="bottom"/>
                    <w:rPr>
                      <w:rFonts w:hAnsi="宋体"/>
                      <w:color w:val="auto"/>
                      <w:szCs w:val="21"/>
                    </w:rPr>
                  </w:pPr>
                  <w:r>
                    <w:rPr>
                      <w:rFonts w:hAnsi="宋体"/>
                      <w:color w:val="auto"/>
                      <w:szCs w:val="21"/>
                    </w:rPr>
                    <w:t>污染因子</w:t>
                  </w:r>
                </w:p>
              </w:tc>
              <w:tc>
                <w:tcPr>
                  <w:tcW w:w="1596" w:type="pct"/>
                  <w:tcBorders>
                    <w:tl2br w:val="nil"/>
                    <w:tr2bl w:val="nil"/>
                  </w:tcBorders>
                  <w:vAlign w:val="center"/>
                </w:tcPr>
                <w:p w14:paraId="487E0AA8">
                  <w:pPr>
                    <w:autoSpaceDE w:val="0"/>
                    <w:autoSpaceDN w:val="0"/>
                    <w:jc w:val="center"/>
                    <w:textAlignment w:val="bottom"/>
                    <w:rPr>
                      <w:rFonts w:hAnsi="宋体"/>
                      <w:color w:val="auto"/>
                      <w:szCs w:val="21"/>
                    </w:rPr>
                  </w:pPr>
                  <w:r>
                    <w:rPr>
                      <w:rFonts w:hint="eastAsia" w:hAnsi="宋体"/>
                      <w:color w:val="auto"/>
                      <w:szCs w:val="21"/>
                    </w:rPr>
                    <w:t>《污水综合排放标准》（GB8978-1996）三级标准</w:t>
                  </w:r>
                </w:p>
              </w:tc>
              <w:tc>
                <w:tcPr>
                  <w:tcW w:w="1168" w:type="pct"/>
                  <w:tcBorders>
                    <w:tl2br w:val="nil"/>
                    <w:tr2bl w:val="nil"/>
                  </w:tcBorders>
                  <w:vAlign w:val="center"/>
                </w:tcPr>
                <w:p w14:paraId="292C5E0F">
                  <w:pPr>
                    <w:autoSpaceDE w:val="0"/>
                    <w:autoSpaceDN w:val="0"/>
                    <w:jc w:val="center"/>
                    <w:textAlignment w:val="bottom"/>
                    <w:rPr>
                      <w:rFonts w:hAnsi="宋体"/>
                      <w:color w:val="auto"/>
                      <w:szCs w:val="21"/>
                    </w:rPr>
                  </w:pPr>
                  <w:r>
                    <w:rPr>
                      <w:rFonts w:hint="eastAsia" w:hAnsi="宋体"/>
                      <w:color w:val="auto"/>
                      <w:szCs w:val="21"/>
                    </w:rPr>
                    <w:t>城镇污水处理厂进水水质标准</w:t>
                  </w:r>
                </w:p>
              </w:tc>
              <w:tc>
                <w:tcPr>
                  <w:tcW w:w="1168" w:type="pct"/>
                  <w:tcBorders>
                    <w:tl2br w:val="nil"/>
                    <w:tr2bl w:val="nil"/>
                  </w:tcBorders>
                  <w:vAlign w:val="center"/>
                </w:tcPr>
                <w:p w14:paraId="39029566">
                  <w:pPr>
                    <w:autoSpaceDE w:val="0"/>
                    <w:autoSpaceDN w:val="0"/>
                    <w:jc w:val="center"/>
                    <w:textAlignment w:val="bottom"/>
                    <w:rPr>
                      <w:rFonts w:hAnsi="宋体"/>
                      <w:color w:val="auto"/>
                      <w:szCs w:val="21"/>
                    </w:rPr>
                  </w:pPr>
                  <w:r>
                    <w:rPr>
                      <w:rFonts w:hint="eastAsia" w:hAnsi="宋体"/>
                      <w:color w:val="auto"/>
                      <w:szCs w:val="21"/>
                    </w:rPr>
                    <w:t>执行标准</w:t>
                  </w:r>
                </w:p>
              </w:tc>
            </w:tr>
            <w:tr w14:paraId="7146015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680CB9CE">
                  <w:pPr>
                    <w:autoSpaceDE w:val="0"/>
                    <w:autoSpaceDN w:val="0"/>
                    <w:jc w:val="center"/>
                    <w:textAlignment w:val="bottom"/>
                    <w:rPr>
                      <w:rFonts w:hAnsi="宋体"/>
                      <w:color w:val="auto"/>
                      <w:szCs w:val="21"/>
                    </w:rPr>
                  </w:pPr>
                  <w:r>
                    <w:rPr>
                      <w:rFonts w:hint="eastAsia" w:hAnsi="宋体"/>
                      <w:color w:val="auto"/>
                      <w:szCs w:val="21"/>
                    </w:rPr>
                    <w:t>pH</w:t>
                  </w:r>
                </w:p>
              </w:tc>
              <w:tc>
                <w:tcPr>
                  <w:tcW w:w="1596" w:type="pct"/>
                  <w:tcBorders>
                    <w:tl2br w:val="nil"/>
                    <w:tr2bl w:val="nil"/>
                  </w:tcBorders>
                  <w:vAlign w:val="center"/>
                </w:tcPr>
                <w:p w14:paraId="7C560841">
                  <w:pPr>
                    <w:autoSpaceDE w:val="0"/>
                    <w:autoSpaceDN w:val="0"/>
                    <w:jc w:val="center"/>
                    <w:textAlignment w:val="bottom"/>
                    <w:rPr>
                      <w:rFonts w:hAnsi="宋体"/>
                      <w:color w:val="auto"/>
                      <w:szCs w:val="21"/>
                    </w:rPr>
                  </w:pPr>
                  <w:r>
                    <w:rPr>
                      <w:rFonts w:hint="eastAsia" w:hAnsi="宋体"/>
                      <w:color w:val="auto"/>
                      <w:szCs w:val="21"/>
                    </w:rPr>
                    <w:t>6</w:t>
                  </w:r>
                  <w:r>
                    <w:rPr>
                      <w:rFonts w:hint="eastAsia" w:ascii="宋体" w:hAnsi="宋体" w:cs="宋体"/>
                      <w:color w:val="auto"/>
                      <w:szCs w:val="21"/>
                    </w:rPr>
                    <w:t>～</w:t>
                  </w:r>
                  <w:r>
                    <w:rPr>
                      <w:rFonts w:hint="eastAsia" w:hAnsi="宋体"/>
                      <w:color w:val="auto"/>
                      <w:szCs w:val="21"/>
                    </w:rPr>
                    <w:t>9（无量纲）</w:t>
                  </w:r>
                </w:p>
              </w:tc>
              <w:tc>
                <w:tcPr>
                  <w:tcW w:w="1168" w:type="pct"/>
                  <w:tcBorders>
                    <w:tl2br w:val="nil"/>
                    <w:tr2bl w:val="nil"/>
                  </w:tcBorders>
                  <w:vAlign w:val="center"/>
                </w:tcPr>
                <w:p w14:paraId="7CE05379">
                  <w:pPr>
                    <w:autoSpaceDE w:val="0"/>
                    <w:autoSpaceDN w:val="0"/>
                    <w:jc w:val="center"/>
                    <w:textAlignment w:val="bottom"/>
                    <w:rPr>
                      <w:rFonts w:hAnsi="宋体"/>
                      <w:color w:val="auto"/>
                      <w:szCs w:val="21"/>
                    </w:rPr>
                  </w:pPr>
                  <w:r>
                    <w:rPr>
                      <w:rFonts w:hint="eastAsia" w:hAnsi="宋体"/>
                      <w:color w:val="auto"/>
                      <w:szCs w:val="21"/>
                    </w:rPr>
                    <w:t>/</w:t>
                  </w:r>
                </w:p>
              </w:tc>
              <w:tc>
                <w:tcPr>
                  <w:tcW w:w="1168" w:type="pct"/>
                  <w:tcBorders>
                    <w:tl2br w:val="nil"/>
                    <w:tr2bl w:val="nil"/>
                  </w:tcBorders>
                  <w:vAlign w:val="center"/>
                </w:tcPr>
                <w:p w14:paraId="2935BCDB">
                  <w:pPr>
                    <w:autoSpaceDE w:val="0"/>
                    <w:autoSpaceDN w:val="0"/>
                    <w:jc w:val="center"/>
                    <w:textAlignment w:val="bottom"/>
                    <w:rPr>
                      <w:rFonts w:hAnsi="宋体"/>
                      <w:color w:val="auto"/>
                      <w:szCs w:val="21"/>
                    </w:rPr>
                  </w:pPr>
                  <w:r>
                    <w:rPr>
                      <w:rFonts w:hint="eastAsia" w:hAnsi="宋体"/>
                      <w:color w:val="auto"/>
                      <w:szCs w:val="21"/>
                    </w:rPr>
                    <w:t>6～9（无量纲）</w:t>
                  </w:r>
                </w:p>
              </w:tc>
            </w:tr>
            <w:tr w14:paraId="546E9F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691F701C">
                  <w:pPr>
                    <w:autoSpaceDE w:val="0"/>
                    <w:autoSpaceDN w:val="0"/>
                    <w:jc w:val="center"/>
                    <w:textAlignment w:val="bottom"/>
                    <w:rPr>
                      <w:rFonts w:hAnsi="宋体"/>
                      <w:color w:val="auto"/>
                      <w:szCs w:val="21"/>
                    </w:rPr>
                  </w:pPr>
                  <w:r>
                    <w:rPr>
                      <w:rFonts w:hAnsi="宋体"/>
                      <w:color w:val="auto"/>
                      <w:szCs w:val="21"/>
                    </w:rPr>
                    <w:t>COD</w:t>
                  </w:r>
                </w:p>
              </w:tc>
              <w:tc>
                <w:tcPr>
                  <w:tcW w:w="1596" w:type="pct"/>
                  <w:tcBorders>
                    <w:tl2br w:val="nil"/>
                    <w:tr2bl w:val="nil"/>
                  </w:tcBorders>
                  <w:vAlign w:val="center"/>
                </w:tcPr>
                <w:p w14:paraId="74DCAA11">
                  <w:pPr>
                    <w:autoSpaceDE w:val="0"/>
                    <w:autoSpaceDN w:val="0"/>
                    <w:jc w:val="center"/>
                    <w:textAlignment w:val="bottom"/>
                    <w:rPr>
                      <w:rFonts w:hAnsi="宋体"/>
                      <w:color w:val="auto"/>
                      <w:szCs w:val="21"/>
                    </w:rPr>
                  </w:pPr>
                  <w:r>
                    <w:rPr>
                      <w:rFonts w:hAnsi="宋体"/>
                      <w:color w:val="auto"/>
                      <w:szCs w:val="21"/>
                    </w:rPr>
                    <w:t>50</w:t>
                  </w:r>
                  <w:r>
                    <w:rPr>
                      <w:rFonts w:hint="eastAsia" w:hAnsi="宋体"/>
                      <w:color w:val="auto"/>
                      <w:szCs w:val="21"/>
                    </w:rPr>
                    <w:t>0</w:t>
                  </w:r>
                  <w:r>
                    <w:rPr>
                      <w:rFonts w:hAnsi="宋体"/>
                      <w:color w:val="auto"/>
                      <w:szCs w:val="21"/>
                    </w:rPr>
                    <w:t>mg/L</w:t>
                  </w:r>
                </w:p>
              </w:tc>
              <w:tc>
                <w:tcPr>
                  <w:tcW w:w="1168" w:type="pct"/>
                  <w:tcBorders>
                    <w:tl2br w:val="nil"/>
                    <w:tr2bl w:val="nil"/>
                  </w:tcBorders>
                  <w:vAlign w:val="center"/>
                </w:tcPr>
                <w:p w14:paraId="1F0C1CC4">
                  <w:pPr>
                    <w:autoSpaceDE w:val="0"/>
                    <w:autoSpaceDN w:val="0"/>
                    <w:jc w:val="center"/>
                    <w:textAlignment w:val="bottom"/>
                    <w:rPr>
                      <w:rFonts w:hAnsi="宋体"/>
                      <w:color w:val="auto"/>
                      <w:szCs w:val="21"/>
                    </w:rPr>
                  </w:pPr>
                  <w:r>
                    <w:rPr>
                      <w:rFonts w:hint="eastAsia" w:hAnsi="宋体"/>
                      <w:color w:val="auto"/>
                      <w:szCs w:val="21"/>
                    </w:rPr>
                    <w:t>500</w:t>
                  </w:r>
                  <w:r>
                    <w:rPr>
                      <w:rFonts w:hAnsi="宋体"/>
                      <w:color w:val="auto"/>
                      <w:szCs w:val="21"/>
                    </w:rPr>
                    <w:t>mg/L</w:t>
                  </w:r>
                </w:p>
              </w:tc>
              <w:tc>
                <w:tcPr>
                  <w:tcW w:w="2130" w:type="dxa"/>
                  <w:tcBorders>
                    <w:tl2br w:val="nil"/>
                    <w:tr2bl w:val="nil"/>
                  </w:tcBorders>
                  <w:vAlign w:val="center"/>
                </w:tcPr>
                <w:p w14:paraId="7EE097F5">
                  <w:pPr>
                    <w:autoSpaceDE w:val="0"/>
                    <w:autoSpaceDN w:val="0"/>
                    <w:jc w:val="center"/>
                    <w:textAlignment w:val="bottom"/>
                    <w:rPr>
                      <w:rFonts w:hAnsi="宋体"/>
                      <w:color w:val="auto"/>
                      <w:szCs w:val="21"/>
                    </w:rPr>
                  </w:pPr>
                  <w:r>
                    <w:rPr>
                      <w:rFonts w:hint="eastAsia" w:hAnsi="宋体"/>
                      <w:color w:val="auto"/>
                      <w:szCs w:val="21"/>
                    </w:rPr>
                    <w:t>500</w:t>
                  </w:r>
                  <w:r>
                    <w:rPr>
                      <w:rFonts w:hAnsi="宋体"/>
                      <w:color w:val="auto"/>
                      <w:szCs w:val="21"/>
                    </w:rPr>
                    <w:t>mg/L</w:t>
                  </w:r>
                </w:p>
              </w:tc>
            </w:tr>
            <w:tr w14:paraId="28377D0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7DF8E17F">
                  <w:pPr>
                    <w:autoSpaceDE w:val="0"/>
                    <w:autoSpaceDN w:val="0"/>
                    <w:jc w:val="center"/>
                    <w:textAlignment w:val="bottom"/>
                    <w:rPr>
                      <w:rFonts w:hAnsi="宋体"/>
                      <w:color w:val="auto"/>
                      <w:szCs w:val="21"/>
                    </w:rPr>
                  </w:pPr>
                  <w:r>
                    <w:rPr>
                      <w:rFonts w:hAnsi="宋体"/>
                      <w:color w:val="auto"/>
                      <w:szCs w:val="21"/>
                    </w:rPr>
                    <w:t>BOD</w:t>
                  </w:r>
                  <w:r>
                    <w:rPr>
                      <w:rFonts w:hAnsi="宋体"/>
                      <w:color w:val="auto"/>
                      <w:szCs w:val="21"/>
                      <w:vertAlign w:val="subscript"/>
                    </w:rPr>
                    <w:t>5</w:t>
                  </w:r>
                </w:p>
              </w:tc>
              <w:tc>
                <w:tcPr>
                  <w:tcW w:w="1596" w:type="pct"/>
                  <w:tcBorders>
                    <w:tl2br w:val="nil"/>
                    <w:tr2bl w:val="nil"/>
                  </w:tcBorders>
                  <w:vAlign w:val="center"/>
                </w:tcPr>
                <w:p w14:paraId="1C13C609">
                  <w:pPr>
                    <w:autoSpaceDE w:val="0"/>
                    <w:autoSpaceDN w:val="0"/>
                    <w:jc w:val="center"/>
                    <w:textAlignment w:val="bottom"/>
                    <w:rPr>
                      <w:rFonts w:hAnsi="宋体"/>
                      <w:color w:val="auto"/>
                      <w:szCs w:val="21"/>
                    </w:rPr>
                  </w:pPr>
                  <w:r>
                    <w:rPr>
                      <w:rFonts w:hAnsi="宋体"/>
                      <w:color w:val="auto"/>
                      <w:szCs w:val="21"/>
                    </w:rPr>
                    <w:t>300mg/L</w:t>
                  </w:r>
                </w:p>
              </w:tc>
              <w:tc>
                <w:tcPr>
                  <w:tcW w:w="1168" w:type="pct"/>
                  <w:tcBorders>
                    <w:tl2br w:val="nil"/>
                    <w:tr2bl w:val="nil"/>
                  </w:tcBorders>
                  <w:vAlign w:val="center"/>
                </w:tcPr>
                <w:p w14:paraId="08D34EB2">
                  <w:pPr>
                    <w:autoSpaceDE w:val="0"/>
                    <w:autoSpaceDN w:val="0"/>
                    <w:jc w:val="center"/>
                    <w:textAlignment w:val="bottom"/>
                    <w:rPr>
                      <w:rFonts w:hAnsi="宋体"/>
                      <w:color w:val="auto"/>
                      <w:szCs w:val="21"/>
                    </w:rPr>
                  </w:pPr>
                  <w:r>
                    <w:rPr>
                      <w:rFonts w:hint="eastAsia" w:hAnsi="宋体"/>
                      <w:color w:val="auto"/>
                      <w:szCs w:val="21"/>
                    </w:rPr>
                    <w:t>300</w:t>
                  </w:r>
                  <w:r>
                    <w:rPr>
                      <w:rFonts w:hAnsi="宋体"/>
                      <w:color w:val="auto"/>
                      <w:szCs w:val="21"/>
                    </w:rPr>
                    <w:t>mg/L</w:t>
                  </w:r>
                </w:p>
              </w:tc>
              <w:tc>
                <w:tcPr>
                  <w:tcW w:w="2130" w:type="dxa"/>
                  <w:tcBorders>
                    <w:tl2br w:val="nil"/>
                    <w:tr2bl w:val="nil"/>
                  </w:tcBorders>
                  <w:vAlign w:val="center"/>
                </w:tcPr>
                <w:p w14:paraId="4852750C">
                  <w:pPr>
                    <w:autoSpaceDE w:val="0"/>
                    <w:autoSpaceDN w:val="0"/>
                    <w:jc w:val="center"/>
                    <w:textAlignment w:val="bottom"/>
                    <w:rPr>
                      <w:rFonts w:hAnsi="宋体"/>
                      <w:color w:val="auto"/>
                      <w:szCs w:val="21"/>
                    </w:rPr>
                  </w:pPr>
                  <w:r>
                    <w:rPr>
                      <w:rFonts w:hint="eastAsia" w:hAnsi="宋体"/>
                      <w:color w:val="auto"/>
                      <w:szCs w:val="21"/>
                    </w:rPr>
                    <w:t>300</w:t>
                  </w:r>
                  <w:r>
                    <w:rPr>
                      <w:rFonts w:hAnsi="宋体"/>
                      <w:color w:val="auto"/>
                      <w:szCs w:val="21"/>
                    </w:rPr>
                    <w:t>mg/L</w:t>
                  </w:r>
                </w:p>
              </w:tc>
            </w:tr>
            <w:tr w14:paraId="4F91242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04DA2463">
                  <w:pPr>
                    <w:autoSpaceDE w:val="0"/>
                    <w:autoSpaceDN w:val="0"/>
                    <w:jc w:val="center"/>
                    <w:textAlignment w:val="bottom"/>
                    <w:rPr>
                      <w:rFonts w:hAnsi="宋体"/>
                      <w:color w:val="auto"/>
                      <w:szCs w:val="21"/>
                    </w:rPr>
                  </w:pPr>
                  <w:r>
                    <w:rPr>
                      <w:rFonts w:hAnsi="宋体"/>
                      <w:color w:val="auto"/>
                      <w:szCs w:val="21"/>
                    </w:rPr>
                    <w:t>SS</w:t>
                  </w:r>
                </w:p>
              </w:tc>
              <w:tc>
                <w:tcPr>
                  <w:tcW w:w="1596" w:type="pct"/>
                  <w:tcBorders>
                    <w:tl2br w:val="nil"/>
                    <w:tr2bl w:val="nil"/>
                  </w:tcBorders>
                  <w:vAlign w:val="center"/>
                </w:tcPr>
                <w:p w14:paraId="3F9C0085">
                  <w:pPr>
                    <w:autoSpaceDE w:val="0"/>
                    <w:autoSpaceDN w:val="0"/>
                    <w:jc w:val="center"/>
                    <w:textAlignment w:val="bottom"/>
                    <w:rPr>
                      <w:rFonts w:hAnsi="宋体"/>
                      <w:color w:val="auto"/>
                      <w:szCs w:val="21"/>
                    </w:rPr>
                  </w:pPr>
                  <w:r>
                    <w:rPr>
                      <w:rFonts w:hAnsi="宋体"/>
                      <w:color w:val="auto"/>
                      <w:szCs w:val="21"/>
                    </w:rPr>
                    <w:t>400mg/L</w:t>
                  </w:r>
                </w:p>
              </w:tc>
              <w:tc>
                <w:tcPr>
                  <w:tcW w:w="1168" w:type="pct"/>
                  <w:tcBorders>
                    <w:tl2br w:val="nil"/>
                    <w:tr2bl w:val="nil"/>
                  </w:tcBorders>
                  <w:vAlign w:val="center"/>
                </w:tcPr>
                <w:p w14:paraId="5625EFCF">
                  <w:pPr>
                    <w:autoSpaceDE w:val="0"/>
                    <w:autoSpaceDN w:val="0"/>
                    <w:jc w:val="center"/>
                    <w:textAlignment w:val="bottom"/>
                    <w:rPr>
                      <w:rFonts w:hAnsi="宋体"/>
                      <w:color w:val="auto"/>
                      <w:szCs w:val="21"/>
                    </w:rPr>
                  </w:pPr>
                  <w:r>
                    <w:rPr>
                      <w:rFonts w:hint="eastAsia" w:hAnsi="宋体"/>
                      <w:color w:val="auto"/>
                      <w:szCs w:val="21"/>
                    </w:rPr>
                    <w:t>400</w:t>
                  </w:r>
                  <w:r>
                    <w:rPr>
                      <w:rFonts w:hAnsi="宋体"/>
                      <w:color w:val="auto"/>
                      <w:szCs w:val="21"/>
                    </w:rPr>
                    <w:t>mg/L</w:t>
                  </w:r>
                </w:p>
              </w:tc>
              <w:tc>
                <w:tcPr>
                  <w:tcW w:w="2130" w:type="dxa"/>
                  <w:tcBorders>
                    <w:tl2br w:val="nil"/>
                    <w:tr2bl w:val="nil"/>
                  </w:tcBorders>
                  <w:vAlign w:val="center"/>
                </w:tcPr>
                <w:p w14:paraId="28A28942">
                  <w:pPr>
                    <w:autoSpaceDE w:val="0"/>
                    <w:autoSpaceDN w:val="0"/>
                    <w:jc w:val="center"/>
                    <w:textAlignment w:val="bottom"/>
                    <w:rPr>
                      <w:rFonts w:hAnsi="宋体"/>
                      <w:color w:val="auto"/>
                      <w:szCs w:val="21"/>
                    </w:rPr>
                  </w:pPr>
                  <w:r>
                    <w:rPr>
                      <w:rFonts w:hint="eastAsia" w:hAnsi="宋体"/>
                      <w:color w:val="auto"/>
                      <w:szCs w:val="21"/>
                    </w:rPr>
                    <w:t>400</w:t>
                  </w:r>
                  <w:r>
                    <w:rPr>
                      <w:rFonts w:hAnsi="宋体"/>
                      <w:color w:val="auto"/>
                      <w:szCs w:val="21"/>
                    </w:rPr>
                    <w:t>mg/L</w:t>
                  </w:r>
                </w:p>
              </w:tc>
            </w:tr>
            <w:tr w14:paraId="496B2C2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1D65C80A">
                  <w:pPr>
                    <w:autoSpaceDE w:val="0"/>
                    <w:autoSpaceDN w:val="0"/>
                    <w:jc w:val="center"/>
                    <w:textAlignment w:val="bottom"/>
                    <w:rPr>
                      <w:rFonts w:hAnsi="宋体"/>
                      <w:color w:val="auto"/>
                      <w:szCs w:val="21"/>
                    </w:rPr>
                  </w:pPr>
                  <w:r>
                    <w:rPr>
                      <w:rFonts w:hAnsi="宋体"/>
                      <w:color w:val="auto"/>
                      <w:szCs w:val="21"/>
                    </w:rPr>
                    <w:t>氨氮</w:t>
                  </w:r>
                </w:p>
              </w:tc>
              <w:tc>
                <w:tcPr>
                  <w:tcW w:w="1596" w:type="pct"/>
                  <w:tcBorders>
                    <w:tl2br w:val="nil"/>
                    <w:tr2bl w:val="nil"/>
                  </w:tcBorders>
                  <w:vAlign w:val="center"/>
                </w:tcPr>
                <w:p w14:paraId="6201A0E9">
                  <w:pPr>
                    <w:autoSpaceDE w:val="0"/>
                    <w:autoSpaceDN w:val="0"/>
                    <w:jc w:val="center"/>
                    <w:textAlignment w:val="bottom"/>
                    <w:rPr>
                      <w:color w:val="auto"/>
                      <w:szCs w:val="21"/>
                    </w:rPr>
                  </w:pPr>
                  <w:r>
                    <w:rPr>
                      <w:color w:val="auto"/>
                      <w:szCs w:val="21"/>
                    </w:rPr>
                    <w:t>—</w:t>
                  </w:r>
                </w:p>
              </w:tc>
              <w:tc>
                <w:tcPr>
                  <w:tcW w:w="1168" w:type="pct"/>
                  <w:tcBorders>
                    <w:tl2br w:val="nil"/>
                    <w:tr2bl w:val="nil"/>
                  </w:tcBorders>
                  <w:vAlign w:val="center"/>
                </w:tcPr>
                <w:p w14:paraId="1FDBE414">
                  <w:pPr>
                    <w:autoSpaceDE w:val="0"/>
                    <w:autoSpaceDN w:val="0"/>
                    <w:jc w:val="center"/>
                    <w:textAlignment w:val="bottom"/>
                    <w:rPr>
                      <w:rFonts w:hAnsi="宋体"/>
                      <w:color w:val="auto"/>
                      <w:szCs w:val="21"/>
                    </w:rPr>
                  </w:pPr>
                  <w:r>
                    <w:rPr>
                      <w:rFonts w:hint="eastAsia" w:hAnsi="宋体"/>
                      <w:color w:val="auto"/>
                      <w:szCs w:val="21"/>
                    </w:rPr>
                    <w:t>40</w:t>
                  </w:r>
                  <w:r>
                    <w:rPr>
                      <w:rFonts w:hAnsi="宋体"/>
                      <w:color w:val="auto"/>
                      <w:szCs w:val="21"/>
                    </w:rPr>
                    <w:t>mg/L</w:t>
                  </w:r>
                </w:p>
              </w:tc>
              <w:tc>
                <w:tcPr>
                  <w:tcW w:w="2130" w:type="dxa"/>
                  <w:tcBorders>
                    <w:tl2br w:val="nil"/>
                    <w:tr2bl w:val="nil"/>
                  </w:tcBorders>
                  <w:vAlign w:val="center"/>
                </w:tcPr>
                <w:p w14:paraId="6D926F94">
                  <w:pPr>
                    <w:autoSpaceDE w:val="0"/>
                    <w:autoSpaceDN w:val="0"/>
                    <w:jc w:val="center"/>
                    <w:textAlignment w:val="bottom"/>
                    <w:rPr>
                      <w:rFonts w:hAnsi="宋体"/>
                      <w:color w:val="auto"/>
                      <w:szCs w:val="21"/>
                    </w:rPr>
                  </w:pPr>
                  <w:r>
                    <w:rPr>
                      <w:rFonts w:hint="eastAsia" w:hAnsi="宋体"/>
                      <w:color w:val="auto"/>
                      <w:szCs w:val="21"/>
                    </w:rPr>
                    <w:t>40</w:t>
                  </w:r>
                  <w:r>
                    <w:rPr>
                      <w:rFonts w:hAnsi="宋体"/>
                      <w:color w:val="auto"/>
                      <w:szCs w:val="21"/>
                    </w:rPr>
                    <w:t>mg/L</w:t>
                  </w:r>
                </w:p>
              </w:tc>
            </w:tr>
            <w:tr w14:paraId="17DB059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4C39B394">
                  <w:pPr>
                    <w:autoSpaceDE w:val="0"/>
                    <w:autoSpaceDN w:val="0"/>
                    <w:jc w:val="center"/>
                    <w:textAlignment w:val="bottom"/>
                    <w:rPr>
                      <w:rFonts w:hAnsi="宋体"/>
                      <w:color w:val="auto"/>
                      <w:szCs w:val="21"/>
                    </w:rPr>
                  </w:pPr>
                  <w:r>
                    <w:rPr>
                      <w:rFonts w:hAnsi="宋体"/>
                      <w:color w:val="auto"/>
                      <w:szCs w:val="21"/>
                    </w:rPr>
                    <w:t>TN</w:t>
                  </w:r>
                </w:p>
              </w:tc>
              <w:tc>
                <w:tcPr>
                  <w:tcW w:w="1596" w:type="pct"/>
                  <w:tcBorders>
                    <w:tl2br w:val="nil"/>
                    <w:tr2bl w:val="nil"/>
                  </w:tcBorders>
                  <w:vAlign w:val="center"/>
                </w:tcPr>
                <w:p w14:paraId="3382D7E6">
                  <w:pPr>
                    <w:autoSpaceDE w:val="0"/>
                    <w:autoSpaceDN w:val="0"/>
                    <w:jc w:val="center"/>
                    <w:textAlignment w:val="bottom"/>
                    <w:rPr>
                      <w:color w:val="auto"/>
                      <w:szCs w:val="21"/>
                    </w:rPr>
                  </w:pPr>
                  <w:r>
                    <w:rPr>
                      <w:color w:val="auto"/>
                      <w:szCs w:val="21"/>
                    </w:rPr>
                    <w:t>—</w:t>
                  </w:r>
                </w:p>
              </w:tc>
              <w:tc>
                <w:tcPr>
                  <w:tcW w:w="1168" w:type="pct"/>
                  <w:tcBorders>
                    <w:tl2br w:val="nil"/>
                    <w:tr2bl w:val="nil"/>
                  </w:tcBorders>
                  <w:vAlign w:val="center"/>
                </w:tcPr>
                <w:p w14:paraId="6A37533A">
                  <w:pPr>
                    <w:autoSpaceDE w:val="0"/>
                    <w:autoSpaceDN w:val="0"/>
                    <w:jc w:val="center"/>
                    <w:textAlignment w:val="bottom"/>
                    <w:rPr>
                      <w:rFonts w:hAnsi="宋体"/>
                      <w:color w:val="auto"/>
                      <w:szCs w:val="21"/>
                    </w:rPr>
                  </w:pPr>
                  <w:r>
                    <w:rPr>
                      <w:rFonts w:hint="eastAsia" w:hAnsi="宋体"/>
                      <w:color w:val="auto"/>
                      <w:szCs w:val="21"/>
                    </w:rPr>
                    <w:t>50</w:t>
                  </w:r>
                  <w:r>
                    <w:rPr>
                      <w:rFonts w:hAnsi="宋体"/>
                      <w:color w:val="auto"/>
                      <w:szCs w:val="21"/>
                    </w:rPr>
                    <w:t>mg/L</w:t>
                  </w:r>
                </w:p>
              </w:tc>
              <w:tc>
                <w:tcPr>
                  <w:tcW w:w="2130" w:type="dxa"/>
                  <w:tcBorders>
                    <w:tl2br w:val="nil"/>
                    <w:tr2bl w:val="nil"/>
                  </w:tcBorders>
                  <w:vAlign w:val="center"/>
                </w:tcPr>
                <w:p w14:paraId="7F448C55">
                  <w:pPr>
                    <w:autoSpaceDE w:val="0"/>
                    <w:autoSpaceDN w:val="0"/>
                    <w:jc w:val="center"/>
                    <w:textAlignment w:val="bottom"/>
                    <w:rPr>
                      <w:rFonts w:hAnsi="宋体"/>
                      <w:color w:val="auto"/>
                      <w:szCs w:val="21"/>
                    </w:rPr>
                  </w:pPr>
                  <w:r>
                    <w:rPr>
                      <w:rFonts w:hint="eastAsia" w:hAnsi="宋体"/>
                      <w:color w:val="auto"/>
                      <w:szCs w:val="21"/>
                    </w:rPr>
                    <w:t>50</w:t>
                  </w:r>
                  <w:r>
                    <w:rPr>
                      <w:rFonts w:hAnsi="宋体"/>
                      <w:color w:val="auto"/>
                      <w:szCs w:val="21"/>
                    </w:rPr>
                    <w:t>mg/L</w:t>
                  </w:r>
                </w:p>
              </w:tc>
            </w:tr>
            <w:tr w14:paraId="6841D81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369" w:hRule="atLeast"/>
                <w:jc w:val="center"/>
              </w:trPr>
              <w:tc>
                <w:tcPr>
                  <w:tcW w:w="1067" w:type="pct"/>
                  <w:tcBorders>
                    <w:tl2br w:val="nil"/>
                    <w:tr2bl w:val="nil"/>
                  </w:tcBorders>
                  <w:vAlign w:val="center"/>
                </w:tcPr>
                <w:p w14:paraId="7242BB7E">
                  <w:pPr>
                    <w:autoSpaceDE w:val="0"/>
                    <w:autoSpaceDN w:val="0"/>
                    <w:jc w:val="center"/>
                    <w:textAlignment w:val="bottom"/>
                    <w:rPr>
                      <w:rFonts w:hAnsi="宋体"/>
                      <w:color w:val="auto"/>
                      <w:szCs w:val="21"/>
                    </w:rPr>
                  </w:pPr>
                  <w:r>
                    <w:rPr>
                      <w:rFonts w:hAnsi="宋体"/>
                      <w:color w:val="auto"/>
                      <w:szCs w:val="21"/>
                    </w:rPr>
                    <w:t>TP</w:t>
                  </w:r>
                </w:p>
              </w:tc>
              <w:tc>
                <w:tcPr>
                  <w:tcW w:w="1596" w:type="pct"/>
                  <w:tcBorders>
                    <w:tl2br w:val="nil"/>
                    <w:tr2bl w:val="nil"/>
                  </w:tcBorders>
                  <w:vAlign w:val="center"/>
                </w:tcPr>
                <w:p w14:paraId="0002D67F">
                  <w:pPr>
                    <w:autoSpaceDE w:val="0"/>
                    <w:autoSpaceDN w:val="0"/>
                    <w:jc w:val="center"/>
                    <w:textAlignment w:val="bottom"/>
                    <w:rPr>
                      <w:color w:val="auto"/>
                      <w:szCs w:val="21"/>
                    </w:rPr>
                  </w:pPr>
                  <w:r>
                    <w:rPr>
                      <w:color w:val="auto"/>
                      <w:szCs w:val="21"/>
                    </w:rPr>
                    <w:t>—</w:t>
                  </w:r>
                </w:p>
              </w:tc>
              <w:tc>
                <w:tcPr>
                  <w:tcW w:w="1168" w:type="pct"/>
                  <w:tcBorders>
                    <w:tl2br w:val="nil"/>
                    <w:tr2bl w:val="nil"/>
                  </w:tcBorders>
                  <w:vAlign w:val="center"/>
                </w:tcPr>
                <w:p w14:paraId="72B1D2F4">
                  <w:pPr>
                    <w:autoSpaceDE w:val="0"/>
                    <w:autoSpaceDN w:val="0"/>
                    <w:jc w:val="center"/>
                    <w:textAlignment w:val="bottom"/>
                    <w:rPr>
                      <w:rFonts w:hAnsi="宋体"/>
                      <w:color w:val="auto"/>
                      <w:szCs w:val="21"/>
                    </w:rPr>
                  </w:pPr>
                  <w:r>
                    <w:rPr>
                      <w:rFonts w:hint="eastAsia" w:hAnsi="宋体"/>
                      <w:color w:val="auto"/>
                      <w:szCs w:val="21"/>
                    </w:rPr>
                    <w:t>4</w:t>
                  </w:r>
                  <w:r>
                    <w:rPr>
                      <w:rFonts w:hAnsi="宋体"/>
                      <w:color w:val="auto"/>
                      <w:szCs w:val="21"/>
                    </w:rPr>
                    <w:t>mg/L</w:t>
                  </w:r>
                </w:p>
              </w:tc>
              <w:tc>
                <w:tcPr>
                  <w:tcW w:w="2130" w:type="dxa"/>
                  <w:tcBorders>
                    <w:tl2br w:val="nil"/>
                    <w:tr2bl w:val="nil"/>
                  </w:tcBorders>
                  <w:vAlign w:val="center"/>
                </w:tcPr>
                <w:p w14:paraId="5EAC4B34">
                  <w:pPr>
                    <w:autoSpaceDE w:val="0"/>
                    <w:autoSpaceDN w:val="0"/>
                    <w:jc w:val="center"/>
                    <w:textAlignment w:val="bottom"/>
                    <w:rPr>
                      <w:rFonts w:hAnsi="宋体"/>
                      <w:color w:val="auto"/>
                      <w:szCs w:val="21"/>
                    </w:rPr>
                  </w:pPr>
                  <w:r>
                    <w:rPr>
                      <w:rFonts w:hint="eastAsia" w:hAnsi="宋体"/>
                      <w:color w:val="auto"/>
                      <w:szCs w:val="21"/>
                    </w:rPr>
                    <w:t>4</w:t>
                  </w:r>
                  <w:r>
                    <w:rPr>
                      <w:rFonts w:hAnsi="宋体"/>
                      <w:color w:val="auto"/>
                      <w:szCs w:val="21"/>
                    </w:rPr>
                    <w:t>mg/L</w:t>
                  </w:r>
                </w:p>
              </w:tc>
            </w:tr>
          </w:tbl>
          <w:p w14:paraId="19C4126B">
            <w:pPr>
              <w:spacing w:line="360" w:lineRule="auto"/>
              <w:ind w:firstLine="480" w:firstLineChars="200"/>
              <w:rPr>
                <w:color w:val="auto"/>
                <w:sz w:val="24"/>
              </w:rPr>
            </w:pPr>
            <w:r>
              <w:rPr>
                <w:rFonts w:hint="eastAsia"/>
                <w:color w:val="auto"/>
                <w:sz w:val="24"/>
              </w:rPr>
              <w:t>3、噪声</w:t>
            </w:r>
          </w:p>
          <w:p w14:paraId="0C83105B">
            <w:pPr>
              <w:spacing w:line="360" w:lineRule="auto"/>
              <w:ind w:firstLine="480" w:firstLineChars="200"/>
              <w:rPr>
                <w:color w:val="auto"/>
              </w:rPr>
            </w:pPr>
            <w:r>
              <w:rPr>
                <w:color w:val="auto"/>
                <w:kern w:val="0"/>
                <w:sz w:val="24"/>
              </w:rPr>
              <w:t>本项目运营期厂界</w:t>
            </w:r>
            <w:r>
              <w:rPr>
                <w:rFonts w:hint="eastAsia"/>
                <w:bCs/>
                <w:color w:val="auto"/>
                <w:sz w:val="24"/>
                <w:lang w:val="en-US" w:eastAsia="zh-CN"/>
              </w:rPr>
              <w:t>四周</w:t>
            </w:r>
            <w:r>
              <w:rPr>
                <w:bCs/>
                <w:color w:val="auto"/>
                <w:sz w:val="24"/>
              </w:rPr>
              <w:t>噪声满足《工业企业厂界环境噪声排放标准》（GB12348-2008）表1中</w:t>
            </w:r>
            <w:r>
              <w:rPr>
                <w:rFonts w:hint="eastAsia"/>
                <w:color w:val="auto"/>
                <w:sz w:val="24"/>
              </w:rPr>
              <w:t>3</w:t>
            </w:r>
            <w:r>
              <w:rPr>
                <w:color w:val="auto"/>
                <w:sz w:val="24"/>
              </w:rPr>
              <w:t>类标准（昼间≤6</w:t>
            </w:r>
            <w:r>
              <w:rPr>
                <w:rFonts w:hint="eastAsia"/>
                <w:color w:val="auto"/>
                <w:sz w:val="24"/>
              </w:rPr>
              <w:t>5</w:t>
            </w:r>
            <w:r>
              <w:rPr>
                <w:color w:val="auto"/>
                <w:sz w:val="24"/>
              </w:rPr>
              <w:t>dB（A），夜间≤</w:t>
            </w:r>
            <w:r>
              <w:rPr>
                <w:rFonts w:hint="eastAsia"/>
                <w:color w:val="auto"/>
                <w:sz w:val="24"/>
              </w:rPr>
              <w:t>55</w:t>
            </w:r>
            <w:r>
              <w:rPr>
                <w:color w:val="auto"/>
                <w:sz w:val="24"/>
              </w:rPr>
              <w:t>dB（A））</w:t>
            </w:r>
            <w:r>
              <w:rPr>
                <w:color w:val="auto"/>
                <w:kern w:val="0"/>
                <w:sz w:val="24"/>
              </w:rPr>
              <w:t>。</w:t>
            </w:r>
          </w:p>
          <w:p w14:paraId="70B3AABC">
            <w:pPr>
              <w:pStyle w:val="95"/>
              <w:ind w:firstLine="0"/>
              <w:rPr>
                <w:color w:val="auto"/>
              </w:rPr>
            </w:pPr>
            <w:r>
              <w:rPr>
                <w:color w:val="auto"/>
              </w:rPr>
              <w:t>表</w:t>
            </w:r>
            <w:r>
              <w:rPr>
                <w:rFonts w:hint="eastAsia"/>
                <w:color w:val="auto"/>
              </w:rPr>
              <w:t>3-</w:t>
            </w:r>
            <w:r>
              <w:rPr>
                <w:rFonts w:hint="eastAsia"/>
                <w:color w:val="auto"/>
                <w:lang w:val="en-US" w:eastAsia="zh-CN"/>
              </w:rPr>
              <w:t>10</w:t>
            </w:r>
            <w:r>
              <w:rPr>
                <w:color w:val="auto"/>
              </w:rPr>
              <w:t xml:space="preserve">   噪声排放执行标准一览表</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2474"/>
              <w:gridCol w:w="2200"/>
              <w:gridCol w:w="2886"/>
            </w:tblGrid>
            <w:tr w14:paraId="16227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62" w:type="pct"/>
                  <w:tcBorders>
                    <w:tl2br w:val="nil"/>
                    <w:tr2bl w:val="nil"/>
                  </w:tcBorders>
                  <w:noWrap/>
                  <w:vAlign w:val="center"/>
                </w:tcPr>
                <w:p w14:paraId="47614FB9">
                  <w:pPr>
                    <w:jc w:val="center"/>
                    <w:rPr>
                      <w:color w:val="auto"/>
                      <w:szCs w:val="21"/>
                    </w:rPr>
                  </w:pPr>
                  <w:r>
                    <w:rPr>
                      <w:color w:val="auto"/>
                      <w:szCs w:val="21"/>
                    </w:rPr>
                    <w:t>时段</w:t>
                  </w:r>
                </w:p>
              </w:tc>
              <w:tc>
                <w:tcPr>
                  <w:tcW w:w="1386" w:type="pct"/>
                  <w:tcBorders>
                    <w:tl2br w:val="nil"/>
                    <w:tr2bl w:val="nil"/>
                  </w:tcBorders>
                  <w:noWrap/>
                  <w:vAlign w:val="center"/>
                </w:tcPr>
                <w:p w14:paraId="31F1947F">
                  <w:pPr>
                    <w:jc w:val="center"/>
                    <w:rPr>
                      <w:color w:val="auto"/>
                      <w:szCs w:val="21"/>
                    </w:rPr>
                  </w:pPr>
                  <w:r>
                    <w:rPr>
                      <w:color w:val="auto"/>
                      <w:szCs w:val="21"/>
                    </w:rPr>
                    <w:t>声环境功能区类别</w:t>
                  </w:r>
                </w:p>
              </w:tc>
              <w:tc>
                <w:tcPr>
                  <w:tcW w:w="2850" w:type="pct"/>
                  <w:gridSpan w:val="2"/>
                  <w:tcBorders>
                    <w:tl2br w:val="nil"/>
                    <w:tr2bl w:val="nil"/>
                  </w:tcBorders>
                  <w:noWrap/>
                  <w:vAlign w:val="center"/>
                </w:tcPr>
                <w:p w14:paraId="2637CB9C">
                  <w:pPr>
                    <w:jc w:val="center"/>
                    <w:rPr>
                      <w:color w:val="auto"/>
                      <w:szCs w:val="21"/>
                    </w:rPr>
                  </w:pPr>
                  <w:r>
                    <w:rPr>
                      <w:color w:val="auto"/>
                      <w:szCs w:val="21"/>
                    </w:rPr>
                    <w:t>标准限值dB(A)</w:t>
                  </w:r>
                </w:p>
              </w:tc>
            </w:tr>
            <w:tr w14:paraId="08D828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762" w:type="pct"/>
                  <w:vMerge w:val="restart"/>
                  <w:tcBorders>
                    <w:tl2br w:val="nil"/>
                    <w:tr2bl w:val="nil"/>
                  </w:tcBorders>
                  <w:noWrap/>
                  <w:vAlign w:val="center"/>
                </w:tcPr>
                <w:p w14:paraId="23808096">
                  <w:pPr>
                    <w:jc w:val="center"/>
                    <w:rPr>
                      <w:color w:val="auto"/>
                      <w:szCs w:val="21"/>
                    </w:rPr>
                  </w:pPr>
                  <w:r>
                    <w:rPr>
                      <w:color w:val="auto"/>
                      <w:szCs w:val="21"/>
                    </w:rPr>
                    <w:t>运营期</w:t>
                  </w:r>
                </w:p>
              </w:tc>
              <w:tc>
                <w:tcPr>
                  <w:tcW w:w="1386" w:type="pct"/>
                  <w:vMerge w:val="restart"/>
                  <w:tcBorders>
                    <w:tl2br w:val="nil"/>
                    <w:tr2bl w:val="nil"/>
                  </w:tcBorders>
                  <w:noWrap/>
                  <w:vAlign w:val="center"/>
                </w:tcPr>
                <w:p w14:paraId="672FA8C7">
                  <w:pPr>
                    <w:adjustRightInd w:val="0"/>
                    <w:snapToGrid w:val="0"/>
                    <w:spacing w:line="240" w:lineRule="exact"/>
                    <w:jc w:val="center"/>
                    <w:rPr>
                      <w:color w:val="auto"/>
                      <w:szCs w:val="21"/>
                    </w:rPr>
                  </w:pPr>
                  <w:r>
                    <w:rPr>
                      <w:rFonts w:hint="eastAsia"/>
                      <w:color w:val="auto"/>
                      <w:szCs w:val="21"/>
                    </w:rPr>
                    <w:t>3</w:t>
                  </w:r>
                  <w:r>
                    <w:rPr>
                      <w:color w:val="auto"/>
                      <w:szCs w:val="21"/>
                    </w:rPr>
                    <w:t>类标准</w:t>
                  </w:r>
                  <w:r>
                    <w:rPr>
                      <w:rFonts w:hint="eastAsia"/>
                      <w:color w:val="auto"/>
                    </w:rPr>
                    <w:t>（南侧和西侧）</w:t>
                  </w:r>
                </w:p>
              </w:tc>
              <w:tc>
                <w:tcPr>
                  <w:tcW w:w="1233" w:type="pct"/>
                  <w:tcBorders>
                    <w:tl2br w:val="nil"/>
                    <w:tr2bl w:val="nil"/>
                  </w:tcBorders>
                  <w:noWrap/>
                  <w:vAlign w:val="center"/>
                </w:tcPr>
                <w:p w14:paraId="301A4048">
                  <w:pPr>
                    <w:jc w:val="center"/>
                    <w:rPr>
                      <w:color w:val="auto"/>
                      <w:szCs w:val="21"/>
                    </w:rPr>
                  </w:pPr>
                  <w:r>
                    <w:rPr>
                      <w:color w:val="auto"/>
                      <w:szCs w:val="21"/>
                    </w:rPr>
                    <w:t>昼间</w:t>
                  </w:r>
                </w:p>
              </w:tc>
              <w:tc>
                <w:tcPr>
                  <w:tcW w:w="1616" w:type="pct"/>
                  <w:tcBorders>
                    <w:tl2br w:val="nil"/>
                    <w:tr2bl w:val="nil"/>
                  </w:tcBorders>
                  <w:noWrap/>
                  <w:vAlign w:val="center"/>
                </w:tcPr>
                <w:p w14:paraId="420DF120">
                  <w:pPr>
                    <w:jc w:val="center"/>
                    <w:rPr>
                      <w:color w:val="auto"/>
                      <w:szCs w:val="21"/>
                    </w:rPr>
                  </w:pPr>
                  <w:r>
                    <w:rPr>
                      <w:color w:val="auto"/>
                      <w:szCs w:val="21"/>
                    </w:rPr>
                    <w:t>夜间</w:t>
                  </w:r>
                </w:p>
              </w:tc>
            </w:tr>
            <w:tr w14:paraId="4CC105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 w:hRule="atLeast"/>
                <w:jc w:val="center"/>
              </w:trPr>
              <w:tc>
                <w:tcPr>
                  <w:tcW w:w="762" w:type="pct"/>
                  <w:vMerge w:val="continue"/>
                  <w:tcBorders>
                    <w:tl2br w:val="nil"/>
                    <w:tr2bl w:val="nil"/>
                  </w:tcBorders>
                  <w:noWrap/>
                  <w:vAlign w:val="center"/>
                </w:tcPr>
                <w:p w14:paraId="3D093EBD">
                  <w:pPr>
                    <w:widowControl/>
                    <w:jc w:val="left"/>
                    <w:rPr>
                      <w:color w:val="auto"/>
                      <w:szCs w:val="21"/>
                    </w:rPr>
                  </w:pPr>
                </w:p>
              </w:tc>
              <w:tc>
                <w:tcPr>
                  <w:tcW w:w="1386" w:type="pct"/>
                  <w:vMerge w:val="continue"/>
                  <w:tcBorders>
                    <w:tl2br w:val="nil"/>
                    <w:tr2bl w:val="nil"/>
                  </w:tcBorders>
                  <w:noWrap/>
                  <w:vAlign w:val="center"/>
                </w:tcPr>
                <w:p w14:paraId="568587B7">
                  <w:pPr>
                    <w:adjustRightInd w:val="0"/>
                    <w:snapToGrid w:val="0"/>
                    <w:spacing w:line="240" w:lineRule="exact"/>
                    <w:jc w:val="center"/>
                    <w:rPr>
                      <w:color w:val="auto"/>
                      <w:szCs w:val="21"/>
                    </w:rPr>
                  </w:pPr>
                </w:p>
              </w:tc>
              <w:tc>
                <w:tcPr>
                  <w:tcW w:w="1233" w:type="pct"/>
                  <w:tcBorders>
                    <w:tl2br w:val="nil"/>
                    <w:tr2bl w:val="nil"/>
                  </w:tcBorders>
                  <w:noWrap/>
                  <w:vAlign w:val="center"/>
                </w:tcPr>
                <w:p w14:paraId="0F992E84">
                  <w:pPr>
                    <w:jc w:val="center"/>
                    <w:rPr>
                      <w:color w:val="auto"/>
                      <w:szCs w:val="21"/>
                    </w:rPr>
                  </w:pPr>
                  <w:r>
                    <w:rPr>
                      <w:color w:val="auto"/>
                      <w:szCs w:val="21"/>
                    </w:rPr>
                    <w:t>≤6</w:t>
                  </w:r>
                  <w:r>
                    <w:rPr>
                      <w:rFonts w:hint="eastAsia"/>
                      <w:color w:val="auto"/>
                      <w:szCs w:val="21"/>
                    </w:rPr>
                    <w:t>5</w:t>
                  </w:r>
                </w:p>
              </w:tc>
              <w:tc>
                <w:tcPr>
                  <w:tcW w:w="1616" w:type="pct"/>
                  <w:tcBorders>
                    <w:tl2br w:val="nil"/>
                    <w:tr2bl w:val="nil"/>
                  </w:tcBorders>
                  <w:noWrap/>
                  <w:vAlign w:val="center"/>
                </w:tcPr>
                <w:p w14:paraId="2B71E35B">
                  <w:pPr>
                    <w:jc w:val="center"/>
                    <w:rPr>
                      <w:color w:val="auto"/>
                      <w:szCs w:val="21"/>
                    </w:rPr>
                  </w:pPr>
                  <w:r>
                    <w:rPr>
                      <w:color w:val="auto"/>
                      <w:szCs w:val="21"/>
                    </w:rPr>
                    <w:t>≤5</w:t>
                  </w:r>
                  <w:r>
                    <w:rPr>
                      <w:rFonts w:hint="eastAsia"/>
                      <w:color w:val="auto"/>
                      <w:szCs w:val="21"/>
                    </w:rPr>
                    <w:t>5</w:t>
                  </w:r>
                </w:p>
              </w:tc>
            </w:tr>
          </w:tbl>
          <w:p w14:paraId="34B44CE8">
            <w:pPr>
              <w:spacing w:line="360" w:lineRule="auto"/>
              <w:ind w:firstLine="480" w:firstLineChars="200"/>
              <w:jc w:val="left"/>
              <w:rPr>
                <w:color w:val="auto"/>
                <w:sz w:val="24"/>
              </w:rPr>
            </w:pPr>
            <w:bookmarkStart w:id="43" w:name="_Toc2540"/>
            <w:r>
              <w:rPr>
                <w:rFonts w:hint="eastAsia"/>
                <w:color w:val="auto"/>
                <w:sz w:val="24"/>
              </w:rPr>
              <w:t>4</w:t>
            </w:r>
            <w:r>
              <w:rPr>
                <w:color w:val="auto"/>
                <w:sz w:val="24"/>
              </w:rPr>
              <w:t>、固体废物污染控制标准</w:t>
            </w:r>
          </w:p>
          <w:p w14:paraId="3A366078">
            <w:pPr>
              <w:spacing w:line="360" w:lineRule="auto"/>
              <w:ind w:firstLine="480" w:firstLineChars="200"/>
              <w:rPr>
                <w:color w:val="auto"/>
              </w:rPr>
            </w:pPr>
            <w:bookmarkStart w:id="44" w:name="_Toc8350"/>
            <w:bookmarkStart w:id="45" w:name="_Toc27002"/>
            <w:r>
              <w:rPr>
                <w:color w:val="auto"/>
                <w:sz w:val="24"/>
              </w:rPr>
              <w:t>一般固体废物执行《一般工业固体废物贮存和填埋污染控制标准》（GB18599-2020）和《一般固体废物分类与代码》（GB/T39198-2020）有关要求。</w:t>
            </w:r>
            <w:bookmarkEnd w:id="43"/>
            <w:bookmarkEnd w:id="44"/>
            <w:bookmarkEnd w:id="45"/>
          </w:p>
        </w:tc>
      </w:tr>
      <w:tr w14:paraId="7FD8E8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62" w:type="pct"/>
            <w:vAlign w:val="center"/>
          </w:tcPr>
          <w:p w14:paraId="2ECCF3BC">
            <w:pPr>
              <w:adjustRightInd w:val="0"/>
              <w:snapToGrid w:val="0"/>
              <w:jc w:val="center"/>
              <w:rPr>
                <w:color w:val="auto"/>
                <w:kern w:val="0"/>
                <w:sz w:val="24"/>
                <w:szCs w:val="21"/>
              </w:rPr>
            </w:pPr>
            <w:r>
              <w:rPr>
                <w:color w:val="auto"/>
                <w:kern w:val="0"/>
                <w:sz w:val="24"/>
                <w:szCs w:val="21"/>
              </w:rPr>
              <w:t>总量</w:t>
            </w:r>
          </w:p>
          <w:p w14:paraId="5382F791">
            <w:pPr>
              <w:adjustRightInd w:val="0"/>
              <w:snapToGrid w:val="0"/>
              <w:jc w:val="center"/>
              <w:rPr>
                <w:color w:val="auto"/>
                <w:kern w:val="0"/>
                <w:sz w:val="24"/>
                <w:szCs w:val="21"/>
              </w:rPr>
            </w:pPr>
            <w:r>
              <w:rPr>
                <w:color w:val="auto"/>
                <w:kern w:val="0"/>
                <w:sz w:val="24"/>
                <w:szCs w:val="21"/>
              </w:rPr>
              <w:t>控制</w:t>
            </w:r>
          </w:p>
          <w:p w14:paraId="6C76A855">
            <w:pPr>
              <w:adjustRightInd w:val="0"/>
              <w:snapToGrid w:val="0"/>
              <w:jc w:val="center"/>
              <w:rPr>
                <w:color w:val="auto"/>
                <w:kern w:val="0"/>
                <w:sz w:val="24"/>
                <w:szCs w:val="21"/>
              </w:rPr>
            </w:pPr>
            <w:r>
              <w:rPr>
                <w:color w:val="auto"/>
                <w:kern w:val="0"/>
                <w:sz w:val="24"/>
                <w:szCs w:val="21"/>
              </w:rPr>
              <w:t>指标</w:t>
            </w:r>
          </w:p>
        </w:tc>
        <w:tc>
          <w:tcPr>
            <w:tcW w:w="4637" w:type="pct"/>
          </w:tcPr>
          <w:p w14:paraId="0547C258">
            <w:pPr>
              <w:pStyle w:val="22"/>
              <w:spacing w:after="0" w:line="360" w:lineRule="auto"/>
              <w:ind w:firstLine="480" w:firstLineChars="200"/>
              <w:rPr>
                <w:color w:val="auto"/>
                <w:sz w:val="24"/>
              </w:rPr>
            </w:pPr>
            <w:r>
              <w:rPr>
                <w:rFonts w:hint="eastAsia"/>
                <w:color w:val="auto"/>
                <w:sz w:val="24"/>
              </w:rPr>
              <w:t>根据《排污许可证申请与核发技术规范 锅炉》（H</w:t>
            </w:r>
            <w:r>
              <w:rPr>
                <w:color w:val="auto"/>
                <w:sz w:val="24"/>
              </w:rPr>
              <w:t>J953-2018</w:t>
            </w:r>
            <w:r>
              <w:rPr>
                <w:rFonts w:hint="eastAsia"/>
                <w:color w:val="auto"/>
                <w:sz w:val="24"/>
              </w:rPr>
              <w:t>）中表5基准烟气量取值表计算本项目燃生物质锅炉的基准烟气量。生物质蒸汽锅炉燃料量为</w:t>
            </w:r>
            <w:r>
              <w:rPr>
                <w:rFonts w:hint="eastAsia"/>
                <w:color w:val="auto"/>
                <w:sz w:val="24"/>
                <w:lang w:val="en-US" w:eastAsia="zh-CN"/>
              </w:rPr>
              <w:t>33226.68t</w:t>
            </w:r>
            <w:r>
              <w:rPr>
                <w:rFonts w:hint="eastAsia"/>
                <w:color w:val="auto"/>
                <w:sz w:val="24"/>
              </w:rPr>
              <w:t>/a。</w:t>
            </w:r>
          </w:p>
          <w:p w14:paraId="0C25D316">
            <w:pPr>
              <w:pStyle w:val="22"/>
              <w:spacing w:after="0" w:line="360" w:lineRule="auto"/>
              <w:ind w:firstLine="480" w:firstLineChars="200"/>
              <w:rPr>
                <w:color w:val="auto"/>
                <w:sz w:val="24"/>
              </w:rPr>
            </w:pPr>
            <w:r>
              <w:rPr>
                <w:rFonts w:hint="eastAsia"/>
                <w:color w:val="auto"/>
                <w:sz w:val="24"/>
              </w:rPr>
              <w:t>本项目Q</w:t>
            </w:r>
            <w:r>
              <w:rPr>
                <w:color w:val="auto"/>
                <w:sz w:val="24"/>
                <w:vertAlign w:val="subscript"/>
              </w:rPr>
              <w:t>net</w:t>
            </w:r>
            <w:r>
              <w:rPr>
                <w:rFonts w:hint="eastAsia"/>
                <w:color w:val="auto"/>
                <w:sz w:val="24"/>
                <w:vertAlign w:val="subscript"/>
              </w:rPr>
              <w:t>，ar</w:t>
            </w:r>
            <w:r>
              <w:rPr>
                <w:rFonts w:hint="eastAsia"/>
                <w:color w:val="auto"/>
                <w:sz w:val="24"/>
              </w:rPr>
              <w:t>＜</w:t>
            </w:r>
            <w:r>
              <w:rPr>
                <w:rFonts w:hint="eastAsia"/>
                <w:color w:val="auto"/>
                <w:sz w:val="24"/>
                <w:lang w:val="en-US" w:eastAsia="zh-CN"/>
              </w:rPr>
              <w:t>13.249</w:t>
            </w:r>
            <w:r>
              <w:rPr>
                <w:color w:val="auto"/>
                <w:sz w:val="24"/>
              </w:rPr>
              <w:t>MJ/kg</w:t>
            </w:r>
            <w:r>
              <w:rPr>
                <w:rFonts w:hint="eastAsia"/>
                <w:color w:val="auto"/>
                <w:sz w:val="24"/>
              </w:rPr>
              <w:t>，则基准烟气量经验公式可定为V</w:t>
            </w:r>
            <w:r>
              <w:rPr>
                <w:color w:val="auto"/>
                <w:sz w:val="24"/>
                <w:vertAlign w:val="subscript"/>
              </w:rPr>
              <w:t>gy</w:t>
            </w:r>
            <w:r>
              <w:rPr>
                <w:color w:val="auto"/>
                <w:sz w:val="24"/>
              </w:rPr>
              <w:t>=0.</w:t>
            </w:r>
            <w:r>
              <w:rPr>
                <w:rFonts w:hint="eastAsia"/>
                <w:color w:val="auto"/>
                <w:sz w:val="24"/>
              </w:rPr>
              <w:t>402</w:t>
            </w:r>
            <w:r>
              <w:rPr>
                <w:color w:val="auto"/>
                <w:sz w:val="24"/>
              </w:rPr>
              <w:t>Q</w:t>
            </w:r>
            <w:r>
              <w:rPr>
                <w:color w:val="auto"/>
                <w:sz w:val="24"/>
                <w:vertAlign w:val="subscript"/>
              </w:rPr>
              <w:t>net</w:t>
            </w:r>
            <w:r>
              <w:rPr>
                <w:rFonts w:hint="eastAsia"/>
                <w:color w:val="auto"/>
                <w:sz w:val="24"/>
                <w:vertAlign w:val="subscript"/>
              </w:rPr>
              <w:t>，ar</w:t>
            </w:r>
            <w:r>
              <w:rPr>
                <w:color w:val="auto"/>
                <w:sz w:val="24"/>
              </w:rPr>
              <w:t>+0.</w:t>
            </w:r>
            <w:r>
              <w:rPr>
                <w:rFonts w:hint="eastAsia"/>
                <w:color w:val="auto"/>
                <w:sz w:val="24"/>
              </w:rPr>
              <w:t>822=（0.402*</w:t>
            </w:r>
            <w:r>
              <w:rPr>
                <w:rFonts w:hint="eastAsia"/>
                <w:color w:val="auto"/>
                <w:sz w:val="24"/>
                <w:lang w:val="en-US" w:eastAsia="zh-CN"/>
              </w:rPr>
              <w:t>11.52</w:t>
            </w:r>
            <w:r>
              <w:rPr>
                <w:rFonts w:hint="eastAsia"/>
                <w:color w:val="auto"/>
                <w:sz w:val="24"/>
              </w:rPr>
              <w:t>+0.822）</w:t>
            </w:r>
            <w:r>
              <w:rPr>
                <w:color w:val="auto"/>
                <w:sz w:val="24"/>
              </w:rPr>
              <w:t>×</w:t>
            </w:r>
            <w:r>
              <w:rPr>
                <w:rFonts w:hint="eastAsia"/>
                <w:color w:val="auto"/>
                <w:sz w:val="24"/>
              </w:rPr>
              <w:t>1</w:t>
            </w:r>
            <w:r>
              <w:rPr>
                <w:color w:val="auto"/>
                <w:sz w:val="24"/>
              </w:rPr>
              <w:t>0</w:t>
            </w:r>
            <w:r>
              <w:rPr>
                <w:color w:val="auto"/>
                <w:sz w:val="24"/>
                <w:vertAlign w:val="superscript"/>
              </w:rPr>
              <w:t>3</w:t>
            </w:r>
            <w:r>
              <w:rPr>
                <w:rFonts w:hint="eastAsia"/>
                <w:color w:val="auto"/>
                <w:sz w:val="24"/>
              </w:rPr>
              <w:t>=5453</w:t>
            </w:r>
            <w:r>
              <w:rPr>
                <w:color w:val="auto"/>
                <w:sz w:val="24"/>
              </w:rPr>
              <w:t>Nm</w:t>
            </w:r>
            <w:r>
              <w:rPr>
                <w:color w:val="auto"/>
                <w:sz w:val="24"/>
                <w:vertAlign w:val="superscript"/>
              </w:rPr>
              <w:t>3</w:t>
            </w:r>
            <w:r>
              <w:rPr>
                <w:color w:val="auto"/>
                <w:sz w:val="24"/>
              </w:rPr>
              <w:t>/t</w:t>
            </w:r>
          </w:p>
          <w:p w14:paraId="3796BF21">
            <w:pPr>
              <w:pStyle w:val="22"/>
              <w:spacing w:after="0" w:line="360" w:lineRule="auto"/>
              <w:ind w:firstLine="480" w:firstLineChars="200"/>
              <w:rPr>
                <w:color w:val="auto"/>
                <w:sz w:val="24"/>
              </w:rPr>
            </w:pPr>
            <w:r>
              <w:rPr>
                <w:rFonts w:hint="eastAsia"/>
                <w:color w:val="auto"/>
                <w:sz w:val="24"/>
              </w:rPr>
              <w:t>颗粒物核定排放量=</w:t>
            </w:r>
            <w:r>
              <w:rPr>
                <w:rFonts w:hint="eastAsia"/>
                <w:color w:val="auto"/>
                <w:sz w:val="24"/>
                <w:lang w:val="en-US" w:eastAsia="zh-CN"/>
              </w:rPr>
              <w:t>6148.1</w:t>
            </w:r>
            <w:r>
              <w:rPr>
                <w:color w:val="auto"/>
                <w:sz w:val="24"/>
              </w:rPr>
              <w:t>Nm</w:t>
            </w:r>
            <w:r>
              <w:rPr>
                <w:color w:val="auto"/>
                <w:sz w:val="24"/>
                <w:vertAlign w:val="superscript"/>
              </w:rPr>
              <w:t>3</w:t>
            </w:r>
            <w:r>
              <w:rPr>
                <w:color w:val="auto"/>
                <w:sz w:val="24"/>
              </w:rPr>
              <w:t>/t×</w:t>
            </w:r>
            <w:r>
              <w:rPr>
                <w:rFonts w:hint="eastAsia"/>
                <w:color w:val="auto"/>
                <w:sz w:val="24"/>
                <w:lang w:val="en-US" w:eastAsia="zh-CN"/>
              </w:rPr>
              <w:t>33226.68</w:t>
            </w:r>
            <w:r>
              <w:rPr>
                <w:color w:val="auto"/>
                <w:sz w:val="24"/>
              </w:rPr>
              <w:t>t/a×</w:t>
            </w:r>
            <w:r>
              <w:rPr>
                <w:rFonts w:hint="eastAsia"/>
                <w:color w:val="auto"/>
                <w:sz w:val="24"/>
              </w:rPr>
              <w:t>5</w:t>
            </w:r>
            <w:r>
              <w:rPr>
                <w:color w:val="auto"/>
                <w:sz w:val="24"/>
              </w:rPr>
              <w:t>0mg/m</w:t>
            </w:r>
            <w:r>
              <w:rPr>
                <w:color w:val="auto"/>
                <w:sz w:val="24"/>
                <w:vertAlign w:val="superscript"/>
              </w:rPr>
              <w:t>3</w:t>
            </w:r>
            <w:r>
              <w:rPr>
                <w:color w:val="auto"/>
                <w:sz w:val="24"/>
              </w:rPr>
              <w:t>×10</w:t>
            </w:r>
            <w:r>
              <w:rPr>
                <w:color w:val="auto"/>
                <w:sz w:val="24"/>
                <w:vertAlign w:val="superscript"/>
              </w:rPr>
              <w:t>-9</w:t>
            </w:r>
            <w:r>
              <w:rPr>
                <w:color w:val="auto"/>
                <w:sz w:val="24"/>
              </w:rPr>
              <w:t>=</w:t>
            </w:r>
            <w:r>
              <w:rPr>
                <w:rFonts w:hint="eastAsia"/>
                <w:color w:val="auto"/>
                <w:sz w:val="24"/>
                <w:lang w:val="en-US" w:eastAsia="zh-CN"/>
              </w:rPr>
              <w:t>9.06</w:t>
            </w:r>
            <w:r>
              <w:rPr>
                <w:color w:val="auto"/>
                <w:sz w:val="24"/>
              </w:rPr>
              <w:t>t/a</w:t>
            </w:r>
          </w:p>
          <w:p w14:paraId="01CC381F">
            <w:pPr>
              <w:pStyle w:val="22"/>
              <w:spacing w:after="0" w:line="360" w:lineRule="auto"/>
              <w:ind w:firstLine="480" w:firstLineChars="200"/>
              <w:rPr>
                <w:color w:val="auto"/>
                <w:sz w:val="24"/>
              </w:rPr>
            </w:pPr>
            <w:r>
              <w:rPr>
                <w:rFonts w:hint="eastAsia"/>
                <w:color w:val="auto"/>
                <w:sz w:val="24"/>
              </w:rPr>
              <w:t>S</w:t>
            </w:r>
            <w:r>
              <w:rPr>
                <w:color w:val="auto"/>
                <w:sz w:val="24"/>
              </w:rPr>
              <w:t>O</w:t>
            </w:r>
            <w:r>
              <w:rPr>
                <w:color w:val="auto"/>
                <w:sz w:val="24"/>
                <w:vertAlign w:val="subscript"/>
              </w:rPr>
              <w:t>2</w:t>
            </w:r>
            <w:r>
              <w:rPr>
                <w:rFonts w:hint="eastAsia"/>
                <w:color w:val="auto"/>
                <w:sz w:val="24"/>
              </w:rPr>
              <w:t>核定排放量=</w:t>
            </w:r>
            <w:r>
              <w:rPr>
                <w:rFonts w:hint="eastAsia"/>
                <w:color w:val="auto"/>
                <w:sz w:val="24"/>
                <w:lang w:val="en-US" w:eastAsia="zh-CN"/>
              </w:rPr>
              <w:t>6148.1</w:t>
            </w:r>
            <w:r>
              <w:rPr>
                <w:color w:val="auto"/>
                <w:sz w:val="24"/>
              </w:rPr>
              <w:t>Nm</w:t>
            </w:r>
            <w:r>
              <w:rPr>
                <w:color w:val="auto"/>
                <w:sz w:val="24"/>
                <w:vertAlign w:val="superscript"/>
              </w:rPr>
              <w:t>3</w:t>
            </w:r>
            <w:r>
              <w:rPr>
                <w:color w:val="auto"/>
                <w:sz w:val="24"/>
              </w:rPr>
              <w:t>/t×</w:t>
            </w:r>
            <w:r>
              <w:rPr>
                <w:rFonts w:hint="eastAsia"/>
                <w:color w:val="auto"/>
                <w:sz w:val="24"/>
                <w:lang w:val="en-US" w:eastAsia="zh-CN"/>
              </w:rPr>
              <w:t>33226.68</w:t>
            </w:r>
            <w:r>
              <w:rPr>
                <w:color w:val="auto"/>
                <w:sz w:val="24"/>
              </w:rPr>
              <w:t>t/a×</w:t>
            </w:r>
            <w:r>
              <w:rPr>
                <w:rFonts w:hint="eastAsia"/>
                <w:color w:val="auto"/>
                <w:sz w:val="24"/>
              </w:rPr>
              <w:t>3</w:t>
            </w:r>
            <w:r>
              <w:rPr>
                <w:color w:val="auto"/>
                <w:sz w:val="24"/>
              </w:rPr>
              <w:t>00mg/m</w:t>
            </w:r>
            <w:r>
              <w:rPr>
                <w:color w:val="auto"/>
                <w:sz w:val="24"/>
                <w:vertAlign w:val="superscript"/>
              </w:rPr>
              <w:t>3</w:t>
            </w:r>
            <w:r>
              <w:rPr>
                <w:color w:val="auto"/>
                <w:sz w:val="24"/>
              </w:rPr>
              <w:t>×10</w:t>
            </w:r>
            <w:r>
              <w:rPr>
                <w:color w:val="auto"/>
                <w:sz w:val="24"/>
                <w:vertAlign w:val="superscript"/>
              </w:rPr>
              <w:t>-9</w:t>
            </w:r>
            <w:r>
              <w:rPr>
                <w:color w:val="auto"/>
                <w:sz w:val="24"/>
              </w:rPr>
              <w:t>×0.8=</w:t>
            </w:r>
            <w:r>
              <w:rPr>
                <w:rFonts w:hint="eastAsia"/>
                <w:color w:val="auto"/>
                <w:sz w:val="24"/>
                <w:lang w:val="en-US" w:eastAsia="zh-CN"/>
              </w:rPr>
              <w:t>43.48</w:t>
            </w:r>
            <w:r>
              <w:rPr>
                <w:color w:val="auto"/>
                <w:sz w:val="24"/>
              </w:rPr>
              <w:t>t/a</w:t>
            </w:r>
          </w:p>
          <w:p w14:paraId="37EA1056">
            <w:pPr>
              <w:pStyle w:val="22"/>
              <w:spacing w:after="0" w:line="360" w:lineRule="auto"/>
              <w:ind w:firstLine="480" w:firstLineChars="200"/>
              <w:rPr>
                <w:color w:val="auto"/>
                <w:sz w:val="24"/>
              </w:rPr>
            </w:pPr>
            <w:r>
              <w:rPr>
                <w:rFonts w:hint="eastAsia"/>
                <w:color w:val="auto"/>
                <w:sz w:val="24"/>
              </w:rPr>
              <w:t>N</w:t>
            </w:r>
            <w:r>
              <w:rPr>
                <w:color w:val="auto"/>
                <w:sz w:val="24"/>
              </w:rPr>
              <w:t>O</w:t>
            </w:r>
            <w:r>
              <w:rPr>
                <w:color w:val="auto"/>
                <w:sz w:val="24"/>
                <w:vertAlign w:val="subscript"/>
              </w:rPr>
              <w:t>X</w:t>
            </w:r>
            <w:r>
              <w:rPr>
                <w:rFonts w:hint="eastAsia"/>
                <w:color w:val="auto"/>
                <w:sz w:val="24"/>
              </w:rPr>
              <w:t>核定排放量=</w:t>
            </w:r>
            <w:r>
              <w:rPr>
                <w:rFonts w:hint="eastAsia"/>
                <w:color w:val="auto"/>
                <w:sz w:val="24"/>
                <w:lang w:val="en-US" w:eastAsia="zh-CN"/>
              </w:rPr>
              <w:t>6148.1</w:t>
            </w:r>
            <w:r>
              <w:rPr>
                <w:color w:val="auto"/>
                <w:sz w:val="24"/>
              </w:rPr>
              <w:t>Nm</w:t>
            </w:r>
            <w:r>
              <w:rPr>
                <w:color w:val="auto"/>
                <w:sz w:val="24"/>
                <w:vertAlign w:val="superscript"/>
              </w:rPr>
              <w:t>3</w:t>
            </w:r>
            <w:r>
              <w:rPr>
                <w:color w:val="auto"/>
                <w:sz w:val="24"/>
              </w:rPr>
              <w:t>/t×</w:t>
            </w:r>
            <w:r>
              <w:rPr>
                <w:rFonts w:hint="eastAsia"/>
                <w:color w:val="auto"/>
                <w:sz w:val="24"/>
                <w:lang w:val="en-US" w:eastAsia="zh-CN"/>
              </w:rPr>
              <w:t>33226.68</w:t>
            </w:r>
            <w:r>
              <w:rPr>
                <w:color w:val="auto"/>
                <w:sz w:val="24"/>
              </w:rPr>
              <w:t>t/a×</w:t>
            </w:r>
            <w:r>
              <w:rPr>
                <w:rFonts w:hint="eastAsia"/>
                <w:color w:val="auto"/>
                <w:sz w:val="24"/>
              </w:rPr>
              <w:t>3</w:t>
            </w:r>
            <w:r>
              <w:rPr>
                <w:color w:val="auto"/>
                <w:sz w:val="24"/>
              </w:rPr>
              <w:t>00mg/m</w:t>
            </w:r>
            <w:r>
              <w:rPr>
                <w:color w:val="auto"/>
                <w:sz w:val="24"/>
                <w:vertAlign w:val="superscript"/>
              </w:rPr>
              <w:t>3</w:t>
            </w:r>
            <w:r>
              <w:rPr>
                <w:color w:val="auto"/>
                <w:sz w:val="24"/>
              </w:rPr>
              <w:t>×10</w:t>
            </w:r>
            <w:r>
              <w:rPr>
                <w:color w:val="auto"/>
                <w:sz w:val="24"/>
                <w:vertAlign w:val="superscript"/>
              </w:rPr>
              <w:t>-9</w:t>
            </w:r>
            <w:r>
              <w:rPr>
                <w:color w:val="auto"/>
                <w:sz w:val="24"/>
              </w:rPr>
              <w:t>=</w:t>
            </w:r>
            <w:r>
              <w:rPr>
                <w:rFonts w:hint="eastAsia"/>
                <w:color w:val="auto"/>
                <w:sz w:val="24"/>
                <w:lang w:val="en-US" w:eastAsia="zh-CN"/>
              </w:rPr>
              <w:t>54.36</w:t>
            </w:r>
            <w:r>
              <w:rPr>
                <w:color w:val="auto"/>
                <w:sz w:val="24"/>
              </w:rPr>
              <w:t>t/a</w:t>
            </w:r>
          </w:p>
          <w:p w14:paraId="483A122A">
            <w:pPr>
              <w:spacing w:line="360" w:lineRule="auto"/>
              <w:ind w:firstLine="480" w:firstLineChars="200"/>
              <w:rPr>
                <w:color w:val="auto"/>
                <w:sz w:val="24"/>
              </w:rPr>
            </w:pPr>
            <w:bookmarkStart w:id="46" w:name="_Toc2794"/>
            <w:bookmarkStart w:id="47" w:name="_Toc14695"/>
            <w:r>
              <w:rPr>
                <w:color w:val="auto"/>
                <w:sz w:val="24"/>
              </w:rPr>
              <w:t>本项目</w:t>
            </w:r>
            <w:r>
              <w:rPr>
                <w:rFonts w:hint="eastAsia"/>
                <w:color w:val="auto"/>
                <w:sz w:val="24"/>
              </w:rPr>
              <w:t>总量指标</w:t>
            </w:r>
            <w:r>
              <w:rPr>
                <w:color w:val="auto"/>
                <w:sz w:val="24"/>
              </w:rPr>
              <w:t>见下表。</w:t>
            </w:r>
            <w:bookmarkEnd w:id="46"/>
            <w:bookmarkEnd w:id="47"/>
          </w:p>
          <w:p w14:paraId="7A0968A9">
            <w:pPr>
              <w:pStyle w:val="105"/>
              <w:rPr>
                <w:rFonts w:ascii="Times New Roman"/>
                <w:color w:val="auto"/>
              </w:rPr>
            </w:pPr>
            <w:r>
              <w:rPr>
                <w:rFonts w:ascii="Times New Roman"/>
                <w:color w:val="auto"/>
              </w:rPr>
              <w:t>表3-</w:t>
            </w:r>
            <w:r>
              <w:rPr>
                <w:rFonts w:hint="eastAsia" w:ascii="Times New Roman"/>
                <w:color w:val="auto"/>
                <w:lang w:val="en-US" w:eastAsia="zh-CN"/>
              </w:rPr>
              <w:t>10</w:t>
            </w:r>
            <w:r>
              <w:rPr>
                <w:rFonts w:hint="eastAsia" w:ascii="Times New Roman"/>
                <w:color w:val="auto"/>
              </w:rPr>
              <w:t>总量指标</w:t>
            </w:r>
            <w:r>
              <w:rPr>
                <w:rFonts w:ascii="Times New Roman"/>
                <w:color w:val="auto"/>
              </w:rPr>
              <w:t>一览表（单位：t/a）</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2975"/>
              <w:gridCol w:w="2975"/>
            </w:tblGrid>
            <w:tr w14:paraId="0236A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664" w:type="pct"/>
                  <w:tcBorders>
                    <w:tl2br w:val="nil"/>
                    <w:tr2bl w:val="nil"/>
                  </w:tcBorders>
                  <w:vAlign w:val="center"/>
                </w:tcPr>
                <w:p w14:paraId="385F2808">
                  <w:pPr>
                    <w:pStyle w:val="72"/>
                    <w:ind w:firstLine="0" w:firstLineChars="0"/>
                    <w:jc w:val="center"/>
                    <w:rPr>
                      <w:b/>
                      <w:bCs/>
                      <w:color w:val="auto"/>
                      <w:sz w:val="21"/>
                      <w:szCs w:val="21"/>
                    </w:rPr>
                  </w:pPr>
                  <w:r>
                    <w:rPr>
                      <w:b/>
                      <w:bCs/>
                      <w:color w:val="auto"/>
                      <w:sz w:val="21"/>
                      <w:szCs w:val="21"/>
                    </w:rPr>
                    <w:t>污染物</w:t>
                  </w:r>
                </w:p>
              </w:tc>
              <w:tc>
                <w:tcPr>
                  <w:tcW w:w="1667" w:type="pct"/>
                  <w:tcBorders>
                    <w:tl2br w:val="nil"/>
                    <w:tr2bl w:val="nil"/>
                  </w:tcBorders>
                  <w:vAlign w:val="center"/>
                </w:tcPr>
                <w:p w14:paraId="7ED2314D">
                  <w:pPr>
                    <w:pStyle w:val="72"/>
                    <w:ind w:firstLine="0" w:firstLineChars="0"/>
                    <w:jc w:val="center"/>
                    <w:rPr>
                      <w:b/>
                      <w:bCs/>
                      <w:color w:val="auto"/>
                      <w:sz w:val="21"/>
                      <w:szCs w:val="21"/>
                    </w:rPr>
                  </w:pPr>
                  <w:r>
                    <w:rPr>
                      <w:b/>
                      <w:bCs/>
                      <w:color w:val="auto"/>
                      <w:sz w:val="21"/>
                      <w:szCs w:val="21"/>
                    </w:rPr>
                    <w:t>预测排放量</w:t>
                  </w:r>
                </w:p>
              </w:tc>
              <w:tc>
                <w:tcPr>
                  <w:tcW w:w="1667" w:type="pct"/>
                  <w:tcBorders>
                    <w:tl2br w:val="nil"/>
                    <w:tr2bl w:val="nil"/>
                  </w:tcBorders>
                  <w:vAlign w:val="center"/>
                </w:tcPr>
                <w:p w14:paraId="3AAC5B39">
                  <w:pPr>
                    <w:pStyle w:val="72"/>
                    <w:ind w:firstLine="0" w:firstLineChars="0"/>
                    <w:jc w:val="center"/>
                    <w:rPr>
                      <w:b/>
                      <w:bCs/>
                      <w:color w:val="auto"/>
                      <w:sz w:val="21"/>
                      <w:szCs w:val="21"/>
                    </w:rPr>
                  </w:pPr>
                  <w:r>
                    <w:rPr>
                      <w:rFonts w:hint="eastAsia"/>
                      <w:b/>
                      <w:bCs/>
                      <w:color w:val="auto"/>
                      <w:sz w:val="21"/>
                      <w:szCs w:val="21"/>
                    </w:rPr>
                    <w:t>核定排放量</w:t>
                  </w:r>
                </w:p>
              </w:tc>
            </w:tr>
            <w:tr w14:paraId="2A17A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tcBorders>
                    <w:tl2br w:val="nil"/>
                    <w:tr2bl w:val="nil"/>
                  </w:tcBorders>
                  <w:vAlign w:val="center"/>
                </w:tcPr>
                <w:p w14:paraId="336A6734">
                  <w:pPr>
                    <w:widowControl/>
                    <w:jc w:val="center"/>
                    <w:textAlignment w:val="center"/>
                    <w:rPr>
                      <w:color w:val="auto"/>
                      <w:kern w:val="0"/>
                      <w:szCs w:val="21"/>
                      <w:lang w:bidi="ar"/>
                    </w:rPr>
                  </w:pPr>
                  <w:r>
                    <w:rPr>
                      <w:rFonts w:hint="eastAsia"/>
                      <w:color w:val="auto"/>
                      <w:kern w:val="0"/>
                      <w:szCs w:val="21"/>
                      <w:lang w:bidi="ar"/>
                    </w:rPr>
                    <w:t>颗粒物</w:t>
                  </w:r>
                </w:p>
              </w:tc>
              <w:tc>
                <w:tcPr>
                  <w:tcW w:w="1667" w:type="pct"/>
                  <w:tcBorders>
                    <w:tl2br w:val="nil"/>
                    <w:tr2bl w:val="nil"/>
                  </w:tcBorders>
                  <w:vAlign w:val="center"/>
                </w:tcPr>
                <w:p w14:paraId="45296047">
                  <w:pPr>
                    <w:widowControl/>
                    <w:jc w:val="center"/>
                    <w:textAlignment w:val="center"/>
                    <w:rPr>
                      <w:rFonts w:hint="default" w:eastAsia="宋体"/>
                      <w:color w:val="auto"/>
                      <w:szCs w:val="21"/>
                      <w:lang w:val="en-US" w:eastAsia="zh-CN"/>
                    </w:rPr>
                  </w:pPr>
                  <w:r>
                    <w:rPr>
                      <w:rFonts w:hint="eastAsia"/>
                      <w:color w:val="auto"/>
                      <w:szCs w:val="21"/>
                      <w:lang w:val="en-US" w:eastAsia="zh-CN"/>
                    </w:rPr>
                    <w:t>2.97</w:t>
                  </w:r>
                </w:p>
              </w:tc>
              <w:tc>
                <w:tcPr>
                  <w:tcW w:w="1667" w:type="pct"/>
                  <w:tcBorders>
                    <w:tl2br w:val="nil"/>
                    <w:tr2bl w:val="nil"/>
                  </w:tcBorders>
                  <w:vAlign w:val="center"/>
                </w:tcPr>
                <w:p w14:paraId="020D1CBA">
                  <w:pPr>
                    <w:widowControl/>
                    <w:jc w:val="center"/>
                    <w:textAlignment w:val="center"/>
                    <w:rPr>
                      <w:rFonts w:hint="default" w:eastAsia="宋体"/>
                      <w:color w:val="auto"/>
                      <w:szCs w:val="21"/>
                      <w:lang w:val="en-US" w:eastAsia="zh-CN"/>
                    </w:rPr>
                  </w:pPr>
                  <w:r>
                    <w:rPr>
                      <w:rFonts w:hint="eastAsia"/>
                      <w:color w:val="auto"/>
                      <w:szCs w:val="21"/>
                      <w:lang w:val="en-US" w:eastAsia="zh-CN"/>
                    </w:rPr>
                    <w:t>9.06</w:t>
                  </w:r>
                </w:p>
              </w:tc>
            </w:tr>
            <w:tr w14:paraId="41EED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tcBorders>
                    <w:tl2br w:val="nil"/>
                    <w:tr2bl w:val="nil"/>
                  </w:tcBorders>
                  <w:vAlign w:val="center"/>
                </w:tcPr>
                <w:p w14:paraId="3E0D55AE">
                  <w:pPr>
                    <w:widowControl/>
                    <w:jc w:val="center"/>
                    <w:textAlignment w:val="center"/>
                    <w:rPr>
                      <w:color w:val="auto"/>
                      <w:kern w:val="0"/>
                      <w:szCs w:val="21"/>
                      <w:lang w:bidi="ar"/>
                    </w:rPr>
                  </w:pPr>
                  <w:r>
                    <w:rPr>
                      <w:rFonts w:hint="eastAsia"/>
                      <w:color w:val="auto"/>
                      <w:kern w:val="0"/>
                      <w:szCs w:val="21"/>
                      <w:lang w:bidi="ar"/>
                    </w:rPr>
                    <w:t>二氧化硫</w:t>
                  </w:r>
                </w:p>
              </w:tc>
              <w:tc>
                <w:tcPr>
                  <w:tcW w:w="1667" w:type="pct"/>
                  <w:tcBorders>
                    <w:tl2br w:val="nil"/>
                    <w:tr2bl w:val="nil"/>
                  </w:tcBorders>
                  <w:vAlign w:val="center"/>
                </w:tcPr>
                <w:p w14:paraId="5D84783C">
                  <w:pPr>
                    <w:widowControl/>
                    <w:jc w:val="center"/>
                    <w:textAlignment w:val="center"/>
                    <w:rPr>
                      <w:rFonts w:hint="default" w:eastAsia="宋体"/>
                      <w:color w:val="auto"/>
                      <w:szCs w:val="21"/>
                      <w:lang w:val="en-US" w:eastAsia="zh-CN"/>
                    </w:rPr>
                  </w:pPr>
                  <w:r>
                    <w:rPr>
                      <w:rFonts w:hint="eastAsia"/>
                      <w:color w:val="auto"/>
                      <w:szCs w:val="21"/>
                      <w:lang w:val="en-US" w:eastAsia="zh-CN"/>
                    </w:rPr>
                    <w:t>7.81</w:t>
                  </w:r>
                </w:p>
              </w:tc>
              <w:tc>
                <w:tcPr>
                  <w:tcW w:w="1667" w:type="pct"/>
                  <w:tcBorders>
                    <w:tl2br w:val="nil"/>
                    <w:tr2bl w:val="nil"/>
                  </w:tcBorders>
                  <w:vAlign w:val="center"/>
                </w:tcPr>
                <w:p w14:paraId="0A86D210">
                  <w:pPr>
                    <w:widowControl/>
                    <w:jc w:val="center"/>
                    <w:textAlignment w:val="center"/>
                    <w:rPr>
                      <w:rFonts w:hint="default" w:eastAsia="宋体"/>
                      <w:color w:val="auto"/>
                      <w:szCs w:val="21"/>
                      <w:lang w:val="en-US" w:eastAsia="zh-CN"/>
                    </w:rPr>
                  </w:pPr>
                  <w:r>
                    <w:rPr>
                      <w:rFonts w:hint="eastAsia"/>
                      <w:color w:val="auto"/>
                      <w:szCs w:val="21"/>
                      <w:lang w:val="en-US" w:eastAsia="zh-CN"/>
                    </w:rPr>
                    <w:t>43.48</w:t>
                  </w:r>
                </w:p>
              </w:tc>
            </w:tr>
            <w:tr w14:paraId="697F54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tcBorders>
                    <w:tl2br w:val="nil"/>
                    <w:tr2bl w:val="nil"/>
                  </w:tcBorders>
                  <w:vAlign w:val="center"/>
                </w:tcPr>
                <w:p w14:paraId="0B2ED96F">
                  <w:pPr>
                    <w:widowControl/>
                    <w:jc w:val="center"/>
                    <w:textAlignment w:val="center"/>
                    <w:rPr>
                      <w:color w:val="auto"/>
                      <w:kern w:val="0"/>
                      <w:szCs w:val="21"/>
                      <w:lang w:bidi="ar"/>
                    </w:rPr>
                  </w:pPr>
                  <w:r>
                    <w:rPr>
                      <w:rFonts w:hint="eastAsia"/>
                      <w:color w:val="auto"/>
                      <w:kern w:val="0"/>
                      <w:szCs w:val="21"/>
                      <w:lang w:bidi="ar"/>
                    </w:rPr>
                    <w:t>氮氧化物</w:t>
                  </w:r>
                </w:p>
              </w:tc>
              <w:tc>
                <w:tcPr>
                  <w:tcW w:w="1667" w:type="pct"/>
                  <w:tcBorders>
                    <w:tl2br w:val="nil"/>
                    <w:tr2bl w:val="nil"/>
                  </w:tcBorders>
                  <w:vAlign w:val="center"/>
                </w:tcPr>
                <w:p w14:paraId="513C76CE">
                  <w:pPr>
                    <w:widowControl/>
                    <w:jc w:val="center"/>
                    <w:textAlignment w:val="center"/>
                    <w:rPr>
                      <w:rFonts w:hint="default" w:eastAsia="宋体"/>
                      <w:color w:val="auto"/>
                      <w:szCs w:val="21"/>
                      <w:lang w:val="en-US" w:eastAsia="zh-CN"/>
                    </w:rPr>
                  </w:pPr>
                  <w:r>
                    <w:rPr>
                      <w:rFonts w:hint="eastAsia"/>
                      <w:color w:val="auto"/>
                      <w:szCs w:val="21"/>
                      <w:lang w:val="en-US" w:eastAsia="zh-CN"/>
                    </w:rPr>
                    <w:t>33.89</w:t>
                  </w:r>
                </w:p>
              </w:tc>
              <w:tc>
                <w:tcPr>
                  <w:tcW w:w="1667" w:type="pct"/>
                  <w:tcBorders>
                    <w:tl2br w:val="nil"/>
                    <w:tr2bl w:val="nil"/>
                  </w:tcBorders>
                  <w:vAlign w:val="center"/>
                </w:tcPr>
                <w:p w14:paraId="5DF879CB">
                  <w:pPr>
                    <w:widowControl/>
                    <w:jc w:val="center"/>
                    <w:textAlignment w:val="center"/>
                    <w:rPr>
                      <w:rFonts w:hint="default" w:eastAsia="宋体"/>
                      <w:color w:val="auto"/>
                      <w:szCs w:val="21"/>
                      <w:lang w:val="en-US" w:eastAsia="zh-CN"/>
                    </w:rPr>
                  </w:pPr>
                  <w:r>
                    <w:rPr>
                      <w:rFonts w:hint="eastAsia"/>
                      <w:color w:val="auto"/>
                      <w:szCs w:val="21"/>
                      <w:lang w:val="en-US" w:eastAsia="zh-CN"/>
                    </w:rPr>
                    <w:t>54.36</w:t>
                  </w:r>
                </w:p>
              </w:tc>
            </w:tr>
          </w:tbl>
          <w:p w14:paraId="4302A716">
            <w:pPr>
              <w:spacing w:line="360" w:lineRule="auto"/>
              <w:ind w:firstLine="420" w:firstLineChars="200"/>
              <w:rPr>
                <w:color w:val="auto"/>
              </w:rPr>
            </w:pPr>
          </w:p>
        </w:tc>
      </w:tr>
    </w:tbl>
    <w:p w14:paraId="769B4CEB">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48" w:name="_Toc5217"/>
      <w:bookmarkStart w:id="49" w:name="_Toc24965"/>
      <w:r>
        <w:rPr>
          <w:rFonts w:ascii="Times New Roman" w:hAnsi="Times New Roman" w:eastAsia="黑体"/>
          <w:snapToGrid w:val="0"/>
          <w:color w:val="auto"/>
          <w:sz w:val="30"/>
          <w:szCs w:val="30"/>
        </w:rPr>
        <w:t>四、主要环境影响和保护措施</w:t>
      </w:r>
      <w:bookmarkEnd w:id="48"/>
      <w:bookmarkEnd w:id="49"/>
    </w:p>
    <w:tbl>
      <w:tblPr>
        <w:tblStyle w:val="38"/>
        <w:tblW w:w="508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0"/>
        <w:gridCol w:w="9091"/>
      </w:tblGrid>
      <w:tr w14:paraId="6ADD2B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423" w:type="pct"/>
            <w:tcMar>
              <w:left w:w="28" w:type="dxa"/>
              <w:right w:w="28" w:type="dxa"/>
            </w:tcMar>
            <w:vAlign w:val="center"/>
          </w:tcPr>
          <w:p w14:paraId="741DB6AD">
            <w:pPr>
              <w:pStyle w:val="33"/>
              <w:adjustRightInd w:val="0"/>
              <w:snapToGrid w:val="0"/>
              <w:spacing w:before="0" w:beforeAutospacing="0" w:after="0" w:afterAutospacing="0"/>
              <w:jc w:val="center"/>
              <w:rPr>
                <w:rFonts w:ascii="Times New Roman" w:hAnsi="Times New Roman"/>
                <w:bCs/>
                <w:color w:val="auto"/>
                <w:kern w:val="2"/>
                <w:szCs w:val="21"/>
              </w:rPr>
            </w:pPr>
            <w:r>
              <w:rPr>
                <w:rFonts w:ascii="Times New Roman" w:hAnsi="Times New Roman"/>
                <w:color w:val="auto"/>
                <w:kern w:val="2"/>
                <w:szCs w:val="21"/>
              </w:rPr>
              <w:t>施工期环境保护措施</w:t>
            </w:r>
          </w:p>
        </w:tc>
        <w:tc>
          <w:tcPr>
            <w:tcW w:w="4576" w:type="pct"/>
            <w:vAlign w:val="center"/>
          </w:tcPr>
          <w:p w14:paraId="561927B0">
            <w:pPr>
              <w:pStyle w:val="105"/>
              <w:ind w:firstLine="480" w:firstLineChars="200"/>
              <w:jc w:val="both"/>
              <w:rPr>
                <w:rFonts w:ascii="Times New Roman" w:eastAsia="宋体"/>
                <w:color w:val="auto"/>
                <w:szCs w:val="22"/>
              </w:rPr>
            </w:pPr>
            <w:r>
              <w:rPr>
                <w:rFonts w:ascii="Times New Roman" w:eastAsia="宋体"/>
                <w:color w:val="auto"/>
                <w:szCs w:val="22"/>
              </w:rPr>
              <w:t>一、施工期废水污染防治措施</w:t>
            </w:r>
          </w:p>
          <w:p w14:paraId="0CBC501B">
            <w:pPr>
              <w:pStyle w:val="105"/>
              <w:ind w:firstLine="480" w:firstLineChars="200"/>
              <w:jc w:val="both"/>
              <w:rPr>
                <w:rFonts w:ascii="Times New Roman" w:eastAsia="宋体"/>
                <w:color w:val="auto"/>
                <w:szCs w:val="22"/>
              </w:rPr>
            </w:pPr>
            <w:r>
              <w:rPr>
                <w:rFonts w:ascii="Times New Roman" w:eastAsia="宋体"/>
                <w:color w:val="auto"/>
                <w:szCs w:val="22"/>
              </w:rPr>
              <w:t>工程施工期间，施工单位应严格执行《建设工程施工场地文明施工及环境管理暂行规定》，对地面污水的排放进行组织设计，严禁乱排和污染道路、环境等，严禁将施工污水散排。施工过程中产生的施工废水应进行收集、沉淀处理后用于场内洒水压尘。生活污水排入</w:t>
            </w:r>
            <w:r>
              <w:rPr>
                <w:rFonts w:hint="eastAsia" w:ascii="Times New Roman" w:eastAsia="宋体"/>
                <w:color w:val="auto"/>
                <w:szCs w:val="22"/>
              </w:rPr>
              <w:t>市政管网</w:t>
            </w:r>
            <w:r>
              <w:rPr>
                <w:rFonts w:ascii="Times New Roman" w:eastAsia="宋体"/>
                <w:color w:val="auto"/>
                <w:szCs w:val="22"/>
              </w:rPr>
              <w:t>。在认真落实上述措施的基础上，施工废水对施工现场周围的环境影响较小，伴随施工期的结束也将结束。</w:t>
            </w:r>
          </w:p>
          <w:p w14:paraId="2D0DCB26">
            <w:pPr>
              <w:pStyle w:val="105"/>
              <w:ind w:firstLine="480" w:firstLineChars="200"/>
              <w:jc w:val="both"/>
              <w:rPr>
                <w:rFonts w:ascii="Times New Roman" w:eastAsia="宋体"/>
                <w:color w:val="auto"/>
                <w:szCs w:val="22"/>
              </w:rPr>
            </w:pPr>
            <w:r>
              <w:rPr>
                <w:rFonts w:ascii="Times New Roman" w:eastAsia="宋体"/>
                <w:color w:val="auto"/>
                <w:szCs w:val="22"/>
              </w:rPr>
              <w:t>二、施工期大气污染防治措施</w:t>
            </w:r>
          </w:p>
          <w:p w14:paraId="09F3A61A">
            <w:pPr>
              <w:pStyle w:val="105"/>
              <w:ind w:firstLine="480" w:firstLineChars="200"/>
              <w:jc w:val="both"/>
              <w:rPr>
                <w:rFonts w:ascii="Times New Roman" w:eastAsia="宋体"/>
                <w:color w:val="auto"/>
                <w:szCs w:val="22"/>
              </w:rPr>
            </w:pPr>
            <w:r>
              <w:rPr>
                <w:rFonts w:ascii="Times New Roman" w:eastAsia="宋体"/>
                <w:color w:val="auto"/>
                <w:szCs w:val="22"/>
              </w:rPr>
              <w:t>为使施工过程中产生的粉尘和废气对周围环境空气的影响降低到最小程度，建议采取以下防护措施：</w:t>
            </w:r>
          </w:p>
          <w:p w14:paraId="0FA292DD">
            <w:pPr>
              <w:pStyle w:val="105"/>
              <w:ind w:firstLine="480" w:firstLineChars="200"/>
              <w:jc w:val="both"/>
              <w:rPr>
                <w:rFonts w:ascii="Times New Roman" w:eastAsia="宋体"/>
                <w:color w:val="auto"/>
                <w:szCs w:val="22"/>
              </w:rPr>
            </w:pPr>
            <w:r>
              <w:rPr>
                <w:rFonts w:ascii="Times New Roman" w:eastAsia="宋体"/>
                <w:color w:val="auto"/>
                <w:szCs w:val="22"/>
              </w:rPr>
              <w:t>在施工作业现场设置围挡。容易产生粉尘的施工过程应洒水作业，使作业面保持一定的湿度；对施工场地内松散、干涸的表土也应经常洒水防止粉尘、扬尘；回填土方时，在表层土质干燥时应适当洒水，防止粉尘飞扬；</w:t>
            </w:r>
          </w:p>
          <w:p w14:paraId="05CF0470">
            <w:pPr>
              <w:pStyle w:val="105"/>
              <w:ind w:firstLine="480" w:firstLineChars="200"/>
              <w:jc w:val="both"/>
              <w:rPr>
                <w:rFonts w:ascii="Times New Roman" w:eastAsia="宋体"/>
                <w:color w:val="auto"/>
                <w:szCs w:val="22"/>
              </w:rPr>
            </w:pPr>
            <w:r>
              <w:rPr>
                <w:rFonts w:ascii="Times New Roman" w:eastAsia="宋体"/>
                <w:color w:val="auto"/>
                <w:szCs w:val="22"/>
              </w:rPr>
              <w:t>运输车辆加蓬盖，且出装、卸场地前应先冲洗干净，减少车轮、底盘等携带泥土散落路面；</w:t>
            </w:r>
          </w:p>
          <w:p w14:paraId="5981BFF0">
            <w:pPr>
              <w:pStyle w:val="105"/>
              <w:ind w:firstLine="480" w:firstLineChars="200"/>
              <w:jc w:val="both"/>
              <w:rPr>
                <w:rFonts w:ascii="Times New Roman" w:eastAsia="宋体"/>
                <w:color w:val="auto"/>
                <w:szCs w:val="22"/>
              </w:rPr>
            </w:pPr>
            <w:r>
              <w:rPr>
                <w:rFonts w:ascii="Times New Roman" w:eastAsia="宋体"/>
                <w:color w:val="auto"/>
                <w:szCs w:val="22"/>
              </w:rPr>
              <w:t>对运输过程中散落在路面上的泥土要及时清扫，以减少运行过程中的扬尘；</w:t>
            </w:r>
          </w:p>
          <w:p w14:paraId="5D239F9A">
            <w:pPr>
              <w:pStyle w:val="105"/>
              <w:ind w:firstLine="480" w:firstLineChars="200"/>
              <w:jc w:val="both"/>
              <w:rPr>
                <w:rFonts w:ascii="Times New Roman" w:eastAsia="宋体"/>
                <w:color w:val="auto"/>
                <w:szCs w:val="22"/>
              </w:rPr>
            </w:pPr>
            <w:r>
              <w:rPr>
                <w:rFonts w:ascii="Times New Roman" w:eastAsia="宋体"/>
                <w:color w:val="auto"/>
                <w:szCs w:val="22"/>
              </w:rPr>
              <w:t>施工过程中，应严禁将废弃的建筑材料作为燃料燃烧；</w:t>
            </w:r>
          </w:p>
          <w:p w14:paraId="7F4A4411">
            <w:pPr>
              <w:pStyle w:val="105"/>
              <w:ind w:firstLine="480" w:firstLineChars="200"/>
              <w:jc w:val="both"/>
              <w:rPr>
                <w:rFonts w:ascii="Times New Roman" w:eastAsia="宋体"/>
                <w:color w:val="auto"/>
                <w:szCs w:val="22"/>
              </w:rPr>
            </w:pPr>
            <w:r>
              <w:rPr>
                <w:rFonts w:ascii="Times New Roman" w:eastAsia="宋体"/>
                <w:color w:val="auto"/>
                <w:szCs w:val="22"/>
              </w:rPr>
              <w:t>施工结束时，应及时对施工占用场地恢复地面道路及植被。</w:t>
            </w:r>
          </w:p>
          <w:p w14:paraId="4084C91D">
            <w:pPr>
              <w:pStyle w:val="105"/>
              <w:ind w:firstLine="480" w:firstLineChars="200"/>
              <w:jc w:val="both"/>
              <w:rPr>
                <w:rFonts w:ascii="Times New Roman" w:eastAsia="宋体"/>
                <w:color w:val="auto"/>
                <w:szCs w:val="22"/>
              </w:rPr>
            </w:pPr>
            <w:r>
              <w:rPr>
                <w:rFonts w:ascii="Times New Roman" w:eastAsia="宋体"/>
                <w:color w:val="auto"/>
                <w:szCs w:val="22"/>
              </w:rPr>
              <w:t>三、施工期噪声污染防治措施</w:t>
            </w:r>
          </w:p>
          <w:p w14:paraId="13FE5B7D">
            <w:pPr>
              <w:pStyle w:val="105"/>
              <w:ind w:firstLine="480" w:firstLineChars="200"/>
              <w:jc w:val="both"/>
              <w:rPr>
                <w:rFonts w:ascii="Times New Roman" w:eastAsia="宋体"/>
                <w:color w:val="auto"/>
                <w:szCs w:val="22"/>
              </w:rPr>
            </w:pPr>
            <w:r>
              <w:rPr>
                <w:rFonts w:ascii="Times New Roman" w:eastAsia="宋体"/>
                <w:color w:val="auto"/>
                <w:szCs w:val="22"/>
              </w:rPr>
              <w:t>施工噪声的防治主要是通过合理安排施工时间、距离防护、使用低噪声机械设备等措施来实施的。</w:t>
            </w:r>
          </w:p>
          <w:p w14:paraId="4981991D">
            <w:pPr>
              <w:pStyle w:val="105"/>
              <w:ind w:firstLine="480" w:firstLineChars="200"/>
              <w:jc w:val="both"/>
              <w:rPr>
                <w:rFonts w:ascii="Times New Roman" w:eastAsia="宋体"/>
                <w:color w:val="auto"/>
                <w:szCs w:val="22"/>
              </w:rPr>
            </w:pPr>
            <w:r>
              <w:rPr>
                <w:rFonts w:ascii="Times New Roman" w:eastAsia="宋体"/>
                <w:color w:val="auto"/>
                <w:szCs w:val="22"/>
              </w:rPr>
              <w:t>（1）合理安排施工时间，可避免施工噪声扰民。</w:t>
            </w:r>
          </w:p>
          <w:p w14:paraId="7FBD085F">
            <w:pPr>
              <w:pStyle w:val="105"/>
              <w:ind w:firstLine="480" w:firstLineChars="200"/>
              <w:jc w:val="both"/>
              <w:rPr>
                <w:rFonts w:ascii="Times New Roman" w:eastAsia="宋体"/>
                <w:color w:val="auto"/>
                <w:szCs w:val="22"/>
              </w:rPr>
            </w:pPr>
            <w:r>
              <w:rPr>
                <w:rFonts w:ascii="Times New Roman" w:eastAsia="宋体"/>
                <w:color w:val="auto"/>
                <w:szCs w:val="22"/>
              </w:rPr>
              <w:t>（2）选用低噪声机械、设备是从声源上对噪声进行控制，淘汰高噪声施工机械，推广使用低噪声的施工机械，产生噪声的施工设备加强维护和维修工作，对控制施工噪声的影响很有效，如液压机械较燃油机械平稳，噪声低10dB（A）以上。夜间22时至次日6时禁止施工。</w:t>
            </w:r>
          </w:p>
          <w:p w14:paraId="44D81AB1">
            <w:pPr>
              <w:pStyle w:val="105"/>
              <w:ind w:firstLine="480" w:firstLineChars="200"/>
              <w:jc w:val="both"/>
              <w:rPr>
                <w:rFonts w:ascii="Times New Roman" w:eastAsia="宋体"/>
                <w:color w:val="auto"/>
                <w:szCs w:val="22"/>
              </w:rPr>
            </w:pPr>
            <w:r>
              <w:rPr>
                <w:rFonts w:ascii="Times New Roman" w:eastAsia="宋体"/>
                <w:color w:val="auto"/>
                <w:szCs w:val="22"/>
              </w:rPr>
              <w:t>经上述治理后，施工期产生的噪声满足《建筑施工场界环境噪声排放标准》（GB12523-2011）中要求。</w:t>
            </w:r>
          </w:p>
          <w:p w14:paraId="0831DC04">
            <w:pPr>
              <w:pStyle w:val="105"/>
              <w:ind w:firstLine="480" w:firstLineChars="200"/>
              <w:jc w:val="both"/>
              <w:rPr>
                <w:rFonts w:ascii="Times New Roman" w:eastAsia="宋体"/>
                <w:color w:val="auto"/>
                <w:szCs w:val="22"/>
              </w:rPr>
            </w:pPr>
            <w:r>
              <w:rPr>
                <w:rFonts w:ascii="Times New Roman" w:eastAsia="宋体"/>
                <w:color w:val="auto"/>
                <w:szCs w:val="22"/>
              </w:rPr>
              <w:t>四、施工期固体废物防治措施</w:t>
            </w:r>
          </w:p>
          <w:p w14:paraId="64A3DA18">
            <w:pPr>
              <w:pStyle w:val="105"/>
              <w:ind w:firstLine="480" w:firstLineChars="200"/>
              <w:jc w:val="both"/>
              <w:rPr>
                <w:rFonts w:ascii="Times New Roman"/>
                <w:bCs/>
                <w:color w:val="auto"/>
                <w:spacing w:val="-10"/>
                <w:szCs w:val="21"/>
              </w:rPr>
            </w:pPr>
            <w:r>
              <w:rPr>
                <w:rFonts w:ascii="Times New Roman" w:eastAsia="宋体"/>
                <w:color w:val="auto"/>
                <w:szCs w:val="22"/>
              </w:rPr>
              <w:t>车辆运输散体物料和废弃物时，必须密闭、包扎、覆盖，不得沿途漏撒；运载土方的车辆必须在规定的时间内，按指定路段行驶。经上述治理后，施工期产生的固体废物对周围环境的影响较小。</w:t>
            </w:r>
          </w:p>
        </w:tc>
      </w:tr>
      <w:tr w14:paraId="04CD4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23" w:type="pct"/>
            <w:tcMar>
              <w:left w:w="28" w:type="dxa"/>
              <w:right w:w="28" w:type="dxa"/>
            </w:tcMar>
            <w:vAlign w:val="center"/>
          </w:tcPr>
          <w:p w14:paraId="21E8AD98">
            <w:pPr>
              <w:adjustRightInd w:val="0"/>
              <w:snapToGrid w:val="0"/>
              <w:jc w:val="center"/>
              <w:rPr>
                <w:bCs/>
                <w:color w:val="auto"/>
                <w:sz w:val="24"/>
                <w:szCs w:val="21"/>
              </w:rPr>
            </w:pPr>
            <w:r>
              <w:rPr>
                <w:bCs/>
                <w:color w:val="auto"/>
                <w:sz w:val="24"/>
                <w:szCs w:val="21"/>
              </w:rPr>
              <w:t>运营</w:t>
            </w:r>
          </w:p>
          <w:p w14:paraId="22A97C80">
            <w:pPr>
              <w:adjustRightInd w:val="0"/>
              <w:snapToGrid w:val="0"/>
              <w:jc w:val="center"/>
              <w:rPr>
                <w:bCs/>
                <w:color w:val="auto"/>
                <w:sz w:val="24"/>
                <w:szCs w:val="21"/>
              </w:rPr>
            </w:pPr>
            <w:r>
              <w:rPr>
                <w:bCs/>
                <w:color w:val="auto"/>
                <w:sz w:val="24"/>
                <w:szCs w:val="21"/>
              </w:rPr>
              <w:t>期环</w:t>
            </w:r>
          </w:p>
          <w:p w14:paraId="2263D1AC">
            <w:pPr>
              <w:adjustRightInd w:val="0"/>
              <w:snapToGrid w:val="0"/>
              <w:jc w:val="center"/>
              <w:rPr>
                <w:bCs/>
                <w:color w:val="auto"/>
                <w:sz w:val="24"/>
                <w:szCs w:val="21"/>
              </w:rPr>
            </w:pPr>
            <w:r>
              <w:rPr>
                <w:bCs/>
                <w:color w:val="auto"/>
                <w:sz w:val="24"/>
                <w:szCs w:val="21"/>
              </w:rPr>
              <w:t>境影</w:t>
            </w:r>
          </w:p>
          <w:p w14:paraId="0AEF561F">
            <w:pPr>
              <w:adjustRightInd w:val="0"/>
              <w:snapToGrid w:val="0"/>
              <w:jc w:val="center"/>
              <w:rPr>
                <w:bCs/>
                <w:color w:val="auto"/>
                <w:sz w:val="24"/>
                <w:szCs w:val="21"/>
              </w:rPr>
            </w:pPr>
            <w:r>
              <w:rPr>
                <w:bCs/>
                <w:color w:val="auto"/>
                <w:sz w:val="24"/>
                <w:szCs w:val="21"/>
              </w:rPr>
              <w:t>响和</w:t>
            </w:r>
          </w:p>
          <w:p w14:paraId="6428C474">
            <w:pPr>
              <w:adjustRightInd w:val="0"/>
              <w:snapToGrid w:val="0"/>
              <w:jc w:val="center"/>
              <w:rPr>
                <w:bCs/>
                <w:color w:val="auto"/>
                <w:sz w:val="24"/>
                <w:szCs w:val="21"/>
              </w:rPr>
            </w:pPr>
            <w:r>
              <w:rPr>
                <w:bCs/>
                <w:color w:val="auto"/>
                <w:sz w:val="24"/>
                <w:szCs w:val="21"/>
              </w:rPr>
              <w:t>保护</w:t>
            </w:r>
          </w:p>
          <w:p w14:paraId="678F7C4C">
            <w:pPr>
              <w:adjustRightInd w:val="0"/>
              <w:snapToGrid w:val="0"/>
              <w:jc w:val="center"/>
              <w:rPr>
                <w:bCs/>
                <w:color w:val="auto"/>
                <w:sz w:val="24"/>
                <w:szCs w:val="21"/>
              </w:rPr>
            </w:pPr>
            <w:r>
              <w:rPr>
                <w:bCs/>
                <w:color w:val="auto"/>
                <w:sz w:val="24"/>
                <w:szCs w:val="21"/>
              </w:rPr>
              <w:t>措施</w:t>
            </w:r>
          </w:p>
        </w:tc>
        <w:tc>
          <w:tcPr>
            <w:tcW w:w="4576" w:type="pct"/>
            <w:vAlign w:val="center"/>
          </w:tcPr>
          <w:p w14:paraId="75E85EFA">
            <w:pPr>
              <w:spacing w:line="360" w:lineRule="auto"/>
              <w:jc w:val="left"/>
              <w:rPr>
                <w:rFonts w:eastAsia="黑体"/>
                <w:bCs/>
                <w:color w:val="auto"/>
                <w:sz w:val="28"/>
                <w:szCs w:val="28"/>
              </w:rPr>
            </w:pPr>
            <w:r>
              <w:rPr>
                <w:rFonts w:eastAsia="黑体"/>
                <w:bCs/>
                <w:color w:val="auto"/>
                <w:sz w:val="28"/>
                <w:szCs w:val="28"/>
              </w:rPr>
              <w:t>一、废气</w:t>
            </w:r>
          </w:p>
          <w:p w14:paraId="6393BF30">
            <w:pPr>
              <w:pStyle w:val="105"/>
              <w:ind w:firstLine="480" w:firstLineChars="200"/>
              <w:jc w:val="both"/>
              <w:rPr>
                <w:rFonts w:ascii="Times New Roman" w:eastAsia="宋体"/>
                <w:color w:val="auto"/>
                <w:szCs w:val="22"/>
              </w:rPr>
            </w:pPr>
            <w:r>
              <w:rPr>
                <w:rFonts w:hint="eastAsia" w:ascii="Times New Roman" w:eastAsia="宋体"/>
                <w:color w:val="auto"/>
                <w:szCs w:val="22"/>
              </w:rPr>
              <w:t>1</w:t>
            </w:r>
            <w:r>
              <w:rPr>
                <w:rFonts w:ascii="Times New Roman" w:eastAsia="宋体"/>
                <w:color w:val="auto"/>
                <w:szCs w:val="22"/>
              </w:rPr>
              <w:t>、</w:t>
            </w:r>
            <w:r>
              <w:rPr>
                <w:rFonts w:hint="eastAsia" w:ascii="Times New Roman" w:eastAsia="宋体"/>
                <w:color w:val="auto"/>
                <w:szCs w:val="22"/>
              </w:rPr>
              <w:t>生物质蒸汽锅炉</w:t>
            </w:r>
          </w:p>
          <w:p w14:paraId="410427A4">
            <w:pPr>
              <w:pStyle w:val="105"/>
              <w:ind w:firstLine="480" w:firstLineChars="200"/>
              <w:jc w:val="both"/>
              <w:rPr>
                <w:rFonts w:ascii="Times New Roman" w:eastAsia="宋体"/>
                <w:color w:val="auto"/>
                <w:szCs w:val="22"/>
              </w:rPr>
            </w:pPr>
            <w:r>
              <w:rPr>
                <w:rFonts w:ascii="Times New Roman" w:eastAsia="宋体"/>
                <w:color w:val="auto"/>
                <w:szCs w:val="22"/>
              </w:rPr>
              <w:t>污染源源强核算根据《污染源源强核算技术指南 锅炉》（HJ 991-2018）推荐的物料衡算法。烟气排放量根据《排污许可证申请与核发技术规范  锅炉》（HJ 953-2018）中无元素成分分析时理论空气量公式近似计算。本项目生物质锅炉成型燃料使用量为</w:t>
            </w:r>
            <w:r>
              <w:rPr>
                <w:rFonts w:hint="eastAsia" w:ascii="Times New Roman" w:eastAsia="宋体"/>
                <w:color w:val="auto"/>
                <w:szCs w:val="22"/>
                <w:lang w:val="en-US" w:eastAsia="zh-CN"/>
              </w:rPr>
              <w:t>33226.68</w:t>
            </w:r>
            <w:r>
              <w:rPr>
                <w:rFonts w:ascii="Times New Roman" w:eastAsia="宋体"/>
                <w:color w:val="auto"/>
                <w:szCs w:val="22"/>
              </w:rPr>
              <w:t>t/a，年运行</w:t>
            </w:r>
            <w:r>
              <w:rPr>
                <w:rFonts w:hint="eastAsia" w:ascii="Times New Roman" w:eastAsia="宋体"/>
                <w:color w:val="auto"/>
                <w:szCs w:val="22"/>
              </w:rPr>
              <w:t>7200</w:t>
            </w:r>
            <w:r>
              <w:rPr>
                <w:rFonts w:ascii="Times New Roman" w:eastAsia="宋体"/>
                <w:color w:val="auto"/>
                <w:szCs w:val="22"/>
              </w:rPr>
              <w:t>h。</w:t>
            </w:r>
            <w:r>
              <w:rPr>
                <w:rFonts w:hint="eastAsia" w:ascii="Times New Roman" w:eastAsia="宋体"/>
                <w:color w:val="auto"/>
                <w:szCs w:val="22"/>
                <w:lang w:val="en-US" w:eastAsia="zh-CN"/>
              </w:rPr>
              <w:t>经旋风除尘器+布袋除尘器</w:t>
            </w:r>
            <w:r>
              <w:rPr>
                <w:rFonts w:ascii="Times New Roman" w:eastAsia="宋体"/>
                <w:color w:val="auto"/>
                <w:szCs w:val="22"/>
              </w:rPr>
              <w:t>处理，经处理后由1根</w:t>
            </w:r>
            <w:r>
              <w:rPr>
                <w:rFonts w:hint="eastAsia" w:ascii="Times New Roman" w:eastAsia="宋体"/>
                <w:color w:val="auto"/>
                <w:szCs w:val="22"/>
              </w:rPr>
              <w:t>40</w:t>
            </w:r>
            <w:r>
              <w:rPr>
                <w:rFonts w:ascii="Times New Roman" w:eastAsia="宋体"/>
                <w:color w:val="auto"/>
                <w:szCs w:val="22"/>
              </w:rPr>
              <w:t>米烟囱排放（P</w:t>
            </w:r>
            <w:r>
              <w:rPr>
                <w:rFonts w:hint="eastAsia" w:ascii="Times New Roman" w:eastAsia="宋体"/>
                <w:color w:val="auto"/>
                <w:szCs w:val="22"/>
              </w:rPr>
              <w:t>1</w:t>
            </w:r>
            <w:r>
              <w:rPr>
                <w:rFonts w:ascii="Times New Roman" w:eastAsia="宋体"/>
                <w:color w:val="auto"/>
                <w:szCs w:val="22"/>
              </w:rPr>
              <w:t>）</w:t>
            </w:r>
          </w:p>
          <w:p w14:paraId="0BD9A78F">
            <w:pPr>
              <w:pStyle w:val="105"/>
              <w:ind w:firstLine="480" w:firstLineChars="200"/>
              <w:jc w:val="both"/>
              <w:rPr>
                <w:rFonts w:ascii="Times New Roman" w:eastAsia="宋体"/>
                <w:color w:val="auto"/>
                <w:szCs w:val="22"/>
              </w:rPr>
            </w:pPr>
            <w:r>
              <w:rPr>
                <w:rFonts w:ascii="Times New Roman" w:eastAsia="宋体"/>
                <w:color w:val="auto"/>
                <w:szCs w:val="22"/>
              </w:rPr>
              <w:t>①烟气量计算：</w:t>
            </w:r>
          </w:p>
          <w:p w14:paraId="6925CBDF">
            <w:pPr>
              <w:pStyle w:val="105"/>
              <w:ind w:firstLine="480" w:firstLineChars="200"/>
              <w:jc w:val="both"/>
              <w:rPr>
                <w:rFonts w:ascii="Times New Roman" w:eastAsia="宋体"/>
                <w:color w:val="auto"/>
                <w:szCs w:val="22"/>
              </w:rPr>
            </w:pPr>
            <w:r>
              <w:rPr>
                <w:rFonts w:ascii="Times New Roman" w:eastAsia="宋体"/>
                <w:color w:val="auto"/>
                <w:szCs w:val="22"/>
              </w:rPr>
              <w:t>理论空气量V0：本项目采用素成分分析时理论空气量公式近似计算，如下：</w:t>
            </w:r>
          </w:p>
          <w:p w14:paraId="491C2E15">
            <w:pPr>
              <w:adjustRightInd w:val="0"/>
              <w:snapToGrid w:val="0"/>
              <w:spacing w:before="193" w:beforeLines="60" w:line="360" w:lineRule="auto"/>
              <w:jc w:val="center"/>
              <w:rPr>
                <w:color w:val="auto"/>
                <w:position w:val="-12"/>
                <w:sz w:val="24"/>
                <w:szCs w:val="22"/>
              </w:rPr>
            </w:pPr>
            <w:r>
              <w:rPr>
                <w:color w:val="auto"/>
                <w:position w:val="-12"/>
                <w:sz w:val="24"/>
                <w:szCs w:val="22"/>
              </w:rPr>
              <w:object>
                <v:shape id="_x0000_i1025" o:spt="75" type="#_x0000_t75" style="height:18.65pt;width:249.8pt;" o:ole="t" filled="f" o:preferrelative="t" stroked="f" coordsize="21600,21600">
                  <v:path/>
                  <v:fill on="f" focussize="0,0"/>
                  <v:stroke on="f" joinstyle="miter"/>
                  <v:imagedata r:id="rId18" o:title=""/>
                  <o:lock v:ext="edit" aspectratio="t"/>
                  <w10:wrap type="none"/>
                  <w10:anchorlock/>
                </v:shape>
                <o:OLEObject Type="Embed" ProgID="Equation.3" ShapeID="_x0000_i1025" DrawAspect="Content" ObjectID="_1468075725" r:id="rId17">
                  <o:LockedField>false</o:LockedField>
                </o:OLEObject>
              </w:object>
            </w:r>
          </w:p>
          <w:p w14:paraId="7CE0333D">
            <w:pPr>
              <w:adjustRightInd w:val="0"/>
              <w:snapToGrid w:val="0"/>
              <w:spacing w:line="360" w:lineRule="auto"/>
              <w:ind w:firstLine="480" w:firstLineChars="200"/>
              <w:textAlignment w:val="center"/>
              <w:rPr>
                <w:color w:val="auto"/>
                <w:sz w:val="24"/>
              </w:rPr>
            </w:pPr>
            <w:r>
              <w:rPr>
                <w:color w:val="auto"/>
                <w:position w:val="-10"/>
                <w:sz w:val="24"/>
              </w:rPr>
              <w:t>式中：</w:t>
            </w:r>
            <w:r>
              <w:rPr>
                <w:i/>
                <w:iCs/>
                <w:color w:val="auto"/>
                <w:position w:val="-10"/>
                <w:sz w:val="24"/>
              </w:rPr>
              <w:t>V</w:t>
            </w:r>
            <w:r>
              <w:rPr>
                <w:color w:val="auto"/>
                <w:position w:val="-10"/>
                <w:sz w:val="24"/>
                <w:vertAlign w:val="subscript"/>
              </w:rPr>
              <w:t>0</w:t>
            </w:r>
            <w:r>
              <w:rPr>
                <w:color w:val="auto"/>
                <w:sz w:val="24"/>
              </w:rPr>
              <w:t>——理论空气量，m</w:t>
            </w:r>
            <w:r>
              <w:rPr>
                <w:color w:val="auto"/>
                <w:sz w:val="24"/>
                <w:vertAlign w:val="superscript"/>
              </w:rPr>
              <w:t>3</w:t>
            </w:r>
            <w:r>
              <w:rPr>
                <w:color w:val="auto"/>
                <w:sz w:val="24"/>
              </w:rPr>
              <w:t>/kg；</w:t>
            </w:r>
          </w:p>
          <w:p w14:paraId="58A2A4A9">
            <w:pPr>
              <w:adjustRightInd w:val="0"/>
              <w:snapToGrid w:val="0"/>
              <w:spacing w:line="360" w:lineRule="auto"/>
              <w:ind w:firstLine="1200" w:firstLineChars="500"/>
              <w:textAlignment w:val="center"/>
              <w:rPr>
                <w:color w:val="auto"/>
                <w:position w:val="-4"/>
                <w:sz w:val="24"/>
              </w:rPr>
            </w:pPr>
            <w:r>
              <w:rPr>
                <w:i/>
                <w:iCs/>
                <w:color w:val="auto"/>
                <w:position w:val="-4"/>
                <w:sz w:val="24"/>
              </w:rPr>
              <w:t>C</w:t>
            </w:r>
            <w:r>
              <w:rPr>
                <w:color w:val="auto"/>
                <w:position w:val="-4"/>
                <w:sz w:val="24"/>
                <w:vertAlign w:val="subscript"/>
              </w:rPr>
              <w:t>ar</w:t>
            </w:r>
            <w:r>
              <w:rPr>
                <w:color w:val="auto"/>
                <w:position w:val="-4"/>
                <w:sz w:val="24"/>
              </w:rPr>
              <w:t>——收到基碳的质量分数，</w:t>
            </w:r>
            <w:r>
              <w:rPr>
                <w:rFonts w:hint="eastAsia"/>
                <w:color w:val="auto"/>
                <w:position w:val="-4"/>
                <w:sz w:val="24"/>
              </w:rPr>
              <w:t>34.41</w:t>
            </w:r>
            <w:r>
              <w:rPr>
                <w:color w:val="auto"/>
                <w:position w:val="-4"/>
                <w:sz w:val="24"/>
              </w:rPr>
              <w:t>%；</w:t>
            </w:r>
          </w:p>
          <w:p w14:paraId="5C85BA25">
            <w:pPr>
              <w:adjustRightInd w:val="0"/>
              <w:snapToGrid w:val="0"/>
              <w:spacing w:line="360" w:lineRule="auto"/>
              <w:ind w:firstLine="1200" w:firstLineChars="500"/>
              <w:textAlignment w:val="center"/>
              <w:rPr>
                <w:color w:val="auto"/>
                <w:sz w:val="24"/>
              </w:rPr>
            </w:pPr>
            <w:r>
              <w:rPr>
                <w:i/>
                <w:iCs/>
                <w:color w:val="auto"/>
                <w:position w:val="-4"/>
                <w:sz w:val="24"/>
              </w:rPr>
              <w:t>S</w:t>
            </w:r>
            <w:r>
              <w:rPr>
                <w:i/>
                <w:iCs/>
                <w:color w:val="auto"/>
                <w:position w:val="-4"/>
                <w:sz w:val="24"/>
                <w:vertAlign w:val="subscript"/>
              </w:rPr>
              <w:t>a</w:t>
            </w:r>
            <w:r>
              <w:rPr>
                <w:color w:val="auto"/>
                <w:position w:val="-4"/>
                <w:sz w:val="24"/>
                <w:vertAlign w:val="subscript"/>
              </w:rPr>
              <w:t>r</w:t>
            </w:r>
            <w:r>
              <w:rPr>
                <w:color w:val="auto"/>
                <w:sz w:val="24"/>
              </w:rPr>
              <w:t>——收到基硫的质量分数，0.0</w:t>
            </w:r>
            <w:r>
              <w:rPr>
                <w:rFonts w:hint="eastAsia"/>
                <w:color w:val="auto"/>
                <w:sz w:val="24"/>
              </w:rPr>
              <w:t>3</w:t>
            </w:r>
            <w:r>
              <w:rPr>
                <w:color w:val="auto"/>
                <w:sz w:val="24"/>
              </w:rPr>
              <w:t>%；</w:t>
            </w:r>
          </w:p>
          <w:p w14:paraId="19D6972A">
            <w:pPr>
              <w:pStyle w:val="48"/>
              <w:spacing w:line="360" w:lineRule="auto"/>
              <w:ind w:firstLine="1200" w:firstLineChars="500"/>
              <w:rPr>
                <w:rFonts w:ascii="Times New Roman" w:cs="Times New Roman"/>
                <w:color w:val="auto"/>
              </w:rPr>
            </w:pPr>
            <w:r>
              <w:rPr>
                <w:rFonts w:ascii="Times New Roman" w:cs="Times New Roman"/>
                <w:i/>
                <w:iCs/>
                <w:color w:val="auto"/>
              </w:rPr>
              <w:t>H</w:t>
            </w:r>
            <w:r>
              <w:rPr>
                <w:rFonts w:ascii="Times New Roman" w:cs="Times New Roman"/>
                <w:i/>
                <w:iCs/>
                <w:color w:val="auto"/>
                <w:vertAlign w:val="subscript"/>
              </w:rPr>
              <w:t>ar</w:t>
            </w:r>
            <w:r>
              <w:rPr>
                <w:rFonts w:ascii="Times New Roman" w:cs="Times New Roman"/>
                <w:color w:val="auto"/>
              </w:rPr>
              <w:t>——收到基氢的质量分数，</w:t>
            </w:r>
            <w:r>
              <w:rPr>
                <w:rFonts w:hint="eastAsia" w:ascii="Times New Roman" w:cs="Times New Roman"/>
                <w:color w:val="auto"/>
              </w:rPr>
              <w:t>4.49</w:t>
            </w:r>
            <w:r>
              <w:rPr>
                <w:rFonts w:ascii="Times New Roman" w:cs="Times New Roman"/>
                <w:color w:val="auto"/>
              </w:rPr>
              <w:t>%；</w:t>
            </w:r>
          </w:p>
          <w:p w14:paraId="75099FF8">
            <w:pPr>
              <w:pStyle w:val="48"/>
              <w:spacing w:line="360" w:lineRule="auto"/>
              <w:ind w:firstLine="1200" w:firstLineChars="500"/>
              <w:rPr>
                <w:rFonts w:ascii="Times New Roman" w:cs="Times New Roman"/>
                <w:color w:val="auto"/>
              </w:rPr>
            </w:pPr>
            <w:r>
              <w:rPr>
                <w:rFonts w:ascii="Times New Roman" w:cs="Times New Roman"/>
                <w:i/>
                <w:iCs/>
                <w:color w:val="auto"/>
              </w:rPr>
              <w:t>O</w:t>
            </w:r>
            <w:r>
              <w:rPr>
                <w:rFonts w:ascii="Times New Roman" w:cs="Times New Roman"/>
                <w:i/>
                <w:iCs/>
                <w:color w:val="auto"/>
                <w:vertAlign w:val="subscript"/>
              </w:rPr>
              <w:t>ar</w:t>
            </w:r>
            <w:r>
              <w:rPr>
                <w:rFonts w:ascii="Times New Roman" w:cs="Times New Roman"/>
                <w:color w:val="auto"/>
              </w:rPr>
              <w:t>——收到基氧的质量分数，</w:t>
            </w:r>
            <w:r>
              <w:rPr>
                <w:rFonts w:hint="eastAsia" w:ascii="Times New Roman" w:cs="Times New Roman"/>
                <w:color w:val="auto"/>
              </w:rPr>
              <w:t>31.88</w:t>
            </w:r>
            <w:r>
              <w:rPr>
                <w:rFonts w:ascii="Times New Roman" w:cs="Times New Roman"/>
                <w:color w:val="auto"/>
              </w:rPr>
              <w:t>%。</w:t>
            </w:r>
          </w:p>
          <w:p w14:paraId="3950699E">
            <w:pPr>
              <w:adjustRightInd w:val="0"/>
              <w:snapToGrid w:val="0"/>
              <w:spacing w:line="360" w:lineRule="auto"/>
              <w:ind w:firstLine="480" w:firstLineChars="200"/>
              <w:rPr>
                <w:b/>
                <w:bCs/>
                <w:color w:val="auto"/>
                <w:sz w:val="24"/>
              </w:rPr>
            </w:pPr>
            <w:r>
              <w:rPr>
                <w:color w:val="auto"/>
                <w:sz w:val="24"/>
              </w:rPr>
              <w:t>烟气排放量计算</w:t>
            </w:r>
          </w:p>
          <w:p w14:paraId="53336CBD">
            <w:pPr>
              <w:adjustRightInd w:val="0"/>
              <w:snapToGrid w:val="0"/>
              <w:spacing w:line="360" w:lineRule="auto"/>
              <w:ind w:firstLine="480" w:firstLineChars="200"/>
              <w:rPr>
                <w:color w:val="auto"/>
                <w:sz w:val="24"/>
              </w:rPr>
            </w:pPr>
            <w:r>
              <w:rPr>
                <w:color w:val="auto"/>
                <w:sz w:val="24"/>
              </w:rPr>
              <w:t>锅炉实际燃烧过程是在过量空气系数α&gt;1的条件下进行的，1kg固体燃料产生的烟气排放量计算公式如下：</w:t>
            </w:r>
          </w:p>
          <w:p w14:paraId="21D40A40">
            <w:pPr>
              <w:pStyle w:val="48"/>
              <w:spacing w:line="360" w:lineRule="auto"/>
              <w:jc w:val="center"/>
              <w:rPr>
                <w:rFonts w:ascii="Times New Roman" w:cs="Times New Roman"/>
                <w:color w:val="auto"/>
              </w:rPr>
            </w:pPr>
            <w:r>
              <w:rPr>
                <w:rFonts w:ascii="Times New Roman" w:cs="Times New Roman"/>
                <w:color w:val="auto"/>
                <w:position w:val="-24"/>
              </w:rPr>
              <w:object>
                <v:shape id="_x0000_i1026" o:spt="75" type="#_x0000_t75" style="height:31.1pt;width:204.45pt;" o:ole="t" filled="f" o:preferrelative="t" stroked="f" coordsize="21600,21600">
                  <v:path/>
                  <v:fill on="f" focussize="0,0"/>
                  <v:stroke on="f" joinstyle="miter"/>
                  <v:imagedata r:id="rId20" o:title=""/>
                  <o:lock v:ext="edit" aspectratio="t"/>
                  <w10:wrap type="none"/>
                  <w10:anchorlock/>
                </v:shape>
                <o:OLEObject Type="Embed" ProgID="Equation.3" ShapeID="_x0000_i1026" DrawAspect="Content" ObjectID="_1468075726" r:id="rId19">
                  <o:LockedField>false</o:LockedField>
                </o:OLEObject>
              </w:object>
            </w:r>
          </w:p>
          <w:p w14:paraId="318ABA04">
            <w:pPr>
              <w:pStyle w:val="48"/>
              <w:spacing w:line="360" w:lineRule="auto"/>
              <w:ind w:firstLine="2400" w:firstLineChars="1000"/>
              <w:rPr>
                <w:rFonts w:ascii="Times New Roman" w:cs="Times New Roman"/>
                <w:color w:val="auto"/>
              </w:rPr>
            </w:pPr>
            <w:r>
              <w:rPr>
                <w:rFonts w:ascii="Times New Roman" w:cs="Times New Roman"/>
                <w:color w:val="auto"/>
                <w:position w:val="-24"/>
              </w:rPr>
              <w:object>
                <v:shape id="_x0000_i1027" o:spt="75" type="#_x0000_t75" style="height:31.1pt;width:117.35pt;" o:ole="t" filled="f" o:preferrelative="t" stroked="f" coordsize="21600,21600">
                  <v:path/>
                  <v:fill on="f" focussize="0,0"/>
                  <v:stroke on="f" joinstyle="miter"/>
                  <v:imagedata r:id="rId22" o:title=""/>
                  <o:lock v:ext="edit" aspectratio="t"/>
                  <w10:wrap type="none"/>
                  <w10:anchorlock/>
                </v:shape>
                <o:OLEObject Type="Embed" ProgID="Equation.3" ShapeID="_x0000_i1027" DrawAspect="Content" ObjectID="_1468075727" r:id="rId21">
                  <o:LockedField>false</o:LockedField>
                </o:OLEObject>
              </w:object>
            </w:r>
          </w:p>
          <w:p w14:paraId="0E284FED">
            <w:pPr>
              <w:pStyle w:val="48"/>
              <w:spacing w:line="360" w:lineRule="auto"/>
              <w:ind w:firstLine="2400" w:firstLineChars="1000"/>
              <w:rPr>
                <w:rFonts w:ascii="Times New Roman" w:cs="Times New Roman"/>
                <w:color w:val="auto"/>
              </w:rPr>
            </w:pPr>
            <w:r>
              <w:rPr>
                <w:rFonts w:ascii="Times New Roman" w:cs="Times New Roman"/>
                <w:color w:val="auto"/>
                <w:position w:val="-14"/>
              </w:rPr>
              <w:object>
                <v:shape id="_x0000_i1028" o:spt="75" type="#_x0000_t75" style="height:18.65pt;width:123.55pt;" o:ole="t" filled="f" o:preferrelative="t" stroked="f" coordsize="21600,21600">
                  <v:path/>
                  <v:fill on="f" focussize="0,0"/>
                  <v:stroke on="f" joinstyle="miter"/>
                  <v:imagedata r:id="rId24" o:title=""/>
                  <o:lock v:ext="edit" aspectratio="t"/>
                  <w10:wrap type="none"/>
                  <w10:anchorlock/>
                </v:shape>
                <o:OLEObject Type="Embed" ProgID="Equation.3" ShapeID="_x0000_i1028" DrawAspect="Content" ObjectID="_1468075728" r:id="rId23">
                  <o:LockedField>false</o:LockedField>
                </o:OLEObject>
              </w:object>
            </w:r>
          </w:p>
          <w:p w14:paraId="392F191D">
            <w:pPr>
              <w:pStyle w:val="48"/>
              <w:spacing w:line="360" w:lineRule="auto"/>
              <w:ind w:firstLine="480"/>
              <w:rPr>
                <w:rFonts w:ascii="Times New Roman" w:cs="Times New Roman"/>
                <w:color w:val="auto"/>
              </w:rPr>
            </w:pPr>
            <w:r>
              <w:rPr>
                <w:rFonts w:ascii="Times New Roman" w:cs="Times New Roman"/>
                <w:color w:val="auto"/>
              </w:rPr>
              <w:t>式中：</w:t>
            </w:r>
            <w:r>
              <w:rPr>
                <w:rFonts w:ascii="Times New Roman" w:cs="Times New Roman"/>
                <w:i/>
                <w:iCs/>
                <w:color w:val="auto"/>
              </w:rPr>
              <w:t>V</w:t>
            </w:r>
            <w:r>
              <w:rPr>
                <w:rFonts w:ascii="Times New Roman" w:cs="Times New Roman"/>
                <w:color w:val="auto"/>
                <w:vertAlign w:val="subscript"/>
              </w:rPr>
              <w:t>RO2</w:t>
            </w:r>
            <w:r>
              <w:rPr>
                <w:rFonts w:ascii="Times New Roman" w:cs="Times New Roman"/>
                <w:color w:val="auto"/>
              </w:rPr>
              <w:t>——烟气中二氧化碳（</w:t>
            </w:r>
            <w:r>
              <w:rPr>
                <w:rFonts w:ascii="Times New Roman" w:cs="Times New Roman"/>
                <w:i/>
                <w:iCs/>
                <w:color w:val="auto"/>
              </w:rPr>
              <w:t>V</w:t>
            </w:r>
            <w:r>
              <w:rPr>
                <w:rFonts w:ascii="Times New Roman" w:cs="Times New Roman"/>
                <w:color w:val="auto"/>
                <w:vertAlign w:val="subscript"/>
              </w:rPr>
              <w:t>CO2</w:t>
            </w:r>
            <w:r>
              <w:rPr>
                <w:rFonts w:ascii="Times New Roman" w:cs="Times New Roman"/>
                <w:color w:val="auto"/>
              </w:rPr>
              <w:t>）和二氧化硫（</w:t>
            </w:r>
            <w:r>
              <w:rPr>
                <w:rFonts w:ascii="Times New Roman" w:cs="Times New Roman"/>
                <w:i/>
                <w:iCs/>
                <w:color w:val="auto"/>
              </w:rPr>
              <w:t>V</w:t>
            </w:r>
            <w:r>
              <w:rPr>
                <w:rFonts w:ascii="Times New Roman" w:cs="Times New Roman"/>
                <w:color w:val="auto"/>
                <w:vertAlign w:val="subscript"/>
              </w:rPr>
              <w:t>SO2</w:t>
            </w:r>
            <w:r>
              <w:rPr>
                <w:rFonts w:ascii="Times New Roman" w:cs="Times New Roman"/>
                <w:color w:val="auto"/>
              </w:rPr>
              <w:t>）容积之和，m</w:t>
            </w:r>
            <w:r>
              <w:rPr>
                <w:rFonts w:ascii="Times New Roman" w:cs="Times New Roman"/>
                <w:color w:val="auto"/>
                <w:vertAlign w:val="superscript"/>
              </w:rPr>
              <w:t>3</w:t>
            </w:r>
            <w:r>
              <w:rPr>
                <w:rFonts w:ascii="Times New Roman" w:cs="Times New Roman"/>
                <w:color w:val="auto"/>
              </w:rPr>
              <w:t>/kg；</w:t>
            </w:r>
          </w:p>
          <w:p w14:paraId="170FC2F8">
            <w:pPr>
              <w:pStyle w:val="48"/>
              <w:spacing w:line="360" w:lineRule="auto"/>
              <w:ind w:firstLine="1262" w:firstLineChars="526"/>
              <w:rPr>
                <w:rFonts w:ascii="Times New Roman" w:cs="Times New Roman"/>
                <w:color w:val="auto"/>
              </w:rPr>
            </w:pPr>
            <w:r>
              <w:rPr>
                <w:rFonts w:ascii="Times New Roman" w:cs="Times New Roman"/>
                <w:i/>
                <w:iCs/>
                <w:color w:val="auto"/>
              </w:rPr>
              <w:t>C</w:t>
            </w:r>
            <w:r>
              <w:rPr>
                <w:rFonts w:ascii="Times New Roman" w:cs="Times New Roman"/>
                <w:color w:val="auto"/>
                <w:vertAlign w:val="subscript"/>
              </w:rPr>
              <w:t>ar</w:t>
            </w:r>
            <w:r>
              <w:rPr>
                <w:rFonts w:ascii="Times New Roman" w:cs="Times New Roman"/>
                <w:color w:val="auto"/>
              </w:rPr>
              <w:t>——收到基碳的质量分数，</w:t>
            </w:r>
            <w:r>
              <w:rPr>
                <w:rFonts w:hint="eastAsia" w:ascii="Times New Roman" w:cs="Times New Roman"/>
                <w:color w:val="auto"/>
                <w:lang w:val="en-US" w:eastAsia="zh-CN"/>
              </w:rPr>
              <w:t>34.41</w:t>
            </w:r>
            <w:r>
              <w:rPr>
                <w:rFonts w:ascii="Times New Roman" w:cs="Times New Roman"/>
                <w:color w:val="auto"/>
              </w:rPr>
              <w:t>%；</w:t>
            </w:r>
          </w:p>
          <w:p w14:paraId="384A718A">
            <w:pPr>
              <w:pStyle w:val="48"/>
              <w:spacing w:line="360" w:lineRule="auto"/>
              <w:ind w:firstLine="1262" w:firstLineChars="526"/>
              <w:rPr>
                <w:rFonts w:ascii="Times New Roman" w:cs="Times New Roman"/>
                <w:color w:val="auto"/>
              </w:rPr>
            </w:pPr>
            <w:r>
              <w:rPr>
                <w:rFonts w:ascii="Times New Roman" w:cs="Times New Roman"/>
                <w:i/>
                <w:iCs/>
                <w:color w:val="auto"/>
              </w:rPr>
              <w:t>S</w:t>
            </w:r>
            <w:r>
              <w:rPr>
                <w:rFonts w:ascii="Times New Roman" w:cs="Times New Roman"/>
                <w:color w:val="auto"/>
                <w:vertAlign w:val="subscript"/>
              </w:rPr>
              <w:t>ar</w:t>
            </w:r>
            <w:r>
              <w:rPr>
                <w:rFonts w:ascii="Times New Roman" w:cs="Times New Roman"/>
                <w:color w:val="auto"/>
              </w:rPr>
              <w:t>——收到基硫的质量分数，0.0</w:t>
            </w:r>
            <w:r>
              <w:rPr>
                <w:rFonts w:hint="eastAsia" w:ascii="Times New Roman" w:cs="Times New Roman"/>
                <w:color w:val="auto"/>
              </w:rPr>
              <w:t>3</w:t>
            </w:r>
            <w:r>
              <w:rPr>
                <w:rFonts w:ascii="Times New Roman" w:cs="Times New Roman"/>
                <w:color w:val="auto"/>
              </w:rPr>
              <w:t>%；</w:t>
            </w:r>
          </w:p>
          <w:p w14:paraId="71F9CF92">
            <w:pPr>
              <w:pStyle w:val="48"/>
              <w:spacing w:line="360" w:lineRule="auto"/>
              <w:ind w:firstLine="1262" w:firstLineChars="526"/>
              <w:rPr>
                <w:rFonts w:ascii="Times New Roman" w:cs="Times New Roman"/>
                <w:color w:val="auto"/>
              </w:rPr>
            </w:pPr>
            <w:r>
              <w:rPr>
                <w:rFonts w:ascii="Times New Roman" w:cs="Times New Roman"/>
                <w:i/>
                <w:iCs/>
                <w:color w:val="auto"/>
              </w:rPr>
              <w:t>V</w:t>
            </w:r>
            <w:r>
              <w:rPr>
                <w:rFonts w:ascii="Times New Roman" w:cs="Times New Roman"/>
                <w:color w:val="auto"/>
                <w:vertAlign w:val="subscript"/>
              </w:rPr>
              <w:t>N2</w:t>
            </w:r>
            <w:r>
              <w:rPr>
                <w:rFonts w:ascii="Times New Roman" w:cs="Times New Roman"/>
                <w:color w:val="auto"/>
              </w:rPr>
              <w:t>——烟气中氮气量，m</w:t>
            </w:r>
            <w:r>
              <w:rPr>
                <w:rFonts w:ascii="Times New Roman" w:cs="Times New Roman"/>
                <w:color w:val="auto"/>
                <w:vertAlign w:val="superscript"/>
              </w:rPr>
              <w:t>3</w:t>
            </w:r>
            <w:r>
              <w:rPr>
                <w:rFonts w:ascii="Times New Roman" w:cs="Times New Roman"/>
                <w:color w:val="auto"/>
              </w:rPr>
              <w:t>/kg；</w:t>
            </w:r>
          </w:p>
          <w:p w14:paraId="52C81508">
            <w:pPr>
              <w:pStyle w:val="48"/>
              <w:tabs>
                <w:tab w:val="left" w:pos="6849"/>
              </w:tabs>
              <w:spacing w:line="360" w:lineRule="auto"/>
              <w:ind w:firstLine="1262" w:firstLineChars="526"/>
              <w:rPr>
                <w:rFonts w:ascii="Times New Roman" w:cs="Times New Roman"/>
                <w:color w:val="auto"/>
              </w:rPr>
            </w:pPr>
            <w:r>
              <w:rPr>
                <w:rFonts w:ascii="Times New Roman" w:cs="Times New Roman"/>
                <w:i/>
                <w:iCs/>
                <w:color w:val="auto"/>
              </w:rPr>
              <w:t>N</w:t>
            </w:r>
            <w:r>
              <w:rPr>
                <w:rFonts w:ascii="Times New Roman" w:cs="Times New Roman"/>
                <w:color w:val="auto"/>
                <w:vertAlign w:val="subscript"/>
              </w:rPr>
              <w:t>ar</w:t>
            </w:r>
            <w:r>
              <w:rPr>
                <w:rFonts w:ascii="Times New Roman" w:cs="Times New Roman"/>
                <w:color w:val="auto"/>
              </w:rPr>
              <w:t>——收到基氮的质量分数，0.</w:t>
            </w:r>
            <w:r>
              <w:rPr>
                <w:rFonts w:hint="eastAsia" w:ascii="Times New Roman" w:cs="Times New Roman"/>
                <w:color w:val="auto"/>
                <w:lang w:val="en-US" w:eastAsia="zh-CN"/>
              </w:rPr>
              <w:t>43</w:t>
            </w:r>
            <w:r>
              <w:rPr>
                <w:rFonts w:ascii="Times New Roman" w:cs="Times New Roman"/>
                <w:color w:val="auto"/>
              </w:rPr>
              <w:t>%；</w:t>
            </w:r>
            <w:r>
              <w:rPr>
                <w:rFonts w:ascii="Times New Roman" w:cs="Times New Roman"/>
                <w:color w:val="auto"/>
              </w:rPr>
              <w:tab/>
            </w:r>
          </w:p>
          <w:p w14:paraId="68C2F42D">
            <w:pPr>
              <w:pStyle w:val="48"/>
              <w:spacing w:line="360" w:lineRule="auto"/>
              <w:ind w:firstLine="1262" w:firstLineChars="526"/>
              <w:rPr>
                <w:rFonts w:ascii="Times New Roman" w:cs="Times New Roman"/>
                <w:color w:val="auto"/>
              </w:rPr>
            </w:pPr>
            <w:r>
              <w:rPr>
                <w:rFonts w:ascii="Times New Roman" w:cs="Times New Roman"/>
                <w:i/>
                <w:iCs/>
                <w:color w:val="auto"/>
              </w:rPr>
              <w:t>V</w:t>
            </w:r>
            <w:r>
              <w:rPr>
                <w:rFonts w:ascii="Times New Roman" w:cs="Times New Roman"/>
                <w:color w:val="auto"/>
                <w:vertAlign w:val="subscript"/>
              </w:rPr>
              <w:t>0</w:t>
            </w:r>
            <w:r>
              <w:rPr>
                <w:rFonts w:ascii="Times New Roman" w:cs="Times New Roman"/>
                <w:color w:val="auto"/>
              </w:rPr>
              <w:t>——理论空气量，m</w:t>
            </w:r>
            <w:r>
              <w:rPr>
                <w:rFonts w:ascii="Times New Roman" w:cs="Times New Roman"/>
                <w:color w:val="auto"/>
                <w:vertAlign w:val="superscript"/>
              </w:rPr>
              <w:t>3</w:t>
            </w:r>
            <w:r>
              <w:rPr>
                <w:rFonts w:ascii="Times New Roman" w:cs="Times New Roman"/>
                <w:color w:val="auto"/>
              </w:rPr>
              <w:t>/kg；</w:t>
            </w:r>
          </w:p>
          <w:p w14:paraId="5791E7A3">
            <w:pPr>
              <w:pStyle w:val="48"/>
              <w:spacing w:line="360" w:lineRule="auto"/>
              <w:ind w:firstLine="1262" w:firstLineChars="526"/>
              <w:rPr>
                <w:rFonts w:ascii="Times New Roman" w:cs="Times New Roman"/>
                <w:color w:val="auto"/>
              </w:rPr>
            </w:pPr>
            <w:r>
              <w:rPr>
                <w:rFonts w:ascii="Times New Roman" w:cs="Times New Roman"/>
                <w:i/>
                <w:iCs/>
                <w:color w:val="auto"/>
              </w:rPr>
              <w:t>V</w:t>
            </w:r>
            <w:r>
              <w:rPr>
                <w:rFonts w:ascii="Times New Roman" w:cs="Times New Roman"/>
                <w:color w:val="auto"/>
                <w:vertAlign w:val="subscript"/>
              </w:rPr>
              <w:t>g</w:t>
            </w:r>
            <w:r>
              <w:rPr>
                <w:rFonts w:ascii="Times New Roman" w:cs="Times New Roman"/>
                <w:color w:val="auto"/>
              </w:rPr>
              <w:t>——干烟气排放量，m</w:t>
            </w:r>
            <w:r>
              <w:rPr>
                <w:rFonts w:ascii="Times New Roman" w:cs="Times New Roman"/>
                <w:color w:val="auto"/>
                <w:vertAlign w:val="superscript"/>
              </w:rPr>
              <w:t>3</w:t>
            </w:r>
            <w:r>
              <w:rPr>
                <w:rFonts w:ascii="Times New Roman" w:cs="Times New Roman"/>
                <w:color w:val="auto"/>
              </w:rPr>
              <w:t>/kg；</w:t>
            </w:r>
          </w:p>
          <w:p w14:paraId="2AFA5F14">
            <w:pPr>
              <w:pStyle w:val="48"/>
              <w:spacing w:line="360" w:lineRule="auto"/>
              <w:ind w:firstLine="1262" w:firstLineChars="526"/>
              <w:rPr>
                <w:rFonts w:ascii="Times New Roman" w:cs="Times New Roman"/>
                <w:color w:val="auto"/>
              </w:rPr>
            </w:pPr>
            <w:r>
              <w:rPr>
                <w:rFonts w:ascii="Times New Roman" w:cs="Times New Roman"/>
                <w:i/>
                <w:iCs/>
                <w:color w:val="auto"/>
              </w:rPr>
              <w:t>α</w:t>
            </w:r>
            <w:r>
              <w:rPr>
                <w:rFonts w:ascii="Times New Roman" w:cs="Times New Roman"/>
                <w:color w:val="auto"/>
              </w:rPr>
              <w:t>——过量空气系数，1.75；</w:t>
            </w:r>
          </w:p>
          <w:p w14:paraId="3FBEE9F8">
            <w:pPr>
              <w:spacing w:line="360" w:lineRule="auto"/>
              <w:ind w:firstLine="480" w:firstLineChars="200"/>
              <w:rPr>
                <w:color w:val="auto"/>
                <w:sz w:val="24"/>
              </w:rPr>
            </w:pPr>
            <w:r>
              <w:rPr>
                <w:iCs/>
                <w:color w:val="auto"/>
                <w:sz w:val="24"/>
              </w:rPr>
              <w:t>本项目干烟气排放量为</w:t>
            </w:r>
            <w:r>
              <w:rPr>
                <w:rFonts w:hint="eastAsia"/>
                <w:iCs/>
                <w:color w:val="auto"/>
                <w:sz w:val="24"/>
                <w:lang w:val="en-US" w:eastAsia="zh-CN"/>
              </w:rPr>
              <w:t>5.56</w:t>
            </w:r>
            <w:r>
              <w:rPr>
                <w:iCs/>
                <w:color w:val="auto"/>
                <w:sz w:val="24"/>
              </w:rPr>
              <w:t>m</w:t>
            </w:r>
            <w:r>
              <w:rPr>
                <w:iCs/>
                <w:color w:val="auto"/>
                <w:sz w:val="24"/>
                <w:vertAlign w:val="superscript"/>
              </w:rPr>
              <w:t>3</w:t>
            </w:r>
            <w:r>
              <w:rPr>
                <w:iCs/>
                <w:color w:val="auto"/>
                <w:sz w:val="24"/>
              </w:rPr>
              <w:t>/kg，</w:t>
            </w:r>
            <w:r>
              <w:rPr>
                <w:color w:val="auto"/>
                <w:sz w:val="24"/>
              </w:rPr>
              <w:t>燃料耗量为</w:t>
            </w:r>
            <w:r>
              <w:rPr>
                <w:rFonts w:hint="eastAsia"/>
                <w:color w:val="auto"/>
                <w:sz w:val="24"/>
                <w:lang w:val="en-US" w:eastAsia="zh-CN"/>
              </w:rPr>
              <w:t>4.61</w:t>
            </w:r>
            <w:r>
              <w:rPr>
                <w:color w:val="auto"/>
                <w:sz w:val="24"/>
              </w:rPr>
              <w:t>t/h，</w:t>
            </w:r>
            <w:r>
              <w:rPr>
                <w:rFonts w:hint="eastAsia"/>
                <w:color w:val="auto"/>
                <w:sz w:val="24"/>
                <w:lang w:val="en-US" w:eastAsia="zh-CN"/>
              </w:rPr>
              <w:t>25670.38</w:t>
            </w:r>
            <w:r>
              <w:rPr>
                <w:color w:val="auto"/>
                <w:sz w:val="24"/>
              </w:rPr>
              <w:t>Nm</w:t>
            </w:r>
            <w:r>
              <w:rPr>
                <w:color w:val="auto"/>
                <w:sz w:val="24"/>
                <w:vertAlign w:val="superscript"/>
              </w:rPr>
              <w:t>3</w:t>
            </w:r>
            <w:r>
              <w:rPr>
                <w:color w:val="auto"/>
                <w:sz w:val="24"/>
              </w:rPr>
              <w:t>/h，</w:t>
            </w:r>
            <w:r>
              <w:rPr>
                <w:rFonts w:hint="eastAsia"/>
                <w:color w:val="auto"/>
                <w:sz w:val="24"/>
                <w:lang w:val="en-US" w:eastAsia="zh-CN"/>
              </w:rPr>
              <w:t>184826704.7</w:t>
            </w:r>
            <w:r>
              <w:rPr>
                <w:color w:val="auto"/>
                <w:sz w:val="24"/>
              </w:rPr>
              <w:t>Nm</w:t>
            </w:r>
            <w:r>
              <w:rPr>
                <w:color w:val="auto"/>
                <w:sz w:val="24"/>
                <w:vertAlign w:val="superscript"/>
              </w:rPr>
              <w:t>3</w:t>
            </w:r>
            <w:r>
              <w:rPr>
                <w:color w:val="auto"/>
                <w:sz w:val="24"/>
              </w:rPr>
              <w:t>/a。</w:t>
            </w:r>
          </w:p>
          <w:p w14:paraId="54FF55C5">
            <w:pPr>
              <w:spacing w:line="360" w:lineRule="auto"/>
              <w:ind w:firstLine="480" w:firstLineChars="200"/>
              <w:contextualSpacing/>
              <w:rPr>
                <w:color w:val="auto"/>
                <w:kern w:val="21"/>
                <w:sz w:val="24"/>
              </w:rPr>
            </w:pPr>
            <w:r>
              <w:rPr>
                <w:color w:val="auto"/>
                <w:sz w:val="24"/>
                <w:szCs w:val="28"/>
              </w:rPr>
              <w:t>②</w:t>
            </w:r>
            <w:r>
              <w:rPr>
                <w:color w:val="auto"/>
                <w:kern w:val="21"/>
                <w:sz w:val="24"/>
              </w:rPr>
              <w:t>颗粒物排放量</w:t>
            </w:r>
          </w:p>
          <w:p w14:paraId="581CB394">
            <w:pPr>
              <w:spacing w:line="360" w:lineRule="auto"/>
              <w:jc w:val="center"/>
              <w:rPr>
                <w:color w:val="auto"/>
              </w:rPr>
            </w:pPr>
            <w:r>
              <w:rPr>
                <w:color w:val="auto"/>
              </w:rPr>
              <w:drawing>
                <wp:inline distT="0" distB="0" distL="114300" distR="114300">
                  <wp:extent cx="2080895" cy="737870"/>
                  <wp:effectExtent l="0" t="0" r="14605" b="5080"/>
                  <wp:docPr id="1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7"/>
                          <pic:cNvPicPr>
                            <a:picLocks noChangeAspect="1"/>
                          </pic:cNvPicPr>
                        </pic:nvPicPr>
                        <pic:blipFill>
                          <a:blip r:embed="rId25"/>
                          <a:stretch>
                            <a:fillRect/>
                          </a:stretch>
                        </pic:blipFill>
                        <pic:spPr>
                          <a:xfrm>
                            <a:off x="0" y="0"/>
                            <a:ext cx="2080895" cy="737870"/>
                          </a:xfrm>
                          <a:prstGeom prst="rect">
                            <a:avLst/>
                          </a:prstGeom>
                          <a:noFill/>
                          <a:ln>
                            <a:noFill/>
                          </a:ln>
                        </pic:spPr>
                      </pic:pic>
                    </a:graphicData>
                  </a:graphic>
                </wp:inline>
              </w:drawing>
            </w:r>
          </w:p>
          <w:p w14:paraId="0061D968">
            <w:pPr>
              <w:spacing w:line="360" w:lineRule="auto"/>
              <w:rPr>
                <w:rFonts w:ascii="Times New Roman" w:hAnsi="Times New Roman" w:eastAsia="宋体" w:cs="Times New Roman"/>
                <w:iCs/>
                <w:color w:val="auto"/>
                <w:sz w:val="24"/>
              </w:rPr>
            </w:pPr>
            <w:r>
              <w:rPr>
                <w:rFonts w:ascii="Times New Roman" w:hAnsi="Times New Roman" w:eastAsia="宋体" w:cs="Times New Roman"/>
                <w:iCs/>
                <w:color w:val="auto"/>
                <w:sz w:val="24"/>
              </w:rPr>
              <w:t>式中：EA----核算时段内颗粒物（烟尘）排放量，t；</w:t>
            </w:r>
          </w:p>
          <w:p w14:paraId="1921219F">
            <w:pPr>
              <w:pStyle w:val="22"/>
              <w:spacing w:after="0" w:line="360" w:lineRule="auto"/>
              <w:ind w:firstLine="720" w:firstLineChars="300"/>
              <w:rPr>
                <w:color w:val="auto"/>
                <w:kern w:val="21"/>
                <w:sz w:val="24"/>
              </w:rPr>
            </w:pPr>
            <w:r>
              <w:rPr>
                <w:color w:val="auto"/>
                <w:kern w:val="21"/>
                <w:sz w:val="24"/>
              </w:rPr>
              <w:t>R----核算时段内锅炉燃料耗量，</w:t>
            </w:r>
            <w:r>
              <w:rPr>
                <w:rFonts w:hint="eastAsia"/>
                <w:color w:val="auto"/>
                <w:sz w:val="24"/>
                <w:lang w:val="en-US" w:eastAsia="zh-CN"/>
              </w:rPr>
              <w:t>33226.68</w:t>
            </w:r>
            <w:r>
              <w:rPr>
                <w:color w:val="auto"/>
                <w:sz w:val="24"/>
              </w:rPr>
              <w:t>t</w:t>
            </w:r>
            <w:r>
              <w:rPr>
                <w:color w:val="auto"/>
                <w:kern w:val="21"/>
                <w:sz w:val="24"/>
              </w:rPr>
              <w:t>；</w:t>
            </w:r>
          </w:p>
          <w:p w14:paraId="7D2E7E50">
            <w:pPr>
              <w:pStyle w:val="22"/>
              <w:spacing w:after="0" w:line="360" w:lineRule="auto"/>
              <w:ind w:firstLine="720" w:firstLineChars="300"/>
              <w:rPr>
                <w:color w:val="auto"/>
                <w:kern w:val="21"/>
                <w:sz w:val="24"/>
              </w:rPr>
            </w:pPr>
            <w:r>
              <w:rPr>
                <w:color w:val="auto"/>
                <w:kern w:val="21"/>
                <w:sz w:val="24"/>
              </w:rPr>
              <w:t>A</w:t>
            </w:r>
            <w:r>
              <w:rPr>
                <w:color w:val="auto"/>
                <w:kern w:val="21"/>
                <w:sz w:val="24"/>
                <w:vertAlign w:val="subscript"/>
              </w:rPr>
              <w:t>ar</w:t>
            </w:r>
            <w:r>
              <w:rPr>
                <w:color w:val="auto"/>
                <w:kern w:val="21"/>
                <w:sz w:val="24"/>
              </w:rPr>
              <w:t>----收到基灰分的质量分数，%；取</w:t>
            </w:r>
            <w:r>
              <w:rPr>
                <w:rFonts w:hint="eastAsia"/>
                <w:color w:val="auto"/>
                <w:kern w:val="21"/>
                <w:sz w:val="24"/>
                <w:lang w:val="en-US" w:eastAsia="zh-CN"/>
              </w:rPr>
              <w:t>3.76</w:t>
            </w:r>
            <w:r>
              <w:rPr>
                <w:color w:val="auto"/>
                <w:kern w:val="21"/>
                <w:sz w:val="24"/>
              </w:rPr>
              <w:t>。（根据生物质成分分析报告）</w:t>
            </w:r>
          </w:p>
          <w:p w14:paraId="44D87B0E">
            <w:pPr>
              <w:pStyle w:val="22"/>
              <w:spacing w:after="0" w:line="360" w:lineRule="auto"/>
              <w:ind w:firstLine="720" w:firstLineChars="300"/>
              <w:rPr>
                <w:color w:val="auto"/>
                <w:kern w:val="21"/>
                <w:sz w:val="24"/>
              </w:rPr>
            </w:pPr>
            <w:r>
              <w:rPr>
                <w:color w:val="auto"/>
                <w:kern w:val="21"/>
                <w:sz w:val="24"/>
              </w:rPr>
              <w:t>d</w:t>
            </w:r>
            <w:r>
              <w:rPr>
                <w:color w:val="auto"/>
                <w:kern w:val="21"/>
                <w:sz w:val="24"/>
                <w:vertAlign w:val="subscript"/>
              </w:rPr>
              <w:t>fh</w:t>
            </w:r>
            <w:r>
              <w:rPr>
                <w:color w:val="auto"/>
                <w:kern w:val="21"/>
                <w:sz w:val="24"/>
              </w:rPr>
              <w:t>----锅炉烟气带出的灰分份额，%；取</w:t>
            </w:r>
            <w:r>
              <w:rPr>
                <w:rFonts w:hint="eastAsia"/>
                <w:color w:val="auto"/>
                <w:kern w:val="21"/>
                <w:sz w:val="24"/>
              </w:rPr>
              <w:t>40</w:t>
            </w:r>
            <w:r>
              <w:rPr>
                <w:color w:val="auto"/>
                <w:kern w:val="21"/>
                <w:sz w:val="24"/>
              </w:rPr>
              <w:t>%。</w:t>
            </w:r>
          </w:p>
          <w:p w14:paraId="78BBA0A0">
            <w:pPr>
              <w:pStyle w:val="22"/>
              <w:spacing w:after="0" w:line="360" w:lineRule="auto"/>
              <w:ind w:firstLine="720" w:firstLineChars="300"/>
              <w:rPr>
                <w:color w:val="auto"/>
                <w:kern w:val="21"/>
                <w:sz w:val="24"/>
              </w:rPr>
            </w:pPr>
            <w:r>
              <w:rPr>
                <w:color w:val="auto"/>
                <w:kern w:val="21"/>
                <w:sz w:val="24"/>
              </w:rPr>
              <w:t>ƞ</w:t>
            </w:r>
            <w:r>
              <w:rPr>
                <w:color w:val="auto"/>
                <w:kern w:val="21"/>
                <w:sz w:val="24"/>
                <w:vertAlign w:val="subscript"/>
              </w:rPr>
              <w:t>c</w:t>
            </w:r>
            <w:r>
              <w:rPr>
                <w:color w:val="auto"/>
                <w:kern w:val="21"/>
                <w:sz w:val="24"/>
              </w:rPr>
              <w:t>----综合除尘效率，%；取99</w:t>
            </w:r>
            <w:r>
              <w:rPr>
                <w:rFonts w:hint="eastAsia"/>
                <w:color w:val="auto"/>
                <w:kern w:val="21"/>
                <w:sz w:val="24"/>
              </w:rPr>
              <w:t>.</w:t>
            </w:r>
            <w:r>
              <w:rPr>
                <w:rFonts w:hint="eastAsia"/>
                <w:color w:val="auto"/>
                <w:kern w:val="21"/>
                <w:sz w:val="24"/>
                <w:lang w:val="en-US" w:eastAsia="zh-CN"/>
              </w:rPr>
              <w:t>5</w:t>
            </w:r>
            <w:r>
              <w:rPr>
                <w:color w:val="auto"/>
                <w:kern w:val="21"/>
                <w:sz w:val="24"/>
              </w:rPr>
              <w:t>%。</w:t>
            </w:r>
          </w:p>
          <w:p w14:paraId="5726B3C8">
            <w:pPr>
              <w:pStyle w:val="22"/>
              <w:spacing w:after="0" w:line="360" w:lineRule="auto"/>
              <w:ind w:firstLine="720" w:firstLineChars="300"/>
              <w:rPr>
                <w:color w:val="auto"/>
                <w:kern w:val="21"/>
                <w:sz w:val="24"/>
              </w:rPr>
            </w:pPr>
            <w:r>
              <w:rPr>
                <w:color w:val="auto"/>
                <w:kern w:val="21"/>
                <w:sz w:val="24"/>
              </w:rPr>
              <w:t>C</w:t>
            </w:r>
            <w:r>
              <w:rPr>
                <w:color w:val="auto"/>
                <w:kern w:val="21"/>
                <w:sz w:val="24"/>
                <w:vertAlign w:val="subscript"/>
              </w:rPr>
              <w:t>fh</w:t>
            </w:r>
            <w:r>
              <w:rPr>
                <w:color w:val="auto"/>
                <w:kern w:val="21"/>
                <w:sz w:val="24"/>
              </w:rPr>
              <w:t>----飞灰中可燃物含量，%。取16%。（项目使用生物质成型燃料，飞灰中可燃物含量类比烟煤</w:t>
            </w:r>
            <w:r>
              <w:rPr>
                <w:rFonts w:hint="eastAsia"/>
                <w:color w:val="auto"/>
                <w:kern w:val="21"/>
                <w:sz w:val="24"/>
                <w:lang w:eastAsia="zh-CN"/>
              </w:rPr>
              <w:t>Ⅱ类</w:t>
            </w:r>
            <w:r>
              <w:rPr>
                <w:color w:val="auto"/>
                <w:kern w:val="21"/>
                <w:sz w:val="24"/>
              </w:rPr>
              <w:t>，根据《工业锅炉经济运行》（GB/T17954-2007），取16%）。</w:t>
            </w:r>
          </w:p>
          <w:p w14:paraId="2D7EE11A">
            <w:pPr>
              <w:pStyle w:val="22"/>
              <w:spacing w:after="0" w:line="360" w:lineRule="auto"/>
              <w:ind w:firstLine="720" w:firstLineChars="300"/>
              <w:rPr>
                <w:color w:val="auto"/>
                <w:kern w:val="21"/>
                <w:sz w:val="24"/>
              </w:rPr>
            </w:pPr>
            <w:r>
              <w:rPr>
                <w:color w:val="auto"/>
                <w:kern w:val="21"/>
                <w:sz w:val="24"/>
              </w:rPr>
              <w:t>E</w:t>
            </w:r>
            <w:r>
              <w:rPr>
                <w:color w:val="auto"/>
                <w:kern w:val="21"/>
                <w:sz w:val="24"/>
                <w:vertAlign w:val="subscript"/>
              </w:rPr>
              <w:t>A</w:t>
            </w:r>
            <w:r>
              <w:rPr>
                <w:color w:val="auto"/>
                <w:kern w:val="21"/>
                <w:sz w:val="24"/>
              </w:rPr>
              <w:t>=</w:t>
            </w:r>
            <w:r>
              <w:rPr>
                <w:rFonts w:hint="eastAsia"/>
                <w:color w:val="auto"/>
                <w:sz w:val="24"/>
                <w:lang w:val="en-US" w:eastAsia="zh-CN"/>
              </w:rPr>
              <w:t>226.68</w:t>
            </w:r>
            <w:r>
              <w:rPr>
                <w:color w:val="auto"/>
                <w:kern w:val="21"/>
                <w:sz w:val="24"/>
              </w:rPr>
              <w:t>×</w:t>
            </w:r>
            <w:r>
              <w:rPr>
                <w:rFonts w:hint="eastAsia"/>
                <w:color w:val="auto"/>
                <w:kern w:val="21"/>
                <w:sz w:val="24"/>
              </w:rPr>
              <w:t>3.76</w:t>
            </w:r>
            <w:r>
              <w:rPr>
                <w:color w:val="auto"/>
                <w:kern w:val="21"/>
                <w:sz w:val="24"/>
              </w:rPr>
              <w:t>%×</w:t>
            </w:r>
            <w:r>
              <w:rPr>
                <w:rFonts w:hint="eastAsia"/>
                <w:color w:val="auto"/>
                <w:kern w:val="21"/>
                <w:sz w:val="24"/>
              </w:rPr>
              <w:t>4</w:t>
            </w:r>
            <w:r>
              <w:rPr>
                <w:color w:val="auto"/>
                <w:kern w:val="21"/>
                <w:sz w:val="24"/>
              </w:rPr>
              <w:t>0%×（1-99</w:t>
            </w:r>
            <w:r>
              <w:rPr>
                <w:rFonts w:hint="eastAsia"/>
                <w:color w:val="auto"/>
                <w:kern w:val="21"/>
                <w:sz w:val="24"/>
              </w:rPr>
              <w:t>.5</w:t>
            </w:r>
            <w:r>
              <w:rPr>
                <w:color w:val="auto"/>
                <w:kern w:val="21"/>
                <w:sz w:val="24"/>
              </w:rPr>
              <w:t>%）/（1-16%）=</w:t>
            </w:r>
            <w:r>
              <w:rPr>
                <w:rFonts w:hint="eastAsia"/>
                <w:color w:val="auto"/>
                <w:kern w:val="21"/>
                <w:sz w:val="24"/>
              </w:rPr>
              <w:t>2.</w:t>
            </w:r>
            <w:r>
              <w:rPr>
                <w:rFonts w:hint="eastAsia"/>
                <w:color w:val="auto"/>
                <w:kern w:val="21"/>
                <w:sz w:val="24"/>
                <w:lang w:val="en-US" w:eastAsia="zh-CN"/>
              </w:rPr>
              <w:t>97</w:t>
            </w:r>
            <w:r>
              <w:rPr>
                <w:color w:val="auto"/>
                <w:kern w:val="21"/>
                <w:sz w:val="24"/>
              </w:rPr>
              <w:t>t/a、0.</w:t>
            </w:r>
            <w:r>
              <w:rPr>
                <w:rFonts w:hint="eastAsia"/>
                <w:color w:val="auto"/>
                <w:kern w:val="21"/>
                <w:sz w:val="24"/>
                <w:lang w:val="en-US" w:eastAsia="zh-CN"/>
              </w:rPr>
              <w:t>41</w:t>
            </w:r>
            <w:r>
              <w:rPr>
                <w:color w:val="auto"/>
                <w:kern w:val="21"/>
                <w:sz w:val="24"/>
              </w:rPr>
              <w:t>kg/h；</w:t>
            </w:r>
            <w:r>
              <w:rPr>
                <w:rFonts w:hint="eastAsia"/>
                <w:color w:val="auto"/>
                <w:kern w:val="21"/>
                <w:sz w:val="24"/>
              </w:rPr>
              <w:t>16.09</w:t>
            </w:r>
            <w:r>
              <w:rPr>
                <w:color w:val="auto"/>
                <w:spacing w:val="-11"/>
                <w:kern w:val="21"/>
                <w:sz w:val="24"/>
              </w:rPr>
              <w:t>mg/m</w:t>
            </w:r>
            <w:r>
              <w:rPr>
                <w:color w:val="auto"/>
                <w:spacing w:val="-11"/>
                <w:kern w:val="21"/>
                <w:sz w:val="24"/>
                <w:vertAlign w:val="superscript"/>
              </w:rPr>
              <w:t>3</w:t>
            </w:r>
          </w:p>
          <w:p w14:paraId="7AA63F26">
            <w:pPr>
              <w:spacing w:line="360" w:lineRule="auto"/>
              <w:ind w:firstLine="480" w:firstLineChars="200"/>
              <w:contextualSpacing/>
              <w:rPr>
                <w:color w:val="auto"/>
                <w:kern w:val="21"/>
                <w:sz w:val="24"/>
              </w:rPr>
            </w:pPr>
            <w:r>
              <w:rPr>
                <w:color w:val="auto"/>
                <w:kern w:val="21"/>
                <w:sz w:val="24"/>
              </w:rPr>
              <w:t>③SO</w:t>
            </w:r>
            <w:r>
              <w:rPr>
                <w:color w:val="auto"/>
                <w:kern w:val="21"/>
                <w:sz w:val="24"/>
                <w:vertAlign w:val="subscript"/>
              </w:rPr>
              <w:t>2</w:t>
            </w:r>
            <w:r>
              <w:rPr>
                <w:color w:val="auto"/>
                <w:kern w:val="21"/>
                <w:sz w:val="24"/>
              </w:rPr>
              <w:t>排放量</w:t>
            </w:r>
          </w:p>
          <w:p w14:paraId="422B6FAC">
            <w:pPr>
              <w:spacing w:line="360" w:lineRule="auto"/>
              <w:jc w:val="center"/>
              <w:rPr>
                <w:color w:val="auto"/>
                <w:kern w:val="21"/>
                <w:sz w:val="24"/>
              </w:rPr>
            </w:pPr>
            <w:r>
              <w:rPr>
                <w:color w:val="auto"/>
                <w:kern w:val="21"/>
                <w:sz w:val="24"/>
              </w:rPr>
              <w:drawing>
                <wp:inline distT="0" distB="0" distL="114300" distR="114300">
                  <wp:extent cx="2540000" cy="438150"/>
                  <wp:effectExtent l="0" t="0" r="12700" b="0"/>
                  <wp:docPr id="1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8"/>
                          <pic:cNvPicPr>
                            <a:picLocks noChangeAspect="1"/>
                          </pic:cNvPicPr>
                        </pic:nvPicPr>
                        <pic:blipFill>
                          <a:blip r:embed="rId26"/>
                          <a:stretch>
                            <a:fillRect/>
                          </a:stretch>
                        </pic:blipFill>
                        <pic:spPr>
                          <a:xfrm>
                            <a:off x="0" y="0"/>
                            <a:ext cx="2540000" cy="438150"/>
                          </a:xfrm>
                          <a:prstGeom prst="rect">
                            <a:avLst/>
                          </a:prstGeom>
                          <a:noFill/>
                          <a:ln>
                            <a:noFill/>
                          </a:ln>
                        </pic:spPr>
                      </pic:pic>
                    </a:graphicData>
                  </a:graphic>
                </wp:inline>
              </w:drawing>
            </w:r>
          </w:p>
          <w:p w14:paraId="0BF68BB0">
            <w:pPr>
              <w:pStyle w:val="22"/>
              <w:spacing w:after="0" w:line="360" w:lineRule="auto"/>
              <w:ind w:firstLine="0" w:firstLineChars="0"/>
              <w:rPr>
                <w:color w:val="auto"/>
                <w:kern w:val="21"/>
                <w:sz w:val="24"/>
              </w:rPr>
            </w:pPr>
            <w:r>
              <w:rPr>
                <w:color w:val="auto"/>
                <w:kern w:val="21"/>
                <w:sz w:val="24"/>
              </w:rPr>
              <w:t>式中：E</w:t>
            </w:r>
            <w:r>
              <w:rPr>
                <w:color w:val="auto"/>
                <w:kern w:val="21"/>
                <w:sz w:val="24"/>
                <w:vertAlign w:val="subscript"/>
              </w:rPr>
              <w:t>SO2</w:t>
            </w:r>
            <w:r>
              <w:rPr>
                <w:color w:val="auto"/>
                <w:kern w:val="21"/>
                <w:sz w:val="24"/>
              </w:rPr>
              <w:t>----核算时段内二氧化硫排放量，t；</w:t>
            </w:r>
          </w:p>
          <w:p w14:paraId="29D1F6ED">
            <w:pPr>
              <w:pStyle w:val="22"/>
              <w:spacing w:after="0" w:line="360" w:lineRule="auto"/>
              <w:ind w:firstLine="720" w:firstLineChars="300"/>
              <w:rPr>
                <w:color w:val="auto"/>
                <w:kern w:val="21"/>
                <w:sz w:val="24"/>
              </w:rPr>
            </w:pPr>
            <w:r>
              <w:rPr>
                <w:color w:val="auto"/>
                <w:kern w:val="21"/>
                <w:sz w:val="24"/>
              </w:rPr>
              <w:t>R----核算时段内锅炉燃料耗量，</w:t>
            </w:r>
            <w:r>
              <w:rPr>
                <w:rFonts w:hint="eastAsia"/>
                <w:color w:val="auto"/>
                <w:sz w:val="24"/>
                <w:lang w:val="en-US" w:eastAsia="zh-CN"/>
              </w:rPr>
              <w:t>33226.68</w:t>
            </w:r>
            <w:r>
              <w:rPr>
                <w:color w:val="auto"/>
                <w:sz w:val="24"/>
              </w:rPr>
              <w:t>t</w:t>
            </w:r>
            <w:r>
              <w:rPr>
                <w:color w:val="auto"/>
                <w:kern w:val="21"/>
                <w:sz w:val="24"/>
              </w:rPr>
              <w:t>；</w:t>
            </w:r>
          </w:p>
          <w:p w14:paraId="663F7E22">
            <w:pPr>
              <w:pStyle w:val="22"/>
              <w:spacing w:after="0" w:line="360" w:lineRule="auto"/>
              <w:ind w:firstLine="720" w:firstLineChars="300"/>
              <w:rPr>
                <w:color w:val="auto"/>
                <w:kern w:val="21"/>
                <w:sz w:val="24"/>
              </w:rPr>
            </w:pPr>
            <w:r>
              <w:rPr>
                <w:color w:val="auto"/>
                <w:kern w:val="21"/>
                <w:sz w:val="24"/>
              </w:rPr>
              <w:t>S</w:t>
            </w:r>
            <w:r>
              <w:rPr>
                <w:color w:val="auto"/>
                <w:kern w:val="21"/>
                <w:sz w:val="24"/>
                <w:vertAlign w:val="subscript"/>
              </w:rPr>
              <w:t>ar</w:t>
            </w:r>
            <w:r>
              <w:rPr>
                <w:color w:val="auto"/>
                <w:kern w:val="21"/>
                <w:sz w:val="24"/>
              </w:rPr>
              <w:t>----收到基硫的质量分数，0.0</w:t>
            </w:r>
            <w:r>
              <w:rPr>
                <w:rFonts w:hint="eastAsia"/>
                <w:color w:val="auto"/>
                <w:kern w:val="21"/>
                <w:sz w:val="24"/>
              </w:rPr>
              <w:t>3</w:t>
            </w:r>
            <w:r>
              <w:rPr>
                <w:color w:val="auto"/>
                <w:kern w:val="21"/>
                <w:sz w:val="24"/>
              </w:rPr>
              <w:t>%；</w:t>
            </w:r>
          </w:p>
          <w:p w14:paraId="0B69CE9E">
            <w:pPr>
              <w:pStyle w:val="22"/>
              <w:spacing w:after="0" w:line="360" w:lineRule="auto"/>
              <w:ind w:firstLine="720" w:firstLineChars="300"/>
              <w:rPr>
                <w:color w:val="auto"/>
                <w:kern w:val="21"/>
                <w:sz w:val="24"/>
              </w:rPr>
            </w:pPr>
            <w:r>
              <w:rPr>
                <w:color w:val="auto"/>
                <w:kern w:val="21"/>
                <w:sz w:val="24"/>
              </w:rPr>
              <w:t>q</w:t>
            </w:r>
            <w:r>
              <w:rPr>
                <w:color w:val="auto"/>
                <w:kern w:val="21"/>
                <w:sz w:val="24"/>
                <w:vertAlign w:val="subscript"/>
              </w:rPr>
              <w:t>4</w:t>
            </w:r>
            <w:r>
              <w:rPr>
                <w:color w:val="auto"/>
                <w:kern w:val="21"/>
                <w:sz w:val="24"/>
              </w:rPr>
              <w:t>----锅炉机械不完全燃烧热损失，%；取</w:t>
            </w:r>
            <w:r>
              <w:rPr>
                <w:rFonts w:hint="eastAsia"/>
                <w:color w:val="auto"/>
                <w:kern w:val="21"/>
                <w:sz w:val="24"/>
              </w:rPr>
              <w:t>2</w:t>
            </w:r>
            <w:r>
              <w:rPr>
                <w:color w:val="auto"/>
                <w:kern w:val="21"/>
                <w:sz w:val="24"/>
              </w:rPr>
              <w:t>%。</w:t>
            </w:r>
          </w:p>
          <w:p w14:paraId="0B40C7D6">
            <w:pPr>
              <w:pStyle w:val="22"/>
              <w:spacing w:after="0" w:line="360" w:lineRule="auto"/>
              <w:ind w:firstLine="720" w:firstLineChars="300"/>
              <w:rPr>
                <w:color w:val="auto"/>
                <w:kern w:val="21"/>
                <w:sz w:val="24"/>
              </w:rPr>
            </w:pPr>
            <w:r>
              <w:rPr>
                <w:color w:val="auto"/>
                <w:kern w:val="21"/>
                <w:sz w:val="24"/>
              </w:rPr>
              <w:t>ƞ</w:t>
            </w:r>
            <w:r>
              <w:rPr>
                <w:color w:val="auto"/>
                <w:kern w:val="21"/>
                <w:sz w:val="24"/>
                <w:vertAlign w:val="subscript"/>
              </w:rPr>
              <w:t>s</w:t>
            </w:r>
            <w:r>
              <w:rPr>
                <w:color w:val="auto"/>
                <w:kern w:val="21"/>
                <w:sz w:val="24"/>
              </w:rPr>
              <w:t>----脱硫效率，</w:t>
            </w:r>
            <w:r>
              <w:rPr>
                <w:rFonts w:hint="eastAsia"/>
                <w:color w:val="auto"/>
                <w:kern w:val="21"/>
                <w:sz w:val="24"/>
              </w:rPr>
              <w:t>0</w:t>
            </w:r>
            <w:r>
              <w:rPr>
                <w:color w:val="auto"/>
                <w:kern w:val="21"/>
                <w:sz w:val="24"/>
              </w:rPr>
              <w:t>%；</w:t>
            </w:r>
          </w:p>
          <w:p w14:paraId="13256074">
            <w:pPr>
              <w:pStyle w:val="22"/>
              <w:numPr>
                <w:ilvl w:val="0"/>
                <w:numId w:val="6"/>
              </w:numPr>
              <w:spacing w:after="0" w:line="360" w:lineRule="auto"/>
              <w:ind w:firstLine="720" w:firstLineChars="300"/>
              <w:rPr>
                <w:color w:val="auto"/>
                <w:kern w:val="21"/>
                <w:sz w:val="24"/>
              </w:rPr>
            </w:pPr>
            <w:r>
              <w:rPr>
                <w:color w:val="auto"/>
                <w:kern w:val="21"/>
                <w:sz w:val="24"/>
              </w:rPr>
              <w:t>---燃料中的硫燃烧后氧化成二氧化硫的份额，量纲一的量。取0.</w:t>
            </w:r>
            <w:r>
              <w:rPr>
                <w:rFonts w:hint="eastAsia"/>
                <w:color w:val="auto"/>
                <w:kern w:val="21"/>
                <w:sz w:val="24"/>
              </w:rPr>
              <w:t>40</w:t>
            </w:r>
            <w:r>
              <w:rPr>
                <w:color w:val="auto"/>
                <w:kern w:val="21"/>
                <w:sz w:val="24"/>
              </w:rPr>
              <w:t>。</w:t>
            </w:r>
          </w:p>
          <w:p w14:paraId="5CE12990">
            <w:pPr>
              <w:pStyle w:val="22"/>
              <w:spacing w:after="0" w:line="360" w:lineRule="auto"/>
              <w:ind w:firstLine="480" w:firstLineChars="200"/>
              <w:rPr>
                <w:color w:val="auto"/>
                <w:kern w:val="21"/>
                <w:sz w:val="24"/>
              </w:rPr>
            </w:pPr>
            <w:r>
              <w:rPr>
                <w:color w:val="auto"/>
                <w:kern w:val="21"/>
                <w:sz w:val="24"/>
              </w:rPr>
              <w:t>E</w:t>
            </w:r>
            <w:r>
              <w:rPr>
                <w:color w:val="auto"/>
                <w:kern w:val="21"/>
                <w:sz w:val="24"/>
                <w:vertAlign w:val="subscript"/>
              </w:rPr>
              <w:t>SO2</w:t>
            </w:r>
            <w:r>
              <w:rPr>
                <w:color w:val="auto"/>
                <w:kern w:val="21"/>
                <w:sz w:val="24"/>
              </w:rPr>
              <w:t>=2×</w:t>
            </w:r>
            <w:r>
              <w:rPr>
                <w:rFonts w:hint="eastAsia"/>
                <w:color w:val="auto"/>
                <w:sz w:val="24"/>
                <w:lang w:val="en-US" w:eastAsia="zh-CN"/>
              </w:rPr>
              <w:t>33226.68</w:t>
            </w:r>
            <w:r>
              <w:rPr>
                <w:color w:val="auto"/>
                <w:kern w:val="21"/>
                <w:sz w:val="24"/>
              </w:rPr>
              <w:t>×0.0</w:t>
            </w:r>
            <w:r>
              <w:rPr>
                <w:rFonts w:hint="eastAsia"/>
                <w:color w:val="auto"/>
                <w:kern w:val="21"/>
                <w:sz w:val="24"/>
              </w:rPr>
              <w:t>3</w:t>
            </w:r>
            <w:r>
              <w:rPr>
                <w:color w:val="auto"/>
                <w:kern w:val="21"/>
                <w:sz w:val="24"/>
              </w:rPr>
              <w:t>%×（1-</w:t>
            </w:r>
            <w:r>
              <w:rPr>
                <w:rFonts w:hint="eastAsia"/>
                <w:color w:val="auto"/>
                <w:kern w:val="21"/>
                <w:sz w:val="24"/>
              </w:rPr>
              <w:t>2</w:t>
            </w:r>
            <w:r>
              <w:rPr>
                <w:color w:val="auto"/>
                <w:kern w:val="21"/>
                <w:sz w:val="24"/>
              </w:rPr>
              <w:t>%）×（1-0）×0.</w:t>
            </w:r>
            <w:r>
              <w:rPr>
                <w:rFonts w:hint="eastAsia"/>
                <w:color w:val="auto"/>
                <w:kern w:val="21"/>
                <w:sz w:val="24"/>
              </w:rPr>
              <w:t>40</w:t>
            </w:r>
            <w:r>
              <w:rPr>
                <w:color w:val="auto"/>
                <w:kern w:val="21"/>
                <w:sz w:val="24"/>
              </w:rPr>
              <w:t>=</w:t>
            </w:r>
            <w:r>
              <w:rPr>
                <w:rFonts w:hint="eastAsia"/>
                <w:color w:val="auto"/>
                <w:kern w:val="21"/>
                <w:sz w:val="24"/>
                <w:lang w:val="en-US" w:eastAsia="zh-CN"/>
              </w:rPr>
              <w:t>7.81</w:t>
            </w:r>
            <w:r>
              <w:rPr>
                <w:color w:val="auto"/>
                <w:kern w:val="21"/>
                <w:sz w:val="24"/>
              </w:rPr>
              <w:t>t/a、</w:t>
            </w:r>
            <w:r>
              <w:rPr>
                <w:rFonts w:hint="eastAsia"/>
                <w:color w:val="auto"/>
                <w:kern w:val="21"/>
                <w:sz w:val="24"/>
                <w:lang w:val="en-US" w:eastAsia="zh-CN"/>
              </w:rPr>
              <w:t>1.09</w:t>
            </w:r>
            <w:r>
              <w:rPr>
                <w:color w:val="auto"/>
                <w:kern w:val="21"/>
                <w:sz w:val="24"/>
              </w:rPr>
              <w:t>kg/h；</w:t>
            </w:r>
            <w:r>
              <w:rPr>
                <w:rFonts w:hint="eastAsia"/>
                <w:color w:val="auto"/>
                <w:kern w:val="21"/>
                <w:sz w:val="24"/>
              </w:rPr>
              <w:t>42.28</w:t>
            </w:r>
            <w:r>
              <w:rPr>
                <w:color w:val="auto"/>
                <w:spacing w:val="-11"/>
                <w:kern w:val="21"/>
                <w:sz w:val="24"/>
              </w:rPr>
              <w:t>mg/m</w:t>
            </w:r>
            <w:r>
              <w:rPr>
                <w:color w:val="auto"/>
                <w:spacing w:val="-11"/>
                <w:kern w:val="21"/>
                <w:sz w:val="24"/>
                <w:vertAlign w:val="superscript"/>
              </w:rPr>
              <w:t>3</w:t>
            </w:r>
          </w:p>
          <w:p w14:paraId="473F093D">
            <w:pPr>
              <w:pStyle w:val="22"/>
              <w:spacing w:after="0" w:line="360" w:lineRule="auto"/>
              <w:ind w:firstLine="480" w:firstLineChars="200"/>
              <w:rPr>
                <w:color w:val="auto"/>
                <w:kern w:val="21"/>
                <w:sz w:val="24"/>
                <w:szCs w:val="28"/>
              </w:rPr>
            </w:pPr>
            <w:r>
              <w:rPr>
                <w:color w:val="auto"/>
                <w:kern w:val="21"/>
                <w:sz w:val="24"/>
                <w:szCs w:val="28"/>
              </w:rPr>
              <w:t>④NO</w:t>
            </w:r>
            <w:r>
              <w:rPr>
                <w:color w:val="auto"/>
                <w:kern w:val="21"/>
                <w:sz w:val="24"/>
                <w:szCs w:val="28"/>
                <w:vertAlign w:val="subscript"/>
              </w:rPr>
              <w:t>X</w:t>
            </w:r>
            <w:r>
              <w:rPr>
                <w:color w:val="auto"/>
                <w:kern w:val="21"/>
                <w:sz w:val="24"/>
                <w:szCs w:val="28"/>
              </w:rPr>
              <w:t>排放量</w:t>
            </w:r>
          </w:p>
          <w:p w14:paraId="488FAAD3">
            <w:pPr>
              <w:pStyle w:val="22"/>
              <w:spacing w:after="0" w:line="360" w:lineRule="auto"/>
              <w:ind w:firstLine="480" w:firstLineChars="200"/>
              <w:rPr>
                <w:color w:val="auto"/>
                <w:kern w:val="21"/>
                <w:sz w:val="24"/>
                <w:szCs w:val="28"/>
              </w:rPr>
            </w:pPr>
            <w:r>
              <w:rPr>
                <w:bCs/>
                <w:color w:val="auto"/>
                <w:kern w:val="21"/>
                <w:sz w:val="24"/>
              </w:rPr>
              <w:t>根据《排污许可证申请与核发技术规范  锅炉》</w:t>
            </w:r>
            <w:r>
              <w:rPr>
                <w:color w:val="auto"/>
                <w:kern w:val="21"/>
                <w:sz w:val="24"/>
                <w:szCs w:val="28"/>
              </w:rPr>
              <w:t>（HJ 953-2018）中附录F.4燃生物质工业锅炉的废气产排污系数，可知烟气无低氮燃烧器处理的氮氧化物排污系数为1.02千克/吨-燃料。</w:t>
            </w:r>
          </w:p>
          <w:p w14:paraId="72508AA7">
            <w:pPr>
              <w:pStyle w:val="22"/>
              <w:spacing w:after="0" w:line="360" w:lineRule="auto"/>
              <w:ind w:firstLine="480" w:firstLineChars="200"/>
              <w:rPr>
                <w:color w:val="auto"/>
                <w:kern w:val="21"/>
                <w:sz w:val="24"/>
              </w:rPr>
            </w:pPr>
            <w:r>
              <w:rPr>
                <w:bCs/>
                <w:color w:val="auto"/>
                <w:kern w:val="21"/>
                <w:sz w:val="24"/>
              </w:rPr>
              <w:t>氮氧化物排放量=</w:t>
            </w:r>
            <w:r>
              <w:rPr>
                <w:rFonts w:hint="eastAsia"/>
                <w:color w:val="auto"/>
                <w:sz w:val="24"/>
                <w:lang w:val="en-US" w:eastAsia="zh-CN"/>
              </w:rPr>
              <w:t>33226.68</w:t>
            </w:r>
            <w:r>
              <w:rPr>
                <w:bCs/>
                <w:color w:val="auto"/>
                <w:kern w:val="21"/>
                <w:sz w:val="24"/>
              </w:rPr>
              <w:t>t×1.02kg/t÷1000=</w:t>
            </w:r>
            <w:r>
              <w:rPr>
                <w:rFonts w:hint="eastAsia"/>
                <w:bCs/>
                <w:color w:val="auto"/>
                <w:kern w:val="21"/>
                <w:sz w:val="24"/>
                <w:lang w:val="en-US" w:eastAsia="zh-CN"/>
              </w:rPr>
              <w:t>33.89</w:t>
            </w:r>
            <w:r>
              <w:rPr>
                <w:bCs/>
                <w:color w:val="auto"/>
                <w:kern w:val="21"/>
                <w:sz w:val="24"/>
              </w:rPr>
              <w:t>t/a、</w:t>
            </w:r>
            <w:r>
              <w:rPr>
                <w:rFonts w:hint="eastAsia"/>
                <w:bCs/>
                <w:color w:val="auto"/>
                <w:kern w:val="21"/>
                <w:sz w:val="24"/>
                <w:lang w:val="en-US" w:eastAsia="zh-CN"/>
              </w:rPr>
              <w:t>4.71</w:t>
            </w:r>
            <w:r>
              <w:rPr>
                <w:color w:val="auto"/>
                <w:kern w:val="21"/>
                <w:sz w:val="24"/>
              </w:rPr>
              <w:t>kg/h；</w:t>
            </w:r>
            <w:r>
              <w:rPr>
                <w:rFonts w:hint="eastAsia"/>
                <w:color w:val="auto"/>
                <w:kern w:val="21"/>
                <w:sz w:val="24"/>
              </w:rPr>
              <w:t>183.37</w:t>
            </w:r>
            <w:r>
              <w:rPr>
                <w:color w:val="auto"/>
                <w:spacing w:val="-11"/>
                <w:kern w:val="21"/>
                <w:sz w:val="24"/>
              </w:rPr>
              <w:t>mg/m</w:t>
            </w:r>
            <w:r>
              <w:rPr>
                <w:color w:val="auto"/>
                <w:spacing w:val="-11"/>
                <w:kern w:val="21"/>
                <w:sz w:val="24"/>
                <w:vertAlign w:val="superscript"/>
              </w:rPr>
              <w:t>3</w:t>
            </w:r>
          </w:p>
          <w:p w14:paraId="6BDE6C23">
            <w:pPr>
              <w:pStyle w:val="22"/>
              <w:spacing w:after="0" w:line="360" w:lineRule="auto"/>
              <w:ind w:firstLine="480" w:firstLineChars="200"/>
              <w:rPr>
                <w:color w:val="auto"/>
                <w:sz w:val="24"/>
              </w:rPr>
            </w:pPr>
            <w:r>
              <w:rPr>
                <w:rFonts w:hint="eastAsia"/>
                <w:color w:val="auto"/>
                <w:sz w:val="24"/>
              </w:rPr>
              <w:t>⑤汞及其化合物</w:t>
            </w:r>
          </w:p>
          <w:p w14:paraId="29A6A2C5">
            <w:pPr>
              <w:pStyle w:val="22"/>
              <w:spacing w:after="0" w:line="360" w:lineRule="auto"/>
              <w:ind w:firstLine="480" w:firstLineChars="200"/>
              <w:rPr>
                <w:color w:val="auto"/>
                <w:sz w:val="24"/>
              </w:rPr>
            </w:pPr>
            <w:r>
              <w:rPr>
                <w:rFonts w:hint="eastAsia"/>
                <w:color w:val="auto"/>
                <w:sz w:val="24"/>
              </w:rPr>
              <w:t>本项目收到基汞的含量未检出，因此不对汞及其化合物进行分析。</w:t>
            </w:r>
          </w:p>
          <w:p w14:paraId="797F8178">
            <w:pPr>
              <w:pStyle w:val="22"/>
              <w:spacing w:after="0" w:line="360" w:lineRule="auto"/>
              <w:ind w:firstLineChars="200"/>
              <w:rPr>
                <w:rFonts w:hint="eastAsia"/>
                <w:bCs/>
                <w:color w:val="0000FF"/>
                <w:kern w:val="21"/>
                <w:sz w:val="24"/>
              </w:rPr>
            </w:pPr>
            <w:r>
              <w:rPr>
                <w:rFonts w:hint="default" w:ascii="Times New Roman" w:hAnsi="Times New Roman" w:eastAsia="宋体" w:cs="Times New Roman"/>
                <w:color w:val="0000FF"/>
                <w:sz w:val="24"/>
                <w:szCs w:val="24"/>
                <w:highlight w:val="none"/>
              </w:rPr>
              <w:t>本项目生物质蒸汽锅炉</w:t>
            </w:r>
            <w:r>
              <w:rPr>
                <w:rFonts w:hint="eastAsia" w:cs="Times New Roman"/>
                <w:color w:val="0000FF"/>
                <w:sz w:val="24"/>
                <w:szCs w:val="24"/>
                <w:highlight w:val="none"/>
                <w:lang w:val="en-US" w:eastAsia="zh-CN"/>
              </w:rPr>
              <w:t>烟气</w:t>
            </w:r>
            <w:r>
              <w:rPr>
                <w:rFonts w:hint="default" w:ascii="Times New Roman" w:hAnsi="Times New Roman" w:eastAsia="宋体" w:cs="Times New Roman"/>
                <w:color w:val="0000FF"/>
                <w:sz w:val="24"/>
                <w:szCs w:val="24"/>
                <w:highlight w:val="none"/>
              </w:rPr>
              <w:t>采用</w:t>
            </w:r>
            <w:r>
              <w:rPr>
                <w:rFonts w:hint="eastAsia" w:ascii="Times New Roman" w:eastAsia="宋体" w:cs="Times New Roman"/>
                <w:color w:val="0000FF"/>
                <w:sz w:val="24"/>
                <w:szCs w:val="24"/>
                <w:highlight w:val="none"/>
                <w:lang w:eastAsia="zh-CN"/>
              </w:rPr>
              <w:t>多管除尘器+布袋除尘器</w:t>
            </w:r>
            <w:r>
              <w:rPr>
                <w:rFonts w:hint="default" w:ascii="Times New Roman" w:hAnsi="Times New Roman" w:eastAsia="宋体" w:cs="Times New Roman"/>
                <w:color w:val="0000FF"/>
                <w:sz w:val="24"/>
                <w:szCs w:val="24"/>
                <w:highlight w:val="none"/>
              </w:rPr>
              <w:t>（除尘效率取99.</w:t>
            </w:r>
            <w:r>
              <w:rPr>
                <w:rFonts w:hint="eastAsia" w:cs="Times New Roman"/>
                <w:color w:val="0000FF"/>
                <w:sz w:val="24"/>
                <w:szCs w:val="24"/>
                <w:highlight w:val="none"/>
                <w:lang w:val="en-US" w:eastAsia="zh-CN"/>
              </w:rPr>
              <w:t>5</w:t>
            </w:r>
            <w:r>
              <w:rPr>
                <w:rFonts w:hint="default" w:ascii="Times New Roman" w:hAnsi="Times New Roman" w:eastAsia="宋体" w:cs="Times New Roman"/>
                <w:color w:val="0000FF"/>
                <w:sz w:val="24"/>
                <w:szCs w:val="24"/>
                <w:highlight w:val="none"/>
              </w:rPr>
              <w:t>%）处理锅炉烟气后的废气经</w:t>
            </w:r>
            <w:r>
              <w:rPr>
                <w:rFonts w:hint="eastAsia" w:cs="Times New Roman"/>
                <w:color w:val="0000FF"/>
                <w:sz w:val="24"/>
                <w:szCs w:val="24"/>
                <w:highlight w:val="none"/>
                <w:lang w:val="en-US" w:eastAsia="zh-CN"/>
              </w:rPr>
              <w:t>40</w:t>
            </w:r>
            <w:r>
              <w:rPr>
                <w:rFonts w:hint="default" w:ascii="Times New Roman" w:hAnsi="Times New Roman" w:eastAsia="宋体" w:cs="Times New Roman"/>
                <w:color w:val="0000FF"/>
                <w:sz w:val="24"/>
                <w:szCs w:val="24"/>
                <w:highlight w:val="none"/>
              </w:rPr>
              <w:t>米高排气筒排放</w:t>
            </w:r>
            <w:r>
              <w:rPr>
                <w:rFonts w:hint="eastAsia" w:cs="Times New Roman"/>
                <w:color w:val="0000FF"/>
                <w:sz w:val="24"/>
                <w:szCs w:val="24"/>
                <w:highlight w:val="none"/>
                <w:lang w:eastAsia="zh-CN"/>
              </w:rPr>
              <w:t>（</w:t>
            </w:r>
            <w:r>
              <w:rPr>
                <w:rFonts w:hint="eastAsia" w:cs="Times New Roman"/>
                <w:color w:val="0000FF"/>
                <w:sz w:val="24"/>
                <w:szCs w:val="24"/>
                <w:highlight w:val="none"/>
                <w:lang w:val="en-US" w:eastAsia="zh-CN"/>
              </w:rPr>
              <w:t>DA001</w:t>
            </w:r>
            <w:r>
              <w:rPr>
                <w:rFonts w:hint="eastAsia" w:cs="Times New Roman"/>
                <w:color w:val="0000FF"/>
                <w:sz w:val="24"/>
                <w:szCs w:val="24"/>
                <w:highlight w:val="none"/>
                <w:lang w:eastAsia="zh-CN"/>
              </w:rPr>
              <w:t>）</w:t>
            </w:r>
            <w:r>
              <w:rPr>
                <w:rFonts w:hint="default" w:ascii="Times New Roman" w:hAnsi="Times New Roman" w:eastAsia="宋体" w:cs="Times New Roman"/>
                <w:color w:val="0000FF"/>
                <w:sz w:val="24"/>
                <w:szCs w:val="24"/>
                <w:highlight w:val="none"/>
              </w:rPr>
              <w:t>，烟尘、SO</w:t>
            </w:r>
            <w:r>
              <w:rPr>
                <w:rFonts w:hint="default" w:ascii="Times New Roman" w:hAnsi="Times New Roman" w:eastAsia="宋体" w:cs="Times New Roman"/>
                <w:color w:val="0000FF"/>
                <w:sz w:val="24"/>
                <w:szCs w:val="24"/>
                <w:highlight w:val="none"/>
                <w:vertAlign w:val="subscript"/>
              </w:rPr>
              <w:t>2</w:t>
            </w:r>
            <w:r>
              <w:rPr>
                <w:rFonts w:hint="default" w:ascii="Times New Roman" w:hAnsi="Times New Roman" w:eastAsia="宋体" w:cs="Times New Roman"/>
                <w:color w:val="0000FF"/>
                <w:sz w:val="24"/>
                <w:szCs w:val="24"/>
                <w:highlight w:val="none"/>
              </w:rPr>
              <w:t>和NOx排放浓度分别为</w:t>
            </w:r>
            <w:r>
              <w:rPr>
                <w:rFonts w:hint="eastAsia" w:cs="Times New Roman"/>
                <w:color w:val="0000FF"/>
                <w:sz w:val="24"/>
                <w:szCs w:val="24"/>
                <w:highlight w:val="none"/>
                <w:lang w:val="en-US" w:eastAsia="zh-CN"/>
              </w:rPr>
              <w:t>16.09</w:t>
            </w:r>
            <w:r>
              <w:rPr>
                <w:rFonts w:hint="default" w:ascii="Times New Roman" w:hAnsi="Times New Roman" w:eastAsia="宋体" w:cs="Times New Roman"/>
                <w:color w:val="0000FF"/>
                <w:sz w:val="24"/>
                <w:szCs w:val="24"/>
                <w:highlight w:val="none"/>
              </w:rPr>
              <w:t>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w:t>
            </w:r>
            <w:r>
              <w:rPr>
                <w:rFonts w:hint="eastAsia" w:cs="Times New Roman"/>
                <w:color w:val="0000FF"/>
                <w:sz w:val="24"/>
                <w:szCs w:val="24"/>
                <w:highlight w:val="none"/>
                <w:lang w:val="en-US" w:eastAsia="zh-CN"/>
              </w:rPr>
              <w:t>42.28</w:t>
            </w:r>
            <w:r>
              <w:rPr>
                <w:rFonts w:hint="default" w:ascii="Times New Roman" w:hAnsi="Times New Roman" w:eastAsia="宋体" w:cs="Times New Roman"/>
                <w:color w:val="0000FF"/>
                <w:sz w:val="24"/>
                <w:szCs w:val="24"/>
                <w:highlight w:val="none"/>
              </w:rPr>
              <w:t>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和</w:t>
            </w:r>
            <w:r>
              <w:rPr>
                <w:rFonts w:hint="eastAsia" w:cs="Times New Roman"/>
                <w:color w:val="0000FF"/>
                <w:sz w:val="24"/>
                <w:szCs w:val="24"/>
                <w:highlight w:val="none"/>
                <w:lang w:val="en-US" w:eastAsia="zh-CN"/>
              </w:rPr>
              <w:t>183.37</w:t>
            </w:r>
            <w:r>
              <w:rPr>
                <w:rFonts w:hint="default" w:ascii="Times New Roman" w:hAnsi="Times New Roman" w:eastAsia="宋体" w:cs="Times New Roman"/>
                <w:color w:val="0000FF"/>
                <w:sz w:val="24"/>
                <w:szCs w:val="24"/>
                <w:highlight w:val="none"/>
              </w:rPr>
              <w:t>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w:t>
            </w:r>
            <w:r>
              <w:rPr>
                <w:rFonts w:hint="eastAsia" w:ascii="Times New Roman" w:eastAsia="宋体" w:cs="Times New Roman"/>
                <w:color w:val="0000FF"/>
                <w:sz w:val="24"/>
                <w:szCs w:val="24"/>
                <w:highlight w:val="none"/>
                <w:lang w:val="en-US" w:eastAsia="zh-CN"/>
              </w:rPr>
              <w:t>烟气黑度小于等于1级</w:t>
            </w:r>
            <w:r>
              <w:rPr>
                <w:rFonts w:hint="default" w:ascii="Times New Roman" w:hAnsi="Times New Roman" w:eastAsia="宋体" w:cs="Times New Roman"/>
                <w:color w:val="0000FF"/>
                <w:sz w:val="24"/>
                <w:szCs w:val="24"/>
                <w:highlight w:val="none"/>
              </w:rPr>
              <w:t>。各污染物排放浓度满足《锅炉大气污染物排放标准》（GB13271-2014）表2新建燃煤锅炉大气污染物排放浓度限值（烟尘50mg/m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、SO</w:t>
            </w:r>
            <w:r>
              <w:rPr>
                <w:rFonts w:hint="default" w:ascii="Times New Roman" w:hAnsi="Times New Roman" w:eastAsia="宋体" w:cs="Times New Roman"/>
                <w:color w:val="0000FF"/>
                <w:sz w:val="24"/>
                <w:szCs w:val="24"/>
                <w:highlight w:val="none"/>
                <w:vertAlign w:val="subscript"/>
              </w:rPr>
              <w:t>2</w:t>
            </w:r>
            <w:r>
              <w:rPr>
                <w:rFonts w:hint="default" w:ascii="Times New Roman" w:hAnsi="Times New Roman" w:eastAsia="宋体" w:cs="Times New Roman"/>
                <w:color w:val="0000FF"/>
                <w:sz w:val="24"/>
                <w:szCs w:val="24"/>
                <w:highlight w:val="none"/>
              </w:rPr>
              <w:t>300mg/m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、NOx300mg/m</w:t>
            </w:r>
            <w:r>
              <w:rPr>
                <w:rFonts w:hint="default" w:ascii="Times New Roman" w:hAnsi="Times New Roman" w:eastAsia="宋体" w:cs="Times New Roman"/>
                <w:color w:val="0000FF"/>
                <w:sz w:val="24"/>
                <w:szCs w:val="24"/>
                <w:highlight w:val="none"/>
                <w:vertAlign w:val="superscript"/>
              </w:rPr>
              <w:t>3</w:t>
            </w:r>
            <w:r>
              <w:rPr>
                <w:rFonts w:hint="default" w:ascii="Times New Roman" w:hAnsi="Times New Roman" w:eastAsia="宋体" w:cs="Times New Roman"/>
                <w:color w:val="0000FF"/>
                <w:sz w:val="24"/>
                <w:szCs w:val="24"/>
                <w:highlight w:val="none"/>
              </w:rPr>
              <w:t>、烟气黑度1级）。</w:t>
            </w:r>
          </w:p>
          <w:p w14:paraId="177AE11B">
            <w:pPr>
              <w:pStyle w:val="22"/>
              <w:spacing w:after="0" w:line="360" w:lineRule="auto"/>
              <w:ind w:firstLineChars="200"/>
              <w:rPr>
                <w:bCs/>
                <w:color w:val="auto"/>
                <w:kern w:val="21"/>
                <w:sz w:val="24"/>
              </w:rPr>
            </w:pPr>
            <w:r>
              <w:rPr>
                <w:rFonts w:hint="eastAsia"/>
                <w:bCs/>
                <w:color w:val="auto"/>
                <w:kern w:val="21"/>
                <w:sz w:val="24"/>
              </w:rPr>
              <w:t>2、筛分粉尘</w:t>
            </w:r>
          </w:p>
          <w:p w14:paraId="77483BA9">
            <w:pPr>
              <w:spacing w:line="360" w:lineRule="auto"/>
              <w:ind w:firstLine="480" w:firstLineChars="200"/>
              <w:rPr>
                <w:rFonts w:hint="eastAsia"/>
                <w:color w:val="auto"/>
                <w:sz w:val="24"/>
              </w:rPr>
            </w:pPr>
            <w:r>
              <w:rPr>
                <w:rFonts w:hint="eastAsia"/>
                <w:color w:val="auto"/>
                <w:sz w:val="24"/>
              </w:rPr>
              <w:t>项目主要原料为米糠、大豆，年用量为150000t，筛分过程在相对密闭设备内进行，根据《散逸性工业粉尘控制技术（中国环境科学出版社）》，筛分过程的产尘系数为0.25kg/t，约为37.5t/a。</w:t>
            </w:r>
            <w:r>
              <w:rPr>
                <w:rFonts w:hint="eastAsia"/>
                <w:color w:val="auto"/>
                <w:sz w:val="24"/>
                <w:lang w:val="en-US" w:eastAsia="zh-CN"/>
              </w:rPr>
              <w:t>筛分粉尘</w:t>
            </w:r>
            <w:r>
              <w:rPr>
                <w:rFonts w:hint="eastAsia"/>
                <w:color w:val="auto"/>
                <w:sz w:val="24"/>
              </w:rPr>
              <w:t>经</w:t>
            </w:r>
            <w:r>
              <w:rPr>
                <w:rFonts w:hint="eastAsia"/>
                <w:color w:val="auto"/>
                <w:sz w:val="24"/>
                <w:lang w:val="en-US" w:eastAsia="zh-CN"/>
              </w:rPr>
              <w:t>布袋除尘器</w:t>
            </w:r>
            <w:r>
              <w:rPr>
                <w:rFonts w:hint="eastAsia"/>
                <w:color w:val="auto"/>
                <w:sz w:val="24"/>
              </w:rPr>
              <w:t>处理后排放，设置15米生产车间排气筒（</w:t>
            </w:r>
            <w:r>
              <w:rPr>
                <w:rFonts w:hint="eastAsia"/>
                <w:color w:val="auto"/>
                <w:sz w:val="24"/>
                <w:lang w:val="en-US" w:eastAsia="zh-CN"/>
              </w:rPr>
              <w:t>DA002</w:t>
            </w:r>
            <w:r>
              <w:rPr>
                <w:rFonts w:hint="eastAsia"/>
                <w:color w:val="auto"/>
                <w:sz w:val="24"/>
              </w:rPr>
              <w:t>）。</w:t>
            </w:r>
            <w:r>
              <w:rPr>
                <w:rFonts w:hint="eastAsia"/>
                <w:color w:val="auto"/>
                <w:sz w:val="24"/>
                <w:lang w:eastAsia="zh-CN"/>
              </w:rPr>
              <w:t>本项目筛分工段为密闭进行</w:t>
            </w:r>
            <w:r>
              <w:rPr>
                <w:rFonts w:hint="eastAsia"/>
                <w:color w:val="auto"/>
                <w:sz w:val="24"/>
              </w:rPr>
              <w:t>，除尘器总除尘效率以</w:t>
            </w:r>
            <w:r>
              <w:rPr>
                <w:rFonts w:hint="eastAsia"/>
                <w:color w:val="auto"/>
                <w:sz w:val="24"/>
                <w:lang w:val="en-US" w:eastAsia="zh-CN"/>
              </w:rPr>
              <w:t>90</w:t>
            </w:r>
            <w:r>
              <w:rPr>
                <w:rFonts w:hint="eastAsia"/>
                <w:color w:val="auto"/>
                <w:sz w:val="24"/>
              </w:rPr>
              <w:t>%计，有组织排放粉尘量为</w:t>
            </w:r>
            <w:r>
              <w:rPr>
                <w:rFonts w:hint="eastAsia"/>
                <w:color w:val="auto"/>
                <w:sz w:val="24"/>
                <w:lang w:val="en-US" w:eastAsia="zh-CN"/>
              </w:rPr>
              <w:t>3.75</w:t>
            </w:r>
            <w:r>
              <w:rPr>
                <w:rFonts w:hint="eastAsia"/>
                <w:color w:val="auto"/>
                <w:sz w:val="24"/>
              </w:rPr>
              <w:t>t/a。筛分设备每天运行24小时，除尘器风量为15000m</w:t>
            </w:r>
            <w:r>
              <w:rPr>
                <w:rFonts w:hint="eastAsia"/>
                <w:color w:val="auto"/>
                <w:sz w:val="24"/>
                <w:vertAlign w:val="superscript"/>
              </w:rPr>
              <w:t>3</w:t>
            </w:r>
            <w:r>
              <w:rPr>
                <w:rFonts w:hint="eastAsia"/>
                <w:color w:val="auto"/>
                <w:sz w:val="24"/>
              </w:rPr>
              <w:t>/h，则筛分工序有组织粉尘排放浓度为</w:t>
            </w:r>
            <w:r>
              <w:rPr>
                <w:rFonts w:hint="eastAsia"/>
                <w:color w:val="auto"/>
                <w:sz w:val="24"/>
                <w:lang w:val="en-US" w:eastAsia="zh-CN"/>
              </w:rPr>
              <w:t>34.72</w:t>
            </w:r>
            <w:r>
              <w:rPr>
                <w:rFonts w:hint="eastAsia"/>
                <w:color w:val="auto"/>
                <w:sz w:val="24"/>
              </w:rPr>
              <w:t>mg/m</w:t>
            </w:r>
            <w:r>
              <w:rPr>
                <w:rFonts w:hint="eastAsia"/>
                <w:color w:val="auto"/>
                <w:sz w:val="24"/>
                <w:vertAlign w:val="superscript"/>
              </w:rPr>
              <w:t>3</w:t>
            </w:r>
            <w:r>
              <w:rPr>
                <w:rFonts w:hint="eastAsia"/>
                <w:color w:val="auto"/>
                <w:sz w:val="24"/>
              </w:rPr>
              <w:t>，有组织排放速率为0.</w:t>
            </w:r>
            <w:r>
              <w:rPr>
                <w:rFonts w:hint="eastAsia"/>
                <w:color w:val="auto"/>
                <w:sz w:val="24"/>
                <w:lang w:val="en-US" w:eastAsia="zh-CN"/>
              </w:rPr>
              <w:t>52</w:t>
            </w:r>
            <w:r>
              <w:rPr>
                <w:rFonts w:hint="eastAsia"/>
                <w:color w:val="auto"/>
                <w:sz w:val="24"/>
              </w:rPr>
              <w:t>kg/h。</w:t>
            </w:r>
          </w:p>
          <w:p w14:paraId="4CDD6C7F">
            <w:pPr>
              <w:spacing w:line="360" w:lineRule="auto"/>
              <w:ind w:firstLine="480" w:firstLineChars="200"/>
              <w:rPr>
                <w:rFonts w:hint="eastAsia" w:eastAsia="宋体"/>
                <w:color w:val="0000FF"/>
                <w:sz w:val="24"/>
                <w:lang w:val="en-US" w:eastAsia="zh-CN"/>
              </w:rPr>
            </w:pPr>
            <w:r>
              <w:rPr>
                <w:rFonts w:hint="eastAsia"/>
                <w:color w:val="0000FF"/>
                <w:sz w:val="24"/>
                <w:lang w:val="en-US" w:eastAsia="zh-CN"/>
              </w:rPr>
              <w:t>本项目筛分过程在密闭设备中进行，筛分粉尘经布袋除尘器处理处理后通过15m高排气筒（DA002）有组织排放，粉尘排放浓度为34.72</w:t>
            </w:r>
            <w:r>
              <w:rPr>
                <w:rFonts w:hint="eastAsia"/>
                <w:color w:val="0000FF"/>
                <w:sz w:val="24"/>
              </w:rPr>
              <w:t>mg/m</w:t>
            </w:r>
            <w:r>
              <w:rPr>
                <w:rFonts w:hint="eastAsia"/>
                <w:color w:val="0000FF"/>
                <w:sz w:val="24"/>
                <w:vertAlign w:val="superscript"/>
              </w:rPr>
              <w:t>3</w:t>
            </w:r>
            <w:r>
              <w:rPr>
                <w:rFonts w:hint="eastAsia"/>
                <w:color w:val="0000FF"/>
                <w:sz w:val="24"/>
                <w:lang w:eastAsia="zh-CN"/>
              </w:rPr>
              <w:t>。</w:t>
            </w:r>
            <w:r>
              <w:rPr>
                <w:rFonts w:hint="default"/>
                <w:color w:val="0000FF"/>
                <w:sz w:val="24"/>
                <w:lang w:val="en-US" w:eastAsia="zh-CN"/>
              </w:rPr>
              <w:t>污染物排放浓度满足《大气污染物综合排放标准》（GB16297-1996）表2中二级标准排放速率要求及浓度限值</w:t>
            </w:r>
            <w:r>
              <w:rPr>
                <w:rFonts w:hint="eastAsia"/>
                <w:color w:val="0000FF"/>
                <w:sz w:val="24"/>
                <w:lang w:val="en-US" w:eastAsia="zh-CN"/>
              </w:rPr>
              <w:t>（颗粒物120</w:t>
            </w:r>
            <w:r>
              <w:rPr>
                <w:rFonts w:hint="eastAsia"/>
                <w:color w:val="0000FF"/>
                <w:sz w:val="24"/>
              </w:rPr>
              <w:t>mg/m</w:t>
            </w:r>
            <w:r>
              <w:rPr>
                <w:rFonts w:hint="eastAsia"/>
                <w:color w:val="0000FF"/>
                <w:sz w:val="24"/>
                <w:vertAlign w:val="superscript"/>
              </w:rPr>
              <w:t>3</w:t>
            </w:r>
            <w:r>
              <w:rPr>
                <w:rFonts w:hint="eastAsia"/>
                <w:color w:val="0000FF"/>
                <w:sz w:val="24"/>
                <w:lang w:val="en-US" w:eastAsia="zh-CN"/>
              </w:rPr>
              <w:t>）。</w:t>
            </w:r>
          </w:p>
          <w:p w14:paraId="2BAE7F60">
            <w:pPr>
              <w:spacing w:line="360" w:lineRule="auto"/>
              <w:ind w:firstLine="480" w:firstLineChars="200"/>
              <w:rPr>
                <w:color w:val="auto"/>
                <w:sz w:val="24"/>
              </w:rPr>
            </w:pPr>
            <w:r>
              <w:rPr>
                <w:rFonts w:hint="eastAsia"/>
                <w:color w:val="auto"/>
                <w:sz w:val="24"/>
              </w:rPr>
              <w:t>3、</w:t>
            </w:r>
            <w:r>
              <w:rPr>
                <w:rFonts w:hint="eastAsia"/>
                <w:color w:val="auto"/>
                <w:sz w:val="24"/>
                <w:lang w:eastAsia="zh-CN"/>
              </w:rPr>
              <w:t>软化</w:t>
            </w:r>
            <w:r>
              <w:rPr>
                <w:rFonts w:hint="eastAsia"/>
                <w:color w:val="auto"/>
                <w:sz w:val="24"/>
              </w:rPr>
              <w:t>粉尘</w:t>
            </w:r>
          </w:p>
          <w:p w14:paraId="32BDD9A1">
            <w:pPr>
              <w:spacing w:line="360" w:lineRule="auto"/>
              <w:ind w:firstLine="480" w:firstLineChars="200"/>
              <w:rPr>
                <w:color w:val="auto"/>
                <w:sz w:val="24"/>
              </w:rPr>
            </w:pPr>
            <w:r>
              <w:rPr>
                <w:rFonts w:hint="eastAsia"/>
                <w:color w:val="auto"/>
                <w:sz w:val="24"/>
              </w:rPr>
              <w:t>项目</w:t>
            </w:r>
            <w:r>
              <w:rPr>
                <w:color w:val="auto"/>
                <w:sz w:val="24"/>
              </w:rPr>
              <w:t>采用风管自动吸入</w:t>
            </w:r>
            <w:r>
              <w:rPr>
                <w:rFonts w:hint="eastAsia"/>
                <w:color w:val="auto"/>
                <w:sz w:val="24"/>
                <w:lang w:eastAsia="zh-CN"/>
              </w:rPr>
              <w:t>软化</w:t>
            </w:r>
            <w:r>
              <w:rPr>
                <w:color w:val="auto"/>
                <w:sz w:val="24"/>
              </w:rPr>
              <w:t>设备，米糠在吸入过程中会产生少量粉尘，由于粉尘随着米糠一并进入</w:t>
            </w:r>
            <w:r>
              <w:rPr>
                <w:rFonts w:hint="eastAsia"/>
                <w:color w:val="auto"/>
                <w:sz w:val="24"/>
                <w:lang w:eastAsia="zh-CN"/>
              </w:rPr>
              <w:t>软化</w:t>
            </w:r>
            <w:r>
              <w:rPr>
                <w:color w:val="auto"/>
                <w:sz w:val="24"/>
              </w:rPr>
              <w:t>设备，在</w:t>
            </w:r>
            <w:r>
              <w:rPr>
                <w:rFonts w:hint="eastAsia"/>
                <w:color w:val="auto"/>
                <w:sz w:val="24"/>
                <w:lang w:eastAsia="zh-CN"/>
              </w:rPr>
              <w:t>软化</w:t>
            </w:r>
            <w:r>
              <w:rPr>
                <w:color w:val="auto"/>
                <w:sz w:val="24"/>
              </w:rPr>
              <w:t>设备中通入蒸汽，项目</w:t>
            </w:r>
            <w:r>
              <w:rPr>
                <w:rFonts w:hint="eastAsia"/>
                <w:color w:val="auto"/>
                <w:sz w:val="24"/>
                <w:lang w:eastAsia="zh-CN"/>
              </w:rPr>
              <w:t>软化</w:t>
            </w:r>
            <w:r>
              <w:rPr>
                <w:color w:val="auto"/>
                <w:sz w:val="24"/>
              </w:rPr>
              <w:t>设备为密闭设备，通过其内部通入水蒸气进行米糠</w:t>
            </w:r>
            <w:r>
              <w:rPr>
                <w:rFonts w:hint="eastAsia"/>
                <w:color w:val="auto"/>
                <w:sz w:val="24"/>
                <w:lang w:eastAsia="zh-CN"/>
              </w:rPr>
              <w:t>软化</w:t>
            </w:r>
            <w:r>
              <w:rPr>
                <w:color w:val="auto"/>
                <w:sz w:val="24"/>
              </w:rPr>
              <w:t>处理，项目持续通入水蒸气，粉尘颗粒与水蒸气接触，均回落米糠表面，此过程粉尘产生量可忽略不计，仅定性分析。</w:t>
            </w:r>
          </w:p>
          <w:p w14:paraId="3EB5172C">
            <w:pPr>
              <w:spacing w:line="360" w:lineRule="auto"/>
              <w:ind w:firstLine="480" w:firstLineChars="200"/>
              <w:rPr>
                <w:color w:val="auto"/>
                <w:sz w:val="24"/>
              </w:rPr>
            </w:pPr>
            <w:r>
              <w:rPr>
                <w:rFonts w:hint="eastAsia"/>
                <w:color w:val="auto"/>
                <w:sz w:val="24"/>
              </w:rPr>
              <w:t>4、</w:t>
            </w:r>
            <w:r>
              <w:rPr>
                <w:rFonts w:hint="eastAsia"/>
                <w:color w:val="auto"/>
                <w:sz w:val="24"/>
                <w:lang w:eastAsia="zh-CN"/>
              </w:rPr>
              <w:t>轧劈</w:t>
            </w:r>
            <w:r>
              <w:rPr>
                <w:rFonts w:hint="eastAsia"/>
                <w:color w:val="auto"/>
                <w:sz w:val="24"/>
              </w:rPr>
              <w:t>粉尘</w:t>
            </w:r>
          </w:p>
          <w:p w14:paraId="11FC1EA1">
            <w:pPr>
              <w:spacing w:line="360" w:lineRule="auto"/>
              <w:ind w:firstLine="480" w:firstLineChars="200"/>
              <w:rPr>
                <w:rFonts w:hint="eastAsia"/>
                <w:color w:val="auto"/>
                <w:sz w:val="24"/>
                <w:lang w:val="en-US" w:eastAsia="zh-CN"/>
              </w:rPr>
            </w:pPr>
            <w:r>
              <w:rPr>
                <w:rFonts w:hint="eastAsia"/>
                <w:color w:val="auto"/>
                <w:sz w:val="24"/>
                <w:lang w:val="en-US" w:eastAsia="zh-CN"/>
              </w:rPr>
              <w:t>大豆经过调质塔软化后原料经过输送设备提升进入轧胚机将豆瓣制成厚度约为0.3mm 的胚片后送入烘干机。大豆经过蒸汽软化后，由于大豆为湿润状态且轧劈过程在同一设备，因此产生粉尘量可忽略不计，仅定性分析。</w:t>
            </w:r>
          </w:p>
          <w:p w14:paraId="229FEBBE">
            <w:pPr>
              <w:spacing w:line="360" w:lineRule="auto"/>
              <w:ind w:firstLine="480" w:firstLineChars="200"/>
              <w:rPr>
                <w:color w:val="auto"/>
                <w:sz w:val="24"/>
              </w:rPr>
            </w:pPr>
            <w:r>
              <w:rPr>
                <w:rFonts w:hint="eastAsia"/>
                <w:color w:val="auto"/>
                <w:sz w:val="24"/>
              </w:rPr>
              <w:t>5、烘干粉尘</w:t>
            </w:r>
          </w:p>
          <w:p w14:paraId="00CA9D31">
            <w:pPr>
              <w:spacing w:line="360" w:lineRule="auto"/>
              <w:ind w:firstLine="480" w:firstLineChars="200"/>
              <w:rPr>
                <w:rFonts w:hint="eastAsia" w:eastAsia="宋体"/>
                <w:color w:val="auto"/>
                <w:sz w:val="24"/>
                <w:lang w:val="en-US" w:eastAsia="zh-CN"/>
              </w:rPr>
            </w:pPr>
            <w:r>
              <w:rPr>
                <w:color w:val="auto"/>
                <w:sz w:val="24"/>
              </w:rPr>
              <w:t>制粒后的米糠</w:t>
            </w:r>
            <w:r>
              <w:rPr>
                <w:rFonts w:hint="eastAsia"/>
                <w:color w:val="auto"/>
                <w:sz w:val="24"/>
              </w:rPr>
              <w:t>和大豆</w:t>
            </w:r>
            <w:r>
              <w:rPr>
                <w:color w:val="auto"/>
                <w:sz w:val="24"/>
              </w:rPr>
              <w:t>需要进行烘干，烘干过程采用锅炉蒸气间接加热，水分自然通风蒸发，根据物料平衡可知烘干的米糠粒</w:t>
            </w:r>
            <w:r>
              <w:rPr>
                <w:rFonts w:hint="eastAsia"/>
                <w:color w:val="auto"/>
                <w:sz w:val="24"/>
              </w:rPr>
              <w:t>和大豆粒</w:t>
            </w:r>
            <w:r>
              <w:rPr>
                <w:color w:val="auto"/>
                <w:sz w:val="24"/>
              </w:rPr>
              <w:t>量为</w:t>
            </w:r>
            <w:r>
              <w:rPr>
                <w:rFonts w:hint="eastAsia"/>
                <w:color w:val="auto"/>
                <w:sz w:val="24"/>
                <w:lang w:val="en-US" w:eastAsia="zh-CN"/>
              </w:rPr>
              <w:t>137759t</w:t>
            </w:r>
            <w:r>
              <w:rPr>
                <w:color w:val="auto"/>
                <w:sz w:val="24"/>
              </w:rPr>
              <w:t>/a，由于烘干过程是米糠粒和大豆粒，根据《散逸性工业粉尘控制技术（中国环境科学出版社）》，</w:t>
            </w:r>
            <w:r>
              <w:rPr>
                <w:rFonts w:hint="eastAsia"/>
                <w:color w:val="auto"/>
                <w:sz w:val="24"/>
              </w:rPr>
              <w:t>烘干</w:t>
            </w:r>
            <w:r>
              <w:rPr>
                <w:color w:val="auto"/>
                <w:sz w:val="24"/>
              </w:rPr>
              <w:t>过程的产尘系数为0.25kg/t，约为</w:t>
            </w:r>
            <w:r>
              <w:rPr>
                <w:rFonts w:hint="eastAsia"/>
                <w:color w:val="auto"/>
                <w:sz w:val="24"/>
                <w:lang w:val="en-US" w:eastAsia="zh-CN"/>
              </w:rPr>
              <w:t>34.44t</w:t>
            </w:r>
            <w:r>
              <w:rPr>
                <w:color w:val="auto"/>
                <w:sz w:val="24"/>
              </w:rPr>
              <w:t>/a，</w:t>
            </w:r>
            <w:r>
              <w:rPr>
                <w:rFonts w:hint="eastAsia"/>
                <w:color w:val="auto"/>
                <w:sz w:val="24"/>
              </w:rPr>
              <w:t>设置集气罩，</w:t>
            </w:r>
            <w:r>
              <w:rPr>
                <w:rFonts w:hint="eastAsia"/>
                <w:color w:val="0000FF"/>
                <w:sz w:val="24"/>
              </w:rPr>
              <w:t>经</w:t>
            </w:r>
            <w:r>
              <w:rPr>
                <w:rFonts w:hint="eastAsia"/>
                <w:color w:val="0000FF"/>
                <w:sz w:val="24"/>
                <w:szCs w:val="24"/>
              </w:rPr>
              <w:t>布袋除尘器</w:t>
            </w:r>
            <w:r>
              <w:rPr>
                <w:rFonts w:hint="eastAsia"/>
                <w:color w:val="0000FF"/>
                <w:sz w:val="24"/>
                <w:lang w:val="en-US" w:eastAsia="zh-CN"/>
              </w:rPr>
              <w:t>处理后通过15m高排气筒（DA003）有组织排放</w:t>
            </w:r>
            <w:r>
              <w:rPr>
                <w:rFonts w:hint="eastAsia"/>
                <w:color w:val="0000FF"/>
                <w:sz w:val="24"/>
                <w:lang w:eastAsia="zh-CN"/>
              </w:rPr>
              <w:t>。</w:t>
            </w:r>
            <w:r>
              <w:rPr>
                <w:rFonts w:hint="eastAsia"/>
                <w:color w:val="auto"/>
                <w:sz w:val="24"/>
                <w:lang w:eastAsia="zh-CN"/>
              </w:rPr>
              <w:t>本项目烘干工段为密闭进行</w:t>
            </w:r>
            <w:r>
              <w:rPr>
                <w:rFonts w:hint="eastAsia"/>
                <w:color w:val="auto"/>
                <w:sz w:val="24"/>
              </w:rPr>
              <w:t>，</w:t>
            </w:r>
            <w:r>
              <w:rPr>
                <w:color w:val="auto"/>
                <w:sz w:val="24"/>
              </w:rPr>
              <w:t>除尘器总除尘效率以</w:t>
            </w:r>
            <w:r>
              <w:rPr>
                <w:rFonts w:hint="eastAsia"/>
                <w:color w:val="auto"/>
                <w:sz w:val="24"/>
                <w:lang w:val="en-US" w:eastAsia="zh-CN"/>
              </w:rPr>
              <w:t>90</w:t>
            </w:r>
            <w:r>
              <w:rPr>
                <w:color w:val="auto"/>
                <w:sz w:val="24"/>
              </w:rPr>
              <w:t>%计，有组织排放粉尘量为</w:t>
            </w:r>
            <w:r>
              <w:rPr>
                <w:rFonts w:hint="eastAsia"/>
                <w:color w:val="auto"/>
                <w:sz w:val="24"/>
                <w:lang w:val="en-US" w:eastAsia="zh-CN"/>
              </w:rPr>
              <w:t>3.444</w:t>
            </w:r>
            <w:r>
              <w:rPr>
                <w:color w:val="auto"/>
                <w:sz w:val="24"/>
              </w:rPr>
              <w:t>t/a。筛分设备每天运行24小时，除尘器风量为</w:t>
            </w:r>
            <w:r>
              <w:rPr>
                <w:rFonts w:hint="eastAsia"/>
                <w:color w:val="auto"/>
                <w:sz w:val="24"/>
              </w:rPr>
              <w:t>1</w:t>
            </w:r>
            <w:r>
              <w:rPr>
                <w:color w:val="auto"/>
                <w:sz w:val="24"/>
              </w:rPr>
              <w:t>5000m</w:t>
            </w:r>
            <w:r>
              <w:rPr>
                <w:color w:val="auto"/>
                <w:sz w:val="24"/>
                <w:vertAlign w:val="superscript"/>
              </w:rPr>
              <w:t>3</w:t>
            </w:r>
            <w:r>
              <w:rPr>
                <w:color w:val="auto"/>
                <w:sz w:val="24"/>
              </w:rPr>
              <w:t>/h，则筛分工序有组织粉尘排放浓度为</w:t>
            </w:r>
            <w:r>
              <w:rPr>
                <w:rFonts w:hint="eastAsia"/>
                <w:color w:val="auto"/>
                <w:sz w:val="24"/>
                <w:lang w:val="en-US" w:eastAsia="zh-CN"/>
              </w:rPr>
              <w:t>31.889</w:t>
            </w:r>
            <w:r>
              <w:rPr>
                <w:color w:val="auto"/>
                <w:sz w:val="24"/>
              </w:rPr>
              <w:t>mg/m</w:t>
            </w:r>
            <w:r>
              <w:rPr>
                <w:color w:val="auto"/>
                <w:sz w:val="24"/>
                <w:vertAlign w:val="superscript"/>
              </w:rPr>
              <w:t>3</w:t>
            </w:r>
            <w:r>
              <w:rPr>
                <w:color w:val="auto"/>
                <w:sz w:val="24"/>
              </w:rPr>
              <w:t>，有组织排放速率为</w:t>
            </w:r>
            <w:r>
              <w:rPr>
                <w:rFonts w:hint="eastAsia"/>
                <w:color w:val="auto"/>
                <w:sz w:val="24"/>
                <w:lang w:val="en-US" w:eastAsia="zh-CN"/>
              </w:rPr>
              <w:t>0.478</w:t>
            </w:r>
            <w:r>
              <w:rPr>
                <w:color w:val="auto"/>
                <w:sz w:val="24"/>
              </w:rPr>
              <w:t>kg/h</w:t>
            </w:r>
            <w:r>
              <w:rPr>
                <w:rFonts w:hint="eastAsia"/>
                <w:color w:val="auto"/>
                <w:sz w:val="24"/>
                <w:lang w:eastAsia="zh-CN"/>
              </w:rPr>
              <w:t>。</w:t>
            </w:r>
          </w:p>
          <w:p w14:paraId="20FCD264">
            <w:pPr>
              <w:spacing w:line="360" w:lineRule="auto"/>
              <w:ind w:firstLine="480" w:firstLineChars="200"/>
              <w:rPr>
                <w:rFonts w:hint="eastAsia" w:eastAsia="宋体"/>
                <w:bCs/>
                <w:color w:val="auto"/>
                <w:kern w:val="21"/>
                <w:sz w:val="24"/>
                <w:lang w:eastAsia="zh-CN"/>
              </w:rPr>
            </w:pPr>
            <w:r>
              <w:rPr>
                <w:rFonts w:hint="eastAsia"/>
                <w:color w:val="0000FF"/>
                <w:sz w:val="24"/>
                <w:lang w:val="en-US" w:eastAsia="zh-CN"/>
              </w:rPr>
              <w:t>本项目烘干过程在密闭设备中进行，烘干粉尘分别经</w:t>
            </w:r>
            <w:r>
              <w:rPr>
                <w:rFonts w:hint="eastAsia"/>
                <w:color w:val="0000FF"/>
                <w:sz w:val="24"/>
              </w:rPr>
              <w:t>集气罩</w:t>
            </w:r>
            <w:r>
              <w:rPr>
                <w:rFonts w:hint="eastAsia"/>
                <w:color w:val="0000FF"/>
                <w:sz w:val="24"/>
                <w:lang w:val="en-US" w:eastAsia="zh-CN"/>
              </w:rPr>
              <w:t>收集，经布袋除尘器处理处理后通过15m高排气筒（DA003）有组织排放，粉尘排放浓度为31.889</w:t>
            </w:r>
            <w:r>
              <w:rPr>
                <w:rFonts w:hint="eastAsia"/>
                <w:color w:val="0000FF"/>
                <w:sz w:val="24"/>
              </w:rPr>
              <w:t>mg/m</w:t>
            </w:r>
            <w:r>
              <w:rPr>
                <w:rFonts w:hint="eastAsia"/>
                <w:color w:val="0000FF"/>
                <w:sz w:val="24"/>
                <w:vertAlign w:val="superscript"/>
              </w:rPr>
              <w:t>3</w:t>
            </w:r>
            <w:r>
              <w:rPr>
                <w:rFonts w:hint="eastAsia"/>
                <w:color w:val="0000FF"/>
                <w:sz w:val="24"/>
                <w:lang w:eastAsia="zh-CN"/>
              </w:rPr>
              <w:t>。</w:t>
            </w:r>
            <w:r>
              <w:rPr>
                <w:rFonts w:hint="default"/>
                <w:color w:val="0000FF"/>
                <w:sz w:val="24"/>
                <w:lang w:val="en-US" w:eastAsia="zh-CN"/>
              </w:rPr>
              <w:t>污染物排放浓度满足《大气污染物综合排放标准》（GB16297-1996）表2中二级标准排放速率要求及浓度限值</w:t>
            </w:r>
            <w:r>
              <w:rPr>
                <w:rFonts w:hint="eastAsia"/>
                <w:color w:val="0000FF"/>
                <w:sz w:val="24"/>
                <w:lang w:val="en-US" w:eastAsia="zh-CN"/>
              </w:rPr>
              <w:t>（颗粒物120</w:t>
            </w:r>
            <w:r>
              <w:rPr>
                <w:rFonts w:hint="eastAsia"/>
                <w:color w:val="0000FF"/>
                <w:sz w:val="24"/>
              </w:rPr>
              <w:t>mg/m</w:t>
            </w:r>
            <w:r>
              <w:rPr>
                <w:rFonts w:hint="eastAsia"/>
                <w:color w:val="0000FF"/>
                <w:sz w:val="24"/>
                <w:vertAlign w:val="superscript"/>
              </w:rPr>
              <w:t>3</w:t>
            </w:r>
            <w:r>
              <w:rPr>
                <w:rFonts w:hint="eastAsia"/>
                <w:color w:val="0000FF"/>
                <w:sz w:val="24"/>
                <w:lang w:val="en-US" w:eastAsia="zh-CN"/>
              </w:rPr>
              <w:t>）</w:t>
            </w:r>
            <w:r>
              <w:rPr>
                <w:rFonts w:hint="eastAsia"/>
                <w:color w:val="0000FF"/>
                <w:sz w:val="24"/>
                <w:lang w:eastAsia="zh-CN"/>
              </w:rPr>
              <w:t>。</w:t>
            </w:r>
          </w:p>
          <w:p w14:paraId="4BEDDE6B">
            <w:pPr>
              <w:pStyle w:val="22"/>
              <w:spacing w:after="0" w:line="360" w:lineRule="auto"/>
              <w:ind w:firstLine="480" w:firstLineChars="200"/>
              <w:rPr>
                <w:bCs/>
                <w:color w:val="auto"/>
                <w:kern w:val="21"/>
                <w:sz w:val="24"/>
              </w:rPr>
            </w:pPr>
            <w:r>
              <w:rPr>
                <w:rFonts w:hint="eastAsia"/>
                <w:bCs/>
                <w:color w:val="auto"/>
                <w:kern w:val="21"/>
                <w:sz w:val="24"/>
              </w:rPr>
              <w:t>6、有机废气</w:t>
            </w:r>
          </w:p>
          <w:p w14:paraId="0D9F5C44">
            <w:pPr>
              <w:spacing w:line="360" w:lineRule="auto"/>
              <w:ind w:firstLine="480" w:firstLineChars="200"/>
              <w:rPr>
                <w:rFonts w:hint="eastAsia"/>
                <w:color w:val="auto"/>
                <w:sz w:val="24"/>
              </w:rPr>
            </w:pPr>
            <w:r>
              <w:rPr>
                <w:rFonts w:hint="eastAsia"/>
                <w:color w:val="auto"/>
                <w:sz w:val="24"/>
              </w:rPr>
              <w:t>本项目浸出工段添加溶剂（</w:t>
            </w:r>
            <w:r>
              <w:rPr>
                <w:rFonts w:hint="eastAsia"/>
                <w:color w:val="auto"/>
                <w:sz w:val="24"/>
                <w:lang w:eastAsia="zh-CN"/>
              </w:rPr>
              <w:t>正己烷</w:t>
            </w:r>
            <w:r>
              <w:rPr>
                <w:rFonts w:hint="eastAsia"/>
                <w:color w:val="auto"/>
                <w:sz w:val="24"/>
              </w:rPr>
              <w:t>）</w:t>
            </w:r>
            <w:r>
              <w:rPr>
                <w:rFonts w:hint="eastAsia"/>
                <w:color w:val="auto"/>
                <w:sz w:val="24"/>
                <w:lang w:eastAsia="zh-CN"/>
              </w:rPr>
              <w:t>和湿粕蒸脱工段</w:t>
            </w:r>
            <w:r>
              <w:rPr>
                <w:rFonts w:hint="eastAsia"/>
                <w:color w:val="auto"/>
                <w:sz w:val="24"/>
              </w:rPr>
              <w:t>，通过密闭管道连接对应设备的冷凝器，将有机废气冷凝成液态通过密闭管道回流到浸出工段，各冷凝器安装集气管线，经冷凝器+石蜡回收塔</w:t>
            </w:r>
            <w:r>
              <w:rPr>
                <w:rFonts w:hint="eastAsia"/>
                <w:color w:val="auto"/>
                <w:sz w:val="24"/>
                <w:lang w:eastAsia="zh-CN"/>
              </w:rPr>
              <w:t>（</w:t>
            </w:r>
            <w:r>
              <w:rPr>
                <w:rFonts w:hint="eastAsia"/>
                <w:color w:val="auto"/>
                <w:sz w:val="24"/>
                <w:lang w:val="en-US" w:eastAsia="zh-CN"/>
              </w:rPr>
              <w:t>效率95%）</w:t>
            </w:r>
            <w:r>
              <w:rPr>
                <w:rFonts w:hint="eastAsia"/>
                <w:color w:val="auto"/>
                <w:sz w:val="24"/>
              </w:rPr>
              <w:t>处理后废气统一由</w:t>
            </w:r>
            <w:r>
              <w:rPr>
                <w:rFonts w:hint="eastAsia"/>
                <w:color w:val="auto"/>
                <w:sz w:val="24"/>
                <w:lang w:val="en-US" w:eastAsia="zh-CN"/>
              </w:rPr>
              <w:t>20</w:t>
            </w:r>
            <w:r>
              <w:rPr>
                <w:rFonts w:hint="eastAsia"/>
                <w:color w:val="auto"/>
                <w:sz w:val="24"/>
              </w:rPr>
              <w:t>m高排气筒（</w:t>
            </w:r>
            <w:r>
              <w:rPr>
                <w:rFonts w:hint="eastAsia"/>
                <w:color w:val="auto"/>
                <w:sz w:val="24"/>
                <w:lang w:val="en-US" w:eastAsia="zh-CN"/>
              </w:rPr>
              <w:t>DA00</w:t>
            </w:r>
            <w:r>
              <w:rPr>
                <w:rFonts w:hint="eastAsia"/>
                <w:color w:val="auto"/>
                <w:sz w:val="24"/>
              </w:rPr>
              <w:t>3）排放，年使用溶180t，项目溶剂回收工序有机废气由冷凝器+石蜡回收塔处理后有组织排放</w:t>
            </w:r>
            <w:r>
              <w:rPr>
                <w:rFonts w:hint="eastAsia"/>
                <w:color w:val="auto"/>
                <w:sz w:val="24"/>
                <w:lang w:eastAsia="zh-CN"/>
              </w:rPr>
              <w:t>（混合油中的正己烷经蒸发后变成气体，进入冷凝器冷凝后形成正己烷液体回用，部分未冷凝的尾气进入石蜡吸收塔，去除部分经石蜡交换后正己烷溶液回用）</w:t>
            </w:r>
            <w:r>
              <w:rPr>
                <w:rFonts w:hint="eastAsia"/>
                <w:color w:val="auto"/>
                <w:sz w:val="24"/>
              </w:rPr>
              <w:t>，则溶剂有组织逸散量为9t/a。分设备每天运行24小时，排气筒风量为</w:t>
            </w:r>
            <w:r>
              <w:rPr>
                <w:rFonts w:hint="eastAsia"/>
                <w:color w:val="auto"/>
                <w:sz w:val="24"/>
                <w:lang w:val="en-US" w:eastAsia="zh-CN"/>
              </w:rPr>
              <w:t>20</w:t>
            </w:r>
            <w:r>
              <w:rPr>
                <w:rFonts w:hint="eastAsia"/>
                <w:color w:val="auto"/>
                <w:sz w:val="24"/>
              </w:rPr>
              <w:t>000m</w:t>
            </w:r>
            <w:r>
              <w:rPr>
                <w:rFonts w:hint="eastAsia"/>
                <w:color w:val="auto"/>
                <w:sz w:val="24"/>
                <w:vertAlign w:val="superscript"/>
              </w:rPr>
              <w:t>3</w:t>
            </w:r>
            <w:r>
              <w:rPr>
                <w:rFonts w:hint="eastAsia"/>
                <w:color w:val="auto"/>
                <w:sz w:val="24"/>
              </w:rPr>
              <w:t>/h，VOCs排放浓度为</w:t>
            </w:r>
            <w:r>
              <w:rPr>
                <w:rFonts w:hint="eastAsia"/>
                <w:color w:val="auto"/>
                <w:sz w:val="24"/>
                <w:lang w:val="en-US" w:eastAsia="zh-CN"/>
              </w:rPr>
              <w:t>62.50</w:t>
            </w:r>
            <w:r>
              <w:rPr>
                <w:rFonts w:hint="eastAsia"/>
                <w:color w:val="auto"/>
                <w:sz w:val="24"/>
              </w:rPr>
              <w:t>mg/m</w:t>
            </w:r>
            <w:r>
              <w:rPr>
                <w:rFonts w:hint="eastAsia"/>
                <w:color w:val="auto"/>
                <w:sz w:val="24"/>
                <w:vertAlign w:val="superscript"/>
              </w:rPr>
              <w:t>3</w:t>
            </w:r>
            <w:r>
              <w:rPr>
                <w:rFonts w:hint="eastAsia"/>
                <w:color w:val="auto"/>
                <w:sz w:val="24"/>
              </w:rPr>
              <w:t>。</w:t>
            </w:r>
          </w:p>
          <w:p w14:paraId="72BB4EF0">
            <w:pPr>
              <w:spacing w:line="360" w:lineRule="auto"/>
              <w:ind w:firstLine="480" w:firstLineChars="200"/>
              <w:rPr>
                <w:rFonts w:hint="eastAsia"/>
                <w:color w:val="0000FF"/>
                <w:sz w:val="24"/>
              </w:rPr>
            </w:pPr>
            <w:r>
              <w:rPr>
                <w:rFonts w:hint="eastAsia"/>
                <w:color w:val="0000FF"/>
                <w:sz w:val="24"/>
                <w:lang w:val="en-US" w:eastAsia="zh-CN"/>
              </w:rPr>
              <w:t>本项目浸出工段和湿粕蒸脱工段在密闭设备中进行，有机废气分别经</w:t>
            </w:r>
            <w:r>
              <w:rPr>
                <w:rFonts w:hint="eastAsia"/>
                <w:color w:val="0000FF"/>
                <w:sz w:val="24"/>
              </w:rPr>
              <w:t>冷凝器+石蜡回收塔</w:t>
            </w:r>
            <w:r>
              <w:rPr>
                <w:rFonts w:hint="eastAsia"/>
                <w:color w:val="0000FF"/>
                <w:sz w:val="24"/>
                <w:lang w:eastAsia="zh-CN"/>
              </w:rPr>
              <w:t>（</w:t>
            </w:r>
            <w:r>
              <w:rPr>
                <w:rFonts w:hint="eastAsia"/>
                <w:color w:val="0000FF"/>
                <w:sz w:val="24"/>
                <w:lang w:val="en-US" w:eastAsia="zh-CN"/>
              </w:rPr>
              <w:t>效率95%）</w:t>
            </w:r>
            <w:r>
              <w:rPr>
                <w:rFonts w:hint="eastAsia"/>
                <w:color w:val="0000FF"/>
                <w:sz w:val="24"/>
              </w:rPr>
              <w:t>处理后废气统一由</w:t>
            </w:r>
            <w:r>
              <w:rPr>
                <w:rFonts w:hint="eastAsia"/>
                <w:color w:val="0000FF"/>
                <w:sz w:val="24"/>
                <w:lang w:val="en-US" w:eastAsia="zh-CN"/>
              </w:rPr>
              <w:t>20</w:t>
            </w:r>
            <w:r>
              <w:rPr>
                <w:rFonts w:hint="eastAsia"/>
                <w:color w:val="0000FF"/>
                <w:sz w:val="24"/>
              </w:rPr>
              <w:t>m高排气筒（</w:t>
            </w:r>
            <w:r>
              <w:rPr>
                <w:rFonts w:hint="eastAsia"/>
                <w:color w:val="0000FF"/>
                <w:sz w:val="24"/>
                <w:lang w:val="en-US" w:eastAsia="zh-CN"/>
              </w:rPr>
              <w:t>DA004</w:t>
            </w:r>
            <w:r>
              <w:rPr>
                <w:rFonts w:hint="eastAsia"/>
                <w:color w:val="0000FF"/>
                <w:sz w:val="24"/>
              </w:rPr>
              <w:t>）排放</w:t>
            </w:r>
            <w:r>
              <w:rPr>
                <w:rFonts w:hint="eastAsia"/>
                <w:color w:val="0000FF"/>
                <w:sz w:val="24"/>
                <w:lang w:eastAsia="zh-CN"/>
              </w:rPr>
              <w:t>，</w:t>
            </w:r>
            <w:r>
              <w:rPr>
                <w:rFonts w:hint="default"/>
                <w:color w:val="0000FF"/>
                <w:sz w:val="24"/>
                <w:lang w:val="en-US" w:eastAsia="zh-CN"/>
              </w:rPr>
              <w:t>污染物排放浓度《大气污染物综合排放标准》（GB16297-1996）二级标准</w:t>
            </w:r>
            <w:r>
              <w:rPr>
                <w:rFonts w:hint="eastAsia"/>
                <w:color w:val="0000FF"/>
                <w:sz w:val="24"/>
                <w:lang w:val="en-US" w:eastAsia="zh-CN"/>
              </w:rPr>
              <w:t>限制（非甲烷总烃120</w:t>
            </w:r>
            <w:r>
              <w:rPr>
                <w:rFonts w:hint="eastAsia"/>
                <w:color w:val="0000FF"/>
                <w:sz w:val="24"/>
              </w:rPr>
              <w:t>mg/m</w:t>
            </w:r>
            <w:r>
              <w:rPr>
                <w:rFonts w:hint="eastAsia"/>
                <w:color w:val="0000FF"/>
                <w:sz w:val="24"/>
                <w:vertAlign w:val="superscript"/>
              </w:rPr>
              <w:t>3</w:t>
            </w:r>
            <w:r>
              <w:rPr>
                <w:rFonts w:hint="eastAsia"/>
                <w:color w:val="0000FF"/>
                <w:sz w:val="24"/>
                <w:lang w:val="en-US" w:eastAsia="zh-CN"/>
              </w:rPr>
              <w:t>），厂区内厂房外非甲烷总烃可以满足《挥发性有机物无组织排放控制标准》（GB·37822-2019)要求</w:t>
            </w:r>
            <w:r>
              <w:rPr>
                <w:rFonts w:hint="eastAsia"/>
                <w:color w:val="0000FF"/>
                <w:sz w:val="24"/>
                <w:lang w:eastAsia="zh-CN"/>
              </w:rPr>
              <w:t>。</w:t>
            </w:r>
          </w:p>
          <w:p w14:paraId="24A46895">
            <w:pPr>
              <w:spacing w:line="360" w:lineRule="auto"/>
              <w:ind w:firstLine="480" w:firstLineChars="200"/>
              <w:rPr>
                <w:color w:val="auto"/>
                <w:sz w:val="24"/>
              </w:rPr>
            </w:pPr>
            <w:r>
              <w:rPr>
                <w:rFonts w:hint="eastAsia"/>
                <w:color w:val="auto"/>
                <w:sz w:val="24"/>
              </w:rPr>
              <w:t>7、储罐呼吸</w:t>
            </w:r>
          </w:p>
          <w:p w14:paraId="78230741">
            <w:pPr>
              <w:spacing w:line="360" w:lineRule="auto"/>
              <w:ind w:firstLine="480" w:firstLineChars="200"/>
              <w:rPr>
                <w:color w:val="auto"/>
                <w:sz w:val="24"/>
              </w:rPr>
            </w:pPr>
            <w:r>
              <w:rPr>
                <w:rFonts w:hint="eastAsia"/>
                <w:color w:val="auto"/>
                <w:sz w:val="24"/>
              </w:rPr>
              <w:t>本项目设有溶剂油库，溶剂油</w:t>
            </w:r>
            <w:r>
              <w:rPr>
                <w:rFonts w:hint="eastAsia"/>
                <w:color w:val="auto"/>
                <w:sz w:val="24"/>
                <w:lang w:eastAsia="zh-CN"/>
              </w:rPr>
              <w:t>成分为</w:t>
            </w:r>
            <w:r>
              <w:rPr>
                <w:rFonts w:hint="eastAsia"/>
                <w:color w:val="auto"/>
                <w:sz w:val="24"/>
              </w:rPr>
              <w:t>正己烷。油库储罐小呼吸损失：油库罐在没有收发油作业的情况下，随着外界气温、压力在一天内的升降周期变化，罐内气体空间温度、油品蒸发速度、油气浓度和蒸汽压力也随之变化。这种排出蒸气和吸入空气过程造成的油气损失，叫小呼吸损失。拟建项目溶剂油储罐为</w:t>
            </w:r>
            <w:r>
              <w:rPr>
                <w:rFonts w:hint="eastAsia"/>
                <w:color w:val="auto"/>
                <w:sz w:val="24"/>
                <w:highlight w:val="none"/>
                <w:lang w:val="en-US" w:eastAsia="zh-CN"/>
              </w:rPr>
              <w:t>2</w:t>
            </w:r>
            <w:r>
              <w:rPr>
                <w:rFonts w:hint="eastAsia"/>
                <w:color w:val="auto"/>
                <w:sz w:val="24"/>
                <w:highlight w:val="none"/>
              </w:rPr>
              <w:t>个</w:t>
            </w:r>
            <w:r>
              <w:rPr>
                <w:rFonts w:hint="eastAsia"/>
                <w:color w:val="auto"/>
                <w:sz w:val="24"/>
                <w:highlight w:val="none"/>
                <w:lang w:val="en-US" w:eastAsia="zh-CN"/>
              </w:rPr>
              <w:t>50m</w:t>
            </w:r>
            <w:r>
              <w:rPr>
                <w:rFonts w:hint="eastAsia"/>
                <w:color w:val="auto"/>
                <w:sz w:val="24"/>
                <w:highlight w:val="none"/>
                <w:vertAlign w:val="superscript"/>
                <w:lang w:val="en-US" w:eastAsia="zh-CN"/>
              </w:rPr>
              <w:t>3</w:t>
            </w:r>
            <w:r>
              <w:rPr>
                <w:rFonts w:hint="eastAsia"/>
                <w:color w:val="auto"/>
                <w:sz w:val="24"/>
              </w:rPr>
              <w:t>的储罐，浮顶罐小呼吸损耗量按美国石油学会推荐的公式进行计算，公式如下：</w:t>
            </w:r>
          </w:p>
          <w:p w14:paraId="767C5102">
            <w:pPr>
              <w:spacing w:line="500" w:lineRule="exact"/>
              <w:ind w:firstLine="480" w:firstLineChars="200"/>
              <w:rPr>
                <w:color w:val="auto"/>
                <w:sz w:val="24"/>
              </w:rPr>
            </w:pPr>
            <w:r>
              <w:rPr>
                <w:rFonts w:hint="eastAsia"/>
                <w:color w:val="auto"/>
                <w:sz w:val="24"/>
              </w:rPr>
              <w:t>①“小呼吸”过程</w:t>
            </w:r>
            <w:r>
              <w:rPr>
                <w:color w:val="auto"/>
                <w:sz w:val="24"/>
              </w:rPr>
              <w:t>排放</w:t>
            </w:r>
          </w:p>
          <w:p w14:paraId="79BB95B7">
            <w:pPr>
              <w:autoSpaceDE w:val="0"/>
              <w:autoSpaceDN w:val="0"/>
              <w:adjustRightInd w:val="0"/>
              <w:spacing w:line="500" w:lineRule="exact"/>
              <w:ind w:firstLine="480" w:firstLineChars="200"/>
              <w:rPr>
                <w:color w:val="auto"/>
                <w:kern w:val="0"/>
                <w:sz w:val="24"/>
              </w:rPr>
            </w:pPr>
            <w:r>
              <w:rPr>
                <w:rFonts w:hint="eastAsia"/>
                <w:color w:val="auto"/>
                <w:kern w:val="0"/>
                <w:sz w:val="24"/>
              </w:rPr>
              <w:t>根据</w:t>
            </w:r>
            <w:r>
              <w:rPr>
                <w:color w:val="auto"/>
                <w:kern w:val="0"/>
                <w:sz w:val="24"/>
              </w:rPr>
              <w:t>中国石油化工系统经验公式，储存损耗可按下式计算：</w:t>
            </w:r>
          </w:p>
          <w:p w14:paraId="28503C16">
            <w:pPr>
              <w:autoSpaceDE w:val="0"/>
              <w:autoSpaceDN w:val="0"/>
              <w:adjustRightInd w:val="0"/>
              <w:spacing w:line="360" w:lineRule="auto"/>
              <w:ind w:firstLine="420" w:firstLineChars="200"/>
              <w:rPr>
                <w:color w:val="auto"/>
                <w:kern w:val="0"/>
                <w:sz w:val="24"/>
              </w:rPr>
            </w:pPr>
            <w:r>
              <w:rPr>
                <w:color w:val="auto"/>
                <w:position w:val="-28"/>
              </w:rPr>
              <w:object>
                <v:shape id="_x0000_i1029" o:spt="75" type="#_x0000_t75" style="height:37.35pt;width:328pt;" o:ole="t" filled="f" o:preferrelative="t" stroked="f" coordsize="21600,21600">
                  <v:path/>
                  <v:fill on="f" focussize="0,0"/>
                  <v:stroke on="f" joinstyle="miter"/>
                  <v:imagedata r:id="rId28" o:title=""/>
                  <o:lock v:ext="edit" aspectratio="t"/>
                  <w10:wrap type="none"/>
                  <w10:anchorlock/>
                </v:shape>
                <o:OLEObject Type="Embed" ProgID="Equation.DSMT4" ShapeID="_x0000_i1029" DrawAspect="Content" ObjectID="_1468075729" r:id="rId27">
                  <o:LockedField>false</o:LockedField>
                </o:OLEObject>
              </w:object>
            </w:r>
          </w:p>
          <w:p w14:paraId="2A8B6F74">
            <w:pPr>
              <w:autoSpaceDE w:val="0"/>
              <w:autoSpaceDN w:val="0"/>
              <w:adjustRightInd w:val="0"/>
              <w:spacing w:line="500" w:lineRule="exact"/>
              <w:ind w:firstLine="480" w:firstLineChars="200"/>
              <w:rPr>
                <w:color w:val="auto"/>
                <w:kern w:val="0"/>
                <w:sz w:val="24"/>
              </w:rPr>
            </w:pPr>
            <w:r>
              <w:rPr>
                <w:rFonts w:hint="eastAsia"/>
                <w:color w:val="auto"/>
                <w:kern w:val="0"/>
                <w:sz w:val="24"/>
              </w:rPr>
              <w:t>式中</w:t>
            </w:r>
            <w:r>
              <w:rPr>
                <w:color w:val="auto"/>
                <w:kern w:val="0"/>
                <w:sz w:val="24"/>
              </w:rPr>
              <w:t>：</w:t>
            </w:r>
            <w:r>
              <w:rPr>
                <w:rFonts w:hint="eastAsia"/>
                <w:color w:val="auto"/>
                <w:kern w:val="0"/>
                <w:sz w:val="24"/>
              </w:rPr>
              <w:t>L</w:t>
            </w:r>
            <w:r>
              <w:rPr>
                <w:rFonts w:hint="eastAsia"/>
                <w:color w:val="auto"/>
                <w:kern w:val="0"/>
                <w:sz w:val="24"/>
                <w:vertAlign w:val="subscript"/>
              </w:rPr>
              <w:t>B</w:t>
            </w:r>
            <w:r>
              <w:rPr>
                <w:color w:val="auto"/>
                <w:kern w:val="0"/>
                <w:sz w:val="24"/>
              </w:rPr>
              <w:t>—</w:t>
            </w:r>
            <w:r>
              <w:rPr>
                <w:rFonts w:hint="eastAsia"/>
                <w:color w:val="auto"/>
                <w:kern w:val="0"/>
                <w:sz w:val="24"/>
              </w:rPr>
              <w:t>储罐</w:t>
            </w:r>
            <w:r>
              <w:rPr>
                <w:color w:val="auto"/>
                <w:kern w:val="0"/>
                <w:sz w:val="24"/>
              </w:rPr>
              <w:t>的年挥发量，kg/a；</w:t>
            </w:r>
          </w:p>
          <w:p w14:paraId="2F095F22">
            <w:pPr>
              <w:autoSpaceDE w:val="0"/>
              <w:autoSpaceDN w:val="0"/>
              <w:adjustRightInd w:val="0"/>
              <w:spacing w:line="500" w:lineRule="exact"/>
              <w:ind w:firstLine="480" w:firstLineChars="200"/>
              <w:rPr>
                <w:color w:val="auto"/>
                <w:kern w:val="0"/>
                <w:sz w:val="24"/>
              </w:rPr>
            </w:pPr>
            <w:r>
              <w:rPr>
                <w:color w:val="auto"/>
                <w:kern w:val="0"/>
                <w:sz w:val="24"/>
              </w:rPr>
              <w:t xml:space="preserve">      M—</w:t>
            </w:r>
            <w:r>
              <w:rPr>
                <w:rFonts w:hint="eastAsia"/>
                <w:color w:val="auto"/>
                <w:kern w:val="0"/>
                <w:sz w:val="24"/>
              </w:rPr>
              <w:t>储罐内</w:t>
            </w:r>
            <w:r>
              <w:rPr>
                <w:color w:val="auto"/>
                <w:kern w:val="0"/>
                <w:sz w:val="24"/>
              </w:rPr>
              <w:t>蒸汽的分子量</w:t>
            </w:r>
            <w:r>
              <w:rPr>
                <w:rFonts w:hint="eastAsia"/>
                <w:color w:val="auto"/>
                <w:kern w:val="0"/>
                <w:sz w:val="24"/>
              </w:rPr>
              <w:t>；</w:t>
            </w:r>
          </w:p>
          <w:p w14:paraId="20DD6E9E">
            <w:pPr>
              <w:autoSpaceDE w:val="0"/>
              <w:autoSpaceDN w:val="0"/>
              <w:adjustRightInd w:val="0"/>
              <w:spacing w:line="500" w:lineRule="exact"/>
              <w:ind w:firstLine="480" w:firstLineChars="200"/>
              <w:rPr>
                <w:color w:val="auto"/>
                <w:kern w:val="0"/>
                <w:sz w:val="24"/>
              </w:rPr>
            </w:pPr>
            <w:r>
              <w:rPr>
                <w:color w:val="auto"/>
                <w:kern w:val="0"/>
                <w:sz w:val="24"/>
              </w:rPr>
              <w:t xml:space="preserve">      P—</w:t>
            </w:r>
            <w:r>
              <w:rPr>
                <w:rFonts w:hint="eastAsia"/>
                <w:color w:val="auto"/>
                <w:kern w:val="0"/>
                <w:sz w:val="24"/>
              </w:rPr>
              <w:t>大量</w:t>
            </w:r>
            <w:r>
              <w:rPr>
                <w:color w:val="auto"/>
                <w:kern w:val="0"/>
                <w:sz w:val="24"/>
              </w:rPr>
              <w:t>液体状态下，</w:t>
            </w:r>
            <w:r>
              <w:rPr>
                <w:rFonts w:hint="eastAsia"/>
                <w:color w:val="auto"/>
                <w:kern w:val="0"/>
                <w:sz w:val="24"/>
              </w:rPr>
              <w:t>真实</w:t>
            </w:r>
            <w:r>
              <w:rPr>
                <w:color w:val="auto"/>
                <w:kern w:val="0"/>
                <w:sz w:val="24"/>
              </w:rPr>
              <w:t>的蒸汽压力，kPa；</w:t>
            </w:r>
          </w:p>
          <w:p w14:paraId="45BCDBD9">
            <w:pPr>
              <w:autoSpaceDE w:val="0"/>
              <w:autoSpaceDN w:val="0"/>
              <w:adjustRightInd w:val="0"/>
              <w:spacing w:line="500" w:lineRule="exact"/>
              <w:ind w:firstLine="480" w:firstLineChars="200"/>
              <w:rPr>
                <w:color w:val="auto"/>
                <w:kern w:val="0"/>
                <w:sz w:val="24"/>
              </w:rPr>
            </w:pPr>
            <w:r>
              <w:rPr>
                <w:color w:val="auto"/>
                <w:kern w:val="0"/>
                <w:sz w:val="24"/>
              </w:rPr>
              <w:t xml:space="preserve">      D—</w:t>
            </w:r>
            <w:r>
              <w:rPr>
                <w:rFonts w:hint="eastAsia"/>
                <w:color w:val="auto"/>
                <w:kern w:val="0"/>
                <w:sz w:val="24"/>
              </w:rPr>
              <w:t>储罐</w:t>
            </w:r>
            <w:r>
              <w:rPr>
                <w:color w:val="auto"/>
                <w:kern w:val="0"/>
                <w:sz w:val="24"/>
              </w:rPr>
              <w:t>直径，</w:t>
            </w:r>
            <w:r>
              <w:rPr>
                <w:rFonts w:hint="eastAsia"/>
                <w:color w:val="auto"/>
                <w:kern w:val="0"/>
                <w:sz w:val="24"/>
              </w:rPr>
              <w:t>m；</w:t>
            </w:r>
          </w:p>
          <w:p w14:paraId="75058EFC">
            <w:pPr>
              <w:autoSpaceDE w:val="0"/>
              <w:autoSpaceDN w:val="0"/>
              <w:adjustRightInd w:val="0"/>
              <w:spacing w:line="500" w:lineRule="exact"/>
              <w:ind w:firstLine="480" w:firstLineChars="200"/>
              <w:rPr>
                <w:color w:val="auto"/>
                <w:kern w:val="0"/>
                <w:sz w:val="24"/>
              </w:rPr>
            </w:pPr>
            <w:r>
              <w:rPr>
                <w:rFonts w:hint="eastAsia"/>
                <w:color w:val="auto"/>
                <w:kern w:val="0"/>
                <w:sz w:val="24"/>
              </w:rPr>
              <w:t xml:space="preserve">      H—平均</w:t>
            </w:r>
            <w:r>
              <w:rPr>
                <w:color w:val="auto"/>
                <w:kern w:val="0"/>
                <w:sz w:val="24"/>
              </w:rPr>
              <w:t>蒸汽空间高度</w:t>
            </w:r>
            <w:r>
              <w:rPr>
                <w:rFonts w:hint="eastAsia"/>
                <w:color w:val="auto"/>
                <w:kern w:val="0"/>
                <w:sz w:val="24"/>
              </w:rPr>
              <w:t>（或</w:t>
            </w:r>
            <w:r>
              <w:rPr>
                <w:color w:val="auto"/>
                <w:kern w:val="0"/>
                <w:sz w:val="24"/>
              </w:rPr>
              <w:t>罐高度</w:t>
            </w:r>
            <w:r>
              <w:rPr>
                <w:rFonts w:hint="eastAsia"/>
                <w:color w:val="auto"/>
                <w:kern w:val="0"/>
                <w:sz w:val="24"/>
              </w:rPr>
              <w:t>），</w:t>
            </w:r>
            <w:r>
              <w:rPr>
                <w:color w:val="auto"/>
                <w:kern w:val="0"/>
                <w:sz w:val="24"/>
              </w:rPr>
              <w:t>m</w:t>
            </w:r>
            <w:r>
              <w:rPr>
                <w:rFonts w:hint="eastAsia"/>
                <w:color w:val="auto"/>
                <w:kern w:val="0"/>
                <w:sz w:val="24"/>
              </w:rPr>
              <w:t>；</w:t>
            </w:r>
          </w:p>
          <w:p w14:paraId="0D51597E">
            <w:pPr>
              <w:autoSpaceDE w:val="0"/>
              <w:autoSpaceDN w:val="0"/>
              <w:adjustRightInd w:val="0"/>
              <w:spacing w:line="500" w:lineRule="exact"/>
              <w:ind w:firstLine="480" w:firstLineChars="200"/>
              <w:rPr>
                <w:color w:val="auto"/>
                <w:kern w:val="0"/>
                <w:sz w:val="24"/>
              </w:rPr>
            </w:pPr>
            <w:r>
              <w:rPr>
                <w:color w:val="auto"/>
                <w:kern w:val="0"/>
                <w:sz w:val="24"/>
              </w:rPr>
              <w:t xml:space="preserve">      </w:t>
            </w:r>
            <w:r>
              <w:rPr>
                <w:rFonts w:hint="eastAsia"/>
                <w:color w:val="auto"/>
                <w:kern w:val="0"/>
                <w:sz w:val="24"/>
              </w:rPr>
              <w:t>△</w:t>
            </w:r>
            <w:r>
              <w:rPr>
                <w:color w:val="auto"/>
                <w:kern w:val="0"/>
                <w:sz w:val="24"/>
              </w:rPr>
              <w:t>T—</w:t>
            </w:r>
            <w:r>
              <w:rPr>
                <w:rFonts w:hint="eastAsia"/>
                <w:color w:val="auto"/>
                <w:kern w:val="0"/>
                <w:sz w:val="24"/>
              </w:rPr>
              <w:t>每天</w:t>
            </w:r>
            <w:r>
              <w:rPr>
                <w:color w:val="auto"/>
                <w:kern w:val="0"/>
                <w:sz w:val="24"/>
              </w:rPr>
              <w:t>大气温度变化的</w:t>
            </w:r>
            <w:r>
              <w:rPr>
                <w:rFonts w:hint="eastAsia"/>
                <w:color w:val="auto"/>
                <w:kern w:val="0"/>
                <w:sz w:val="24"/>
              </w:rPr>
              <w:t>年平均</w:t>
            </w:r>
            <w:r>
              <w:rPr>
                <w:color w:val="auto"/>
                <w:kern w:val="0"/>
                <w:sz w:val="24"/>
              </w:rPr>
              <w:t>值</w:t>
            </w:r>
            <w:r>
              <w:rPr>
                <w:rFonts w:hint="eastAsia"/>
                <w:color w:val="auto"/>
                <w:kern w:val="0"/>
                <w:sz w:val="24"/>
              </w:rPr>
              <w:t>，</w:t>
            </w:r>
            <w:r>
              <w:rPr>
                <w:color w:val="auto"/>
                <w:kern w:val="0"/>
                <w:sz w:val="24"/>
              </w:rPr>
              <w:t>年平均昼夜温差为</w:t>
            </w:r>
            <w:r>
              <w:rPr>
                <w:rFonts w:hint="eastAsia"/>
                <w:color w:val="auto"/>
                <w:kern w:val="0"/>
                <w:sz w:val="24"/>
              </w:rPr>
              <w:t>12℃；</w:t>
            </w:r>
          </w:p>
          <w:p w14:paraId="00FB701C">
            <w:pPr>
              <w:autoSpaceDE w:val="0"/>
              <w:autoSpaceDN w:val="0"/>
              <w:adjustRightInd w:val="0"/>
              <w:spacing w:line="500" w:lineRule="exact"/>
              <w:ind w:firstLine="480" w:firstLineChars="200"/>
              <w:rPr>
                <w:color w:val="auto"/>
                <w:kern w:val="0"/>
                <w:sz w:val="24"/>
              </w:rPr>
            </w:pPr>
            <w:r>
              <w:rPr>
                <w:color w:val="auto"/>
                <w:kern w:val="0"/>
                <w:sz w:val="24"/>
              </w:rPr>
              <w:t xml:space="preserve">      F</w:t>
            </w:r>
            <w:r>
              <w:rPr>
                <w:color w:val="auto"/>
                <w:kern w:val="0"/>
                <w:sz w:val="24"/>
                <w:vertAlign w:val="subscript"/>
              </w:rPr>
              <w:t>P</w:t>
            </w:r>
            <w:r>
              <w:rPr>
                <w:color w:val="auto"/>
                <w:kern w:val="0"/>
                <w:sz w:val="24"/>
              </w:rPr>
              <w:t>—</w:t>
            </w:r>
            <w:r>
              <w:rPr>
                <w:rFonts w:hint="eastAsia"/>
                <w:color w:val="auto"/>
                <w:kern w:val="0"/>
                <w:sz w:val="24"/>
              </w:rPr>
              <w:t>涂层</w:t>
            </w:r>
            <w:r>
              <w:rPr>
                <w:color w:val="auto"/>
                <w:kern w:val="0"/>
                <w:sz w:val="24"/>
              </w:rPr>
              <w:t>系数（</w:t>
            </w:r>
            <w:r>
              <w:rPr>
                <w:rFonts w:hint="eastAsia"/>
                <w:color w:val="auto"/>
                <w:kern w:val="0"/>
                <w:sz w:val="24"/>
              </w:rPr>
              <w:t>1-1.5，</w:t>
            </w:r>
            <w:r>
              <w:rPr>
                <w:color w:val="auto"/>
                <w:kern w:val="0"/>
                <w:sz w:val="24"/>
              </w:rPr>
              <w:t>铅漆</w:t>
            </w:r>
            <w:r>
              <w:rPr>
                <w:rFonts w:hint="eastAsia"/>
                <w:color w:val="auto"/>
                <w:kern w:val="0"/>
                <w:sz w:val="24"/>
              </w:rPr>
              <w:t>1.39，</w:t>
            </w:r>
            <w:r>
              <w:rPr>
                <w:color w:val="auto"/>
                <w:kern w:val="0"/>
                <w:sz w:val="24"/>
              </w:rPr>
              <w:t>白漆</w:t>
            </w:r>
            <w:r>
              <w:rPr>
                <w:rFonts w:hint="eastAsia"/>
                <w:color w:val="auto"/>
                <w:kern w:val="0"/>
                <w:sz w:val="24"/>
              </w:rPr>
              <w:t>1.02</w:t>
            </w:r>
            <w:r>
              <w:rPr>
                <w:color w:val="auto"/>
                <w:kern w:val="0"/>
                <w:sz w:val="24"/>
              </w:rPr>
              <w:t>）</w:t>
            </w:r>
            <w:r>
              <w:rPr>
                <w:rFonts w:hint="eastAsia"/>
                <w:color w:val="auto"/>
                <w:kern w:val="0"/>
                <w:sz w:val="24"/>
              </w:rPr>
              <w:t>；</w:t>
            </w:r>
          </w:p>
          <w:p w14:paraId="3F4F0BD6">
            <w:pPr>
              <w:autoSpaceDE w:val="0"/>
              <w:autoSpaceDN w:val="0"/>
              <w:adjustRightInd w:val="0"/>
              <w:spacing w:line="500" w:lineRule="exact"/>
              <w:ind w:firstLine="480" w:firstLineChars="200"/>
              <w:rPr>
                <w:color w:val="auto"/>
                <w:kern w:val="0"/>
                <w:sz w:val="24"/>
              </w:rPr>
            </w:pPr>
            <w:r>
              <w:rPr>
                <w:color w:val="auto"/>
                <w:kern w:val="0"/>
                <w:sz w:val="24"/>
              </w:rPr>
              <w:t xml:space="preserve">      C—</w:t>
            </w:r>
            <w:r>
              <w:rPr>
                <w:rFonts w:hint="eastAsia"/>
                <w:color w:val="auto"/>
                <w:kern w:val="0"/>
                <w:sz w:val="24"/>
              </w:rPr>
              <w:t>用于</w:t>
            </w:r>
            <w:r>
              <w:rPr>
                <w:color w:val="auto"/>
                <w:kern w:val="0"/>
                <w:sz w:val="24"/>
              </w:rPr>
              <w:t>小直径罐的调节因子（</w:t>
            </w:r>
            <w:r>
              <w:rPr>
                <w:rFonts w:hint="eastAsia"/>
                <w:color w:val="auto"/>
                <w:kern w:val="0"/>
                <w:sz w:val="24"/>
              </w:rPr>
              <w:t>直径</w:t>
            </w:r>
            <w:r>
              <w:rPr>
                <w:color w:val="auto"/>
                <w:kern w:val="0"/>
                <w:sz w:val="24"/>
              </w:rPr>
              <w:t>在</w:t>
            </w:r>
            <w:r>
              <w:rPr>
                <w:rFonts w:hint="eastAsia"/>
                <w:color w:val="auto"/>
                <w:kern w:val="0"/>
                <w:sz w:val="24"/>
              </w:rPr>
              <w:t>0-9m之间</w:t>
            </w:r>
            <w:r>
              <w:rPr>
                <w:color w:val="auto"/>
                <w:kern w:val="0"/>
                <w:sz w:val="24"/>
              </w:rPr>
              <w:t>，</w:t>
            </w:r>
            <w:r>
              <w:rPr>
                <w:rFonts w:hint="eastAsia"/>
                <w:color w:val="auto"/>
                <w:kern w:val="0"/>
                <w:sz w:val="24"/>
              </w:rPr>
              <w:t>C</w:t>
            </w:r>
            <w:r>
              <w:rPr>
                <w:color w:val="auto"/>
                <w:kern w:val="0"/>
                <w:sz w:val="24"/>
              </w:rPr>
              <w:t>=1-0.0123</w:t>
            </w:r>
            <w:r>
              <w:rPr>
                <w:rFonts w:hint="eastAsia"/>
                <w:color w:val="auto"/>
                <w:kern w:val="0"/>
                <w:sz w:val="24"/>
              </w:rPr>
              <w:t>×（D</w:t>
            </w:r>
            <w:r>
              <w:rPr>
                <w:color w:val="auto"/>
                <w:kern w:val="0"/>
                <w:sz w:val="24"/>
              </w:rPr>
              <w:t>-9</w:t>
            </w:r>
            <w:r>
              <w:rPr>
                <w:rFonts w:hint="eastAsia"/>
                <w:color w:val="auto"/>
                <w:kern w:val="0"/>
                <w:sz w:val="24"/>
              </w:rPr>
              <w:t>）</w:t>
            </w:r>
            <w:r>
              <w:rPr>
                <w:rFonts w:hint="eastAsia"/>
                <w:color w:val="auto"/>
                <w:kern w:val="0"/>
                <w:sz w:val="24"/>
                <w:vertAlign w:val="superscript"/>
              </w:rPr>
              <w:t>2</w:t>
            </w:r>
            <w:r>
              <w:rPr>
                <w:rFonts w:hint="eastAsia"/>
                <w:color w:val="auto"/>
                <w:kern w:val="0"/>
                <w:sz w:val="24"/>
              </w:rPr>
              <w:t>，罐</w:t>
            </w:r>
            <w:r>
              <w:rPr>
                <w:color w:val="auto"/>
                <w:kern w:val="0"/>
                <w:sz w:val="24"/>
              </w:rPr>
              <w:t>径</w:t>
            </w:r>
            <w:r>
              <w:rPr>
                <w:rFonts w:hint="eastAsia"/>
                <w:color w:val="auto"/>
                <w:kern w:val="0"/>
                <w:sz w:val="24"/>
              </w:rPr>
              <w:t>大于9m，C为1</w:t>
            </w:r>
            <w:r>
              <w:rPr>
                <w:color w:val="auto"/>
                <w:kern w:val="0"/>
                <w:sz w:val="24"/>
              </w:rPr>
              <w:t>）</w:t>
            </w:r>
            <w:r>
              <w:rPr>
                <w:rFonts w:hint="eastAsia"/>
                <w:color w:val="auto"/>
                <w:kern w:val="0"/>
                <w:sz w:val="24"/>
              </w:rPr>
              <w:t>；</w:t>
            </w:r>
          </w:p>
          <w:p w14:paraId="3ED27761">
            <w:pPr>
              <w:autoSpaceDE w:val="0"/>
              <w:autoSpaceDN w:val="0"/>
              <w:adjustRightInd w:val="0"/>
              <w:spacing w:line="500" w:lineRule="exact"/>
              <w:ind w:firstLine="480" w:firstLineChars="200"/>
              <w:rPr>
                <w:color w:val="auto"/>
                <w:kern w:val="0"/>
                <w:sz w:val="24"/>
              </w:rPr>
            </w:pPr>
            <w:r>
              <w:rPr>
                <w:color w:val="auto"/>
                <w:kern w:val="0"/>
                <w:sz w:val="24"/>
              </w:rPr>
              <w:t xml:space="preserve">      K</w:t>
            </w:r>
            <w:r>
              <w:rPr>
                <w:color w:val="auto"/>
                <w:kern w:val="0"/>
                <w:sz w:val="24"/>
                <w:vertAlign w:val="subscript"/>
              </w:rPr>
              <w:t>C</w:t>
            </w:r>
            <w:r>
              <w:rPr>
                <w:color w:val="auto"/>
                <w:kern w:val="0"/>
                <w:sz w:val="24"/>
              </w:rPr>
              <w:t>—</w:t>
            </w:r>
            <w:r>
              <w:rPr>
                <w:rFonts w:hint="eastAsia"/>
                <w:color w:val="auto"/>
                <w:kern w:val="0"/>
                <w:sz w:val="24"/>
              </w:rPr>
              <w:t>产品</w:t>
            </w:r>
            <w:r>
              <w:rPr>
                <w:color w:val="auto"/>
                <w:kern w:val="0"/>
                <w:sz w:val="24"/>
              </w:rPr>
              <w:t>因子（</w:t>
            </w:r>
            <w:r>
              <w:rPr>
                <w:rFonts w:hint="eastAsia"/>
                <w:color w:val="auto"/>
                <w:kern w:val="0"/>
                <w:sz w:val="24"/>
              </w:rPr>
              <w:t>石油</w:t>
            </w:r>
            <w:r>
              <w:rPr>
                <w:color w:val="auto"/>
                <w:kern w:val="0"/>
                <w:sz w:val="24"/>
              </w:rPr>
              <w:t>原油</w:t>
            </w:r>
            <w:r>
              <w:rPr>
                <w:rFonts w:hint="eastAsia"/>
                <w:color w:val="auto"/>
                <w:kern w:val="0"/>
                <w:sz w:val="24"/>
              </w:rPr>
              <w:t>0.58，</w:t>
            </w:r>
            <w:r>
              <w:rPr>
                <w:color w:val="auto"/>
                <w:kern w:val="0"/>
                <w:sz w:val="24"/>
              </w:rPr>
              <w:t>其他</w:t>
            </w:r>
            <w:r>
              <w:rPr>
                <w:rFonts w:hint="eastAsia"/>
                <w:color w:val="auto"/>
                <w:kern w:val="0"/>
                <w:sz w:val="24"/>
              </w:rPr>
              <w:t>1.0</w:t>
            </w:r>
            <w:r>
              <w:rPr>
                <w:color w:val="auto"/>
                <w:kern w:val="0"/>
                <w:sz w:val="24"/>
              </w:rPr>
              <w:t>）</w:t>
            </w:r>
            <w:r>
              <w:rPr>
                <w:rFonts w:hint="eastAsia"/>
                <w:color w:val="auto"/>
                <w:kern w:val="0"/>
                <w:sz w:val="24"/>
              </w:rPr>
              <w:t>。</w:t>
            </w:r>
          </w:p>
          <w:p w14:paraId="1AAD4A4C">
            <w:pPr>
              <w:autoSpaceDE w:val="0"/>
              <w:autoSpaceDN w:val="0"/>
              <w:adjustRightInd w:val="0"/>
              <w:spacing w:line="500" w:lineRule="exact"/>
              <w:jc w:val="center"/>
              <w:rPr>
                <w:color w:val="auto"/>
                <w:kern w:val="0"/>
                <w:sz w:val="24"/>
              </w:rPr>
            </w:pPr>
            <w:r>
              <w:rPr>
                <w:rFonts w:hint="eastAsia"/>
                <w:color w:val="auto"/>
                <w:kern w:val="0"/>
                <w:sz w:val="24"/>
              </w:rPr>
              <w:t>表</w:t>
            </w:r>
            <w:r>
              <w:rPr>
                <w:color w:val="auto"/>
                <w:kern w:val="0"/>
                <w:sz w:val="24"/>
              </w:rPr>
              <w:t>4</w:t>
            </w:r>
            <w:r>
              <w:rPr>
                <w:rFonts w:hint="eastAsia"/>
                <w:color w:val="auto"/>
                <w:kern w:val="0"/>
                <w:sz w:val="24"/>
              </w:rPr>
              <w:t>-</w:t>
            </w:r>
            <w:r>
              <w:rPr>
                <w:rFonts w:hint="eastAsia"/>
                <w:color w:val="auto"/>
                <w:kern w:val="0"/>
                <w:sz w:val="24"/>
                <w:lang w:val="en-US" w:eastAsia="zh-CN"/>
              </w:rPr>
              <w:t>1</w:t>
            </w:r>
            <w:r>
              <w:rPr>
                <w:rFonts w:hint="eastAsia"/>
                <w:color w:val="auto"/>
                <w:kern w:val="0"/>
                <w:sz w:val="24"/>
              </w:rPr>
              <w:t xml:space="preserve"> 小呼吸</w:t>
            </w:r>
            <w:r>
              <w:rPr>
                <w:color w:val="auto"/>
                <w:kern w:val="0"/>
                <w:sz w:val="24"/>
              </w:rPr>
              <w:t>蒸发损耗</w:t>
            </w:r>
            <w:r>
              <w:rPr>
                <w:rFonts w:hint="eastAsia"/>
                <w:color w:val="auto"/>
                <w:kern w:val="0"/>
                <w:sz w:val="24"/>
              </w:rPr>
              <w:t>量    单位</w:t>
            </w:r>
            <w:r>
              <w:rPr>
                <w:color w:val="auto"/>
                <w:kern w:val="0"/>
                <w:sz w:val="24"/>
              </w:rPr>
              <w:t>kg/a</w:t>
            </w:r>
          </w:p>
          <w:tbl>
            <w:tblPr>
              <w:tblStyle w:val="38"/>
              <w:tblW w:w="8877" w:type="dxa"/>
              <w:tblInd w:w="0" w:type="dxa"/>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0" w:type="dxa"/>
                <w:bottom w:w="0" w:type="dxa"/>
                <w:right w:w="0" w:type="dxa"/>
              </w:tblCellMar>
            </w:tblPr>
            <w:tblGrid>
              <w:gridCol w:w="1677"/>
              <w:gridCol w:w="554"/>
              <w:gridCol w:w="553"/>
              <w:gridCol w:w="553"/>
              <w:gridCol w:w="553"/>
              <w:gridCol w:w="690"/>
              <w:gridCol w:w="690"/>
              <w:gridCol w:w="689"/>
              <w:gridCol w:w="690"/>
              <w:gridCol w:w="1238"/>
              <w:gridCol w:w="990"/>
            </w:tblGrid>
            <w:tr w14:paraId="4D5422A3">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0" w:type="dxa"/>
                  <w:bottom w:w="0" w:type="dxa"/>
                  <w:right w:w="0" w:type="dxa"/>
                </w:tblCellMar>
              </w:tblPrEx>
              <w:trPr>
                <w:trHeight w:val="397" w:hRule="atLeast"/>
              </w:trPr>
              <w:tc>
                <w:tcPr>
                  <w:tcW w:w="1677" w:type="dxa"/>
                  <w:shd w:val="clear" w:color="auto" w:fill="auto"/>
                  <w:vAlign w:val="center"/>
                </w:tcPr>
                <w:p w14:paraId="54686597">
                  <w:pPr>
                    <w:jc w:val="center"/>
                    <w:rPr>
                      <w:color w:val="auto"/>
                    </w:rPr>
                  </w:pPr>
                  <w:r>
                    <w:rPr>
                      <w:rFonts w:hint="eastAsia"/>
                      <w:color w:val="auto"/>
                    </w:rPr>
                    <w:t>C</w:t>
                  </w:r>
                </w:p>
              </w:tc>
              <w:tc>
                <w:tcPr>
                  <w:tcW w:w="554" w:type="dxa"/>
                  <w:shd w:val="clear" w:color="auto" w:fill="auto"/>
                  <w:vAlign w:val="center"/>
                </w:tcPr>
                <w:p w14:paraId="101031D0">
                  <w:pPr>
                    <w:jc w:val="center"/>
                    <w:rPr>
                      <w:color w:val="auto"/>
                    </w:rPr>
                  </w:pPr>
                  <w:r>
                    <w:rPr>
                      <w:rFonts w:hint="eastAsia"/>
                      <w:color w:val="auto"/>
                    </w:rPr>
                    <w:t>M</w:t>
                  </w:r>
                </w:p>
              </w:tc>
              <w:tc>
                <w:tcPr>
                  <w:tcW w:w="553" w:type="dxa"/>
                  <w:shd w:val="clear" w:color="auto" w:fill="auto"/>
                  <w:vAlign w:val="center"/>
                </w:tcPr>
                <w:p w14:paraId="3B6173C8">
                  <w:pPr>
                    <w:jc w:val="center"/>
                    <w:rPr>
                      <w:color w:val="auto"/>
                    </w:rPr>
                  </w:pPr>
                  <w:r>
                    <w:rPr>
                      <w:rFonts w:hint="eastAsia"/>
                      <w:color w:val="auto"/>
                    </w:rPr>
                    <w:t>罐</w:t>
                  </w:r>
                  <w:r>
                    <w:rPr>
                      <w:color w:val="auto"/>
                    </w:rPr>
                    <w:t>数（</w:t>
                  </w:r>
                  <w:r>
                    <w:rPr>
                      <w:rFonts w:hint="eastAsia"/>
                      <w:color w:val="auto"/>
                    </w:rPr>
                    <w:t>个</w:t>
                  </w:r>
                  <w:r>
                    <w:rPr>
                      <w:color w:val="auto"/>
                    </w:rPr>
                    <w:t>）</w:t>
                  </w:r>
                </w:p>
              </w:tc>
              <w:tc>
                <w:tcPr>
                  <w:tcW w:w="553" w:type="dxa"/>
                  <w:shd w:val="clear" w:color="auto" w:fill="auto"/>
                  <w:vAlign w:val="center"/>
                </w:tcPr>
                <w:p w14:paraId="36641B6F">
                  <w:pPr>
                    <w:jc w:val="center"/>
                    <w:rPr>
                      <w:color w:val="auto"/>
                    </w:rPr>
                  </w:pPr>
                  <w:r>
                    <w:rPr>
                      <w:rFonts w:hint="eastAsia"/>
                      <w:color w:val="auto"/>
                    </w:rPr>
                    <w:t>P</w:t>
                  </w:r>
                </w:p>
              </w:tc>
              <w:tc>
                <w:tcPr>
                  <w:tcW w:w="553" w:type="dxa"/>
                  <w:shd w:val="clear" w:color="auto" w:fill="auto"/>
                  <w:vAlign w:val="center"/>
                </w:tcPr>
                <w:p w14:paraId="6CBD5098">
                  <w:pPr>
                    <w:jc w:val="center"/>
                    <w:rPr>
                      <w:color w:val="auto"/>
                    </w:rPr>
                  </w:pPr>
                  <w:r>
                    <w:rPr>
                      <w:rFonts w:hint="eastAsia"/>
                      <w:color w:val="auto"/>
                    </w:rPr>
                    <w:t>D</w:t>
                  </w:r>
                </w:p>
              </w:tc>
              <w:tc>
                <w:tcPr>
                  <w:tcW w:w="690" w:type="dxa"/>
                  <w:shd w:val="clear" w:color="auto" w:fill="auto"/>
                  <w:vAlign w:val="center"/>
                </w:tcPr>
                <w:p w14:paraId="6A4608C8">
                  <w:pPr>
                    <w:jc w:val="center"/>
                    <w:rPr>
                      <w:color w:val="auto"/>
                    </w:rPr>
                  </w:pPr>
                  <w:r>
                    <w:rPr>
                      <w:rFonts w:hint="eastAsia"/>
                      <w:color w:val="auto"/>
                    </w:rPr>
                    <w:t>H</w:t>
                  </w:r>
                </w:p>
              </w:tc>
              <w:tc>
                <w:tcPr>
                  <w:tcW w:w="690" w:type="dxa"/>
                  <w:shd w:val="clear" w:color="auto" w:fill="auto"/>
                  <w:vAlign w:val="center"/>
                </w:tcPr>
                <w:p w14:paraId="73670E7D">
                  <w:pPr>
                    <w:jc w:val="center"/>
                    <w:rPr>
                      <w:color w:val="auto"/>
                    </w:rPr>
                  </w:pPr>
                  <w:r>
                    <w:rPr>
                      <w:rFonts w:hint="eastAsia"/>
                      <w:color w:val="auto"/>
                    </w:rPr>
                    <w:t>△T</w:t>
                  </w:r>
                </w:p>
              </w:tc>
              <w:tc>
                <w:tcPr>
                  <w:tcW w:w="689" w:type="dxa"/>
                  <w:shd w:val="clear" w:color="auto" w:fill="auto"/>
                  <w:vAlign w:val="center"/>
                </w:tcPr>
                <w:p w14:paraId="565B7972">
                  <w:pPr>
                    <w:jc w:val="center"/>
                    <w:rPr>
                      <w:color w:val="auto"/>
                    </w:rPr>
                  </w:pPr>
                  <w:r>
                    <w:rPr>
                      <w:rFonts w:hint="eastAsia"/>
                      <w:color w:val="auto"/>
                    </w:rPr>
                    <w:t>F</w:t>
                  </w:r>
                  <w:r>
                    <w:rPr>
                      <w:rFonts w:hint="eastAsia"/>
                      <w:color w:val="auto"/>
                      <w:vertAlign w:val="subscript"/>
                    </w:rPr>
                    <w:t>P</w:t>
                  </w:r>
                </w:p>
              </w:tc>
              <w:tc>
                <w:tcPr>
                  <w:tcW w:w="690" w:type="dxa"/>
                  <w:shd w:val="clear" w:color="auto" w:fill="auto"/>
                  <w:vAlign w:val="center"/>
                </w:tcPr>
                <w:p w14:paraId="48E5B484">
                  <w:pPr>
                    <w:jc w:val="center"/>
                    <w:rPr>
                      <w:color w:val="auto"/>
                    </w:rPr>
                  </w:pPr>
                  <w:r>
                    <w:rPr>
                      <w:rFonts w:hint="eastAsia"/>
                      <w:color w:val="auto"/>
                    </w:rPr>
                    <w:t>K</w:t>
                  </w:r>
                  <w:r>
                    <w:rPr>
                      <w:rFonts w:hint="eastAsia"/>
                      <w:color w:val="auto"/>
                      <w:vertAlign w:val="subscript"/>
                    </w:rPr>
                    <w:t>C</w:t>
                  </w:r>
                </w:p>
              </w:tc>
              <w:tc>
                <w:tcPr>
                  <w:tcW w:w="1238" w:type="dxa"/>
                  <w:shd w:val="clear" w:color="auto" w:fill="auto"/>
                  <w:vAlign w:val="center"/>
                </w:tcPr>
                <w:p w14:paraId="64E10B8C">
                  <w:pPr>
                    <w:jc w:val="center"/>
                    <w:rPr>
                      <w:color w:val="auto"/>
                    </w:rPr>
                  </w:pPr>
                  <w:r>
                    <w:rPr>
                      <w:rFonts w:hint="eastAsia"/>
                      <w:color w:val="auto"/>
                    </w:rPr>
                    <w:t>单个</w:t>
                  </w:r>
                  <w:r>
                    <w:rPr>
                      <w:color w:val="auto"/>
                    </w:rPr>
                    <w:t>储罐产生量</w:t>
                  </w:r>
                  <w:r>
                    <w:rPr>
                      <w:rFonts w:hint="eastAsia"/>
                      <w:color w:val="auto"/>
                    </w:rPr>
                    <w:t>（</w:t>
                  </w:r>
                  <w:r>
                    <w:rPr>
                      <w:color w:val="auto"/>
                    </w:rPr>
                    <w:t>kg</w:t>
                  </w:r>
                  <w:r>
                    <w:rPr>
                      <w:rFonts w:hint="eastAsia"/>
                      <w:color w:val="auto"/>
                    </w:rPr>
                    <w:t>/a）</w:t>
                  </w:r>
                </w:p>
              </w:tc>
              <w:tc>
                <w:tcPr>
                  <w:tcW w:w="990" w:type="dxa"/>
                  <w:shd w:val="clear" w:color="auto" w:fill="auto"/>
                  <w:vAlign w:val="center"/>
                </w:tcPr>
                <w:p w14:paraId="1B30D0D0">
                  <w:pPr>
                    <w:jc w:val="center"/>
                    <w:rPr>
                      <w:color w:val="auto"/>
                    </w:rPr>
                  </w:pPr>
                  <w:r>
                    <w:rPr>
                      <w:rFonts w:hint="eastAsia"/>
                      <w:color w:val="auto"/>
                    </w:rPr>
                    <w:t>合计</w:t>
                  </w:r>
                </w:p>
                <w:p w14:paraId="3BB9DDBE">
                  <w:pPr>
                    <w:jc w:val="center"/>
                    <w:rPr>
                      <w:color w:val="auto"/>
                    </w:rPr>
                  </w:pPr>
                  <w:r>
                    <w:rPr>
                      <w:rFonts w:hint="eastAsia"/>
                      <w:color w:val="auto"/>
                    </w:rPr>
                    <w:t>（</w:t>
                  </w:r>
                  <w:r>
                    <w:rPr>
                      <w:color w:val="auto"/>
                    </w:rPr>
                    <w:t>kg</w:t>
                  </w:r>
                  <w:r>
                    <w:rPr>
                      <w:rFonts w:hint="eastAsia"/>
                      <w:color w:val="auto"/>
                    </w:rPr>
                    <w:t>/a）</w:t>
                  </w:r>
                </w:p>
              </w:tc>
            </w:tr>
            <w:tr w14:paraId="18751D06">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0" w:type="dxa"/>
                  <w:bottom w:w="0" w:type="dxa"/>
                  <w:right w:w="0" w:type="dxa"/>
                </w:tblCellMar>
              </w:tblPrEx>
              <w:trPr>
                <w:trHeight w:val="397" w:hRule="atLeast"/>
              </w:trPr>
              <w:tc>
                <w:tcPr>
                  <w:tcW w:w="1677" w:type="dxa"/>
                  <w:shd w:val="clear" w:color="auto" w:fill="auto"/>
                  <w:vAlign w:val="center"/>
                </w:tcPr>
                <w:p w14:paraId="0E121D6D">
                  <w:pPr>
                    <w:jc w:val="center"/>
                    <w:rPr>
                      <w:color w:val="auto"/>
                    </w:rPr>
                  </w:pPr>
                  <w:r>
                    <w:rPr>
                      <w:rFonts w:hint="eastAsia"/>
                      <w:color w:val="auto"/>
                    </w:rPr>
                    <w:t>1-0.0123×（D-9）</w:t>
                  </w:r>
                  <w:r>
                    <w:rPr>
                      <w:rFonts w:hint="eastAsia"/>
                      <w:color w:val="auto"/>
                      <w:vertAlign w:val="superscript"/>
                    </w:rPr>
                    <w:t>2</w:t>
                  </w:r>
                </w:p>
              </w:tc>
              <w:tc>
                <w:tcPr>
                  <w:tcW w:w="554" w:type="dxa"/>
                  <w:shd w:val="clear" w:color="auto" w:fill="auto"/>
                  <w:vAlign w:val="center"/>
                </w:tcPr>
                <w:p w14:paraId="26314DEE">
                  <w:pPr>
                    <w:jc w:val="center"/>
                    <w:rPr>
                      <w:color w:val="auto"/>
                    </w:rPr>
                  </w:pPr>
                  <w:r>
                    <w:rPr>
                      <w:rFonts w:hint="eastAsia"/>
                      <w:color w:val="auto"/>
                    </w:rPr>
                    <w:t>86</w:t>
                  </w:r>
                </w:p>
              </w:tc>
              <w:tc>
                <w:tcPr>
                  <w:tcW w:w="553" w:type="dxa"/>
                  <w:shd w:val="clear" w:color="auto" w:fill="auto"/>
                  <w:vAlign w:val="center"/>
                </w:tcPr>
                <w:p w14:paraId="656FA79B">
                  <w:pPr>
                    <w:jc w:val="center"/>
                    <w:rPr>
                      <w:rFonts w:hint="eastAsia" w:eastAsia="宋体"/>
                      <w:color w:val="auto"/>
                      <w:lang w:eastAsia="zh-CN"/>
                    </w:rPr>
                  </w:pPr>
                  <w:r>
                    <w:rPr>
                      <w:rFonts w:hint="eastAsia"/>
                      <w:color w:val="auto"/>
                      <w:lang w:val="en-US" w:eastAsia="zh-CN"/>
                    </w:rPr>
                    <w:t>2</w:t>
                  </w:r>
                </w:p>
              </w:tc>
              <w:tc>
                <w:tcPr>
                  <w:tcW w:w="553" w:type="dxa"/>
                  <w:shd w:val="clear" w:color="auto" w:fill="auto"/>
                  <w:vAlign w:val="center"/>
                </w:tcPr>
                <w:p w14:paraId="55A8E4F3">
                  <w:pPr>
                    <w:jc w:val="center"/>
                    <w:rPr>
                      <w:color w:val="auto"/>
                    </w:rPr>
                  </w:pPr>
                  <w:r>
                    <w:rPr>
                      <w:rFonts w:hint="eastAsia"/>
                      <w:color w:val="auto"/>
                    </w:rPr>
                    <w:t>4.15</w:t>
                  </w:r>
                </w:p>
              </w:tc>
              <w:tc>
                <w:tcPr>
                  <w:tcW w:w="553" w:type="dxa"/>
                  <w:shd w:val="clear" w:color="auto" w:fill="auto"/>
                  <w:vAlign w:val="center"/>
                </w:tcPr>
                <w:p w14:paraId="72CB623C">
                  <w:pPr>
                    <w:jc w:val="center"/>
                    <w:rPr>
                      <w:color w:val="auto"/>
                    </w:rPr>
                  </w:pPr>
                  <w:r>
                    <w:rPr>
                      <w:rFonts w:hint="eastAsia"/>
                      <w:color w:val="auto"/>
                    </w:rPr>
                    <w:t>3</w:t>
                  </w:r>
                </w:p>
              </w:tc>
              <w:tc>
                <w:tcPr>
                  <w:tcW w:w="690" w:type="dxa"/>
                  <w:shd w:val="clear" w:color="auto" w:fill="auto"/>
                  <w:vAlign w:val="center"/>
                </w:tcPr>
                <w:p w14:paraId="16DC84F2">
                  <w:pPr>
                    <w:jc w:val="center"/>
                    <w:rPr>
                      <w:color w:val="auto"/>
                    </w:rPr>
                  </w:pPr>
                  <w:r>
                    <w:rPr>
                      <w:rFonts w:hint="eastAsia"/>
                      <w:color w:val="auto"/>
                    </w:rPr>
                    <w:t>7</w:t>
                  </w:r>
                </w:p>
              </w:tc>
              <w:tc>
                <w:tcPr>
                  <w:tcW w:w="690" w:type="dxa"/>
                  <w:shd w:val="clear" w:color="auto" w:fill="auto"/>
                  <w:vAlign w:val="center"/>
                </w:tcPr>
                <w:p w14:paraId="5844BE72">
                  <w:pPr>
                    <w:jc w:val="center"/>
                    <w:rPr>
                      <w:color w:val="auto"/>
                    </w:rPr>
                  </w:pPr>
                  <w:r>
                    <w:rPr>
                      <w:rFonts w:hint="eastAsia"/>
                      <w:color w:val="auto"/>
                    </w:rPr>
                    <w:t>12</w:t>
                  </w:r>
                </w:p>
              </w:tc>
              <w:tc>
                <w:tcPr>
                  <w:tcW w:w="689" w:type="dxa"/>
                  <w:shd w:val="clear" w:color="auto" w:fill="auto"/>
                  <w:vAlign w:val="center"/>
                </w:tcPr>
                <w:p w14:paraId="63F05CD1">
                  <w:pPr>
                    <w:jc w:val="center"/>
                    <w:rPr>
                      <w:color w:val="auto"/>
                    </w:rPr>
                  </w:pPr>
                  <w:r>
                    <w:rPr>
                      <w:rFonts w:hint="eastAsia"/>
                      <w:color w:val="auto"/>
                    </w:rPr>
                    <w:t>1.2</w:t>
                  </w:r>
                </w:p>
              </w:tc>
              <w:tc>
                <w:tcPr>
                  <w:tcW w:w="690" w:type="dxa"/>
                  <w:shd w:val="clear" w:color="auto" w:fill="auto"/>
                  <w:vAlign w:val="center"/>
                </w:tcPr>
                <w:p w14:paraId="3C860771">
                  <w:pPr>
                    <w:jc w:val="center"/>
                    <w:rPr>
                      <w:color w:val="auto"/>
                    </w:rPr>
                  </w:pPr>
                  <w:r>
                    <w:rPr>
                      <w:rFonts w:hint="eastAsia"/>
                      <w:color w:val="auto"/>
                    </w:rPr>
                    <w:t>1.0</w:t>
                  </w:r>
                </w:p>
              </w:tc>
              <w:tc>
                <w:tcPr>
                  <w:tcW w:w="1238" w:type="dxa"/>
                  <w:shd w:val="clear" w:color="auto" w:fill="auto"/>
                  <w:vAlign w:val="center"/>
                </w:tcPr>
                <w:p w14:paraId="02621178">
                  <w:pPr>
                    <w:jc w:val="center"/>
                    <w:rPr>
                      <w:color w:val="auto"/>
                    </w:rPr>
                  </w:pPr>
                  <w:r>
                    <w:rPr>
                      <w:rFonts w:hint="eastAsia"/>
                      <w:color w:val="auto"/>
                    </w:rPr>
                    <w:t>0.63</w:t>
                  </w:r>
                </w:p>
              </w:tc>
              <w:tc>
                <w:tcPr>
                  <w:tcW w:w="990" w:type="dxa"/>
                  <w:shd w:val="clear" w:color="auto" w:fill="auto"/>
                  <w:vAlign w:val="center"/>
                </w:tcPr>
                <w:p w14:paraId="6BEA5DA6">
                  <w:pPr>
                    <w:jc w:val="center"/>
                    <w:rPr>
                      <w:color w:val="auto"/>
                    </w:rPr>
                  </w:pPr>
                  <w:r>
                    <w:rPr>
                      <w:rFonts w:hint="eastAsia"/>
                      <w:color w:val="auto"/>
                    </w:rPr>
                    <w:t>1.26</w:t>
                  </w:r>
                </w:p>
              </w:tc>
            </w:tr>
          </w:tbl>
          <w:p w14:paraId="14FE02FE">
            <w:pPr>
              <w:autoSpaceDE w:val="0"/>
              <w:autoSpaceDN w:val="0"/>
              <w:adjustRightInd w:val="0"/>
              <w:spacing w:line="500" w:lineRule="exact"/>
              <w:ind w:firstLine="480" w:firstLineChars="200"/>
              <w:rPr>
                <w:color w:val="auto"/>
                <w:kern w:val="0"/>
                <w:sz w:val="24"/>
              </w:rPr>
            </w:pPr>
            <w:r>
              <w:rPr>
                <w:rFonts w:hint="eastAsia"/>
                <w:color w:val="auto"/>
                <w:kern w:val="0"/>
                <w:sz w:val="24"/>
              </w:rPr>
              <w:t>综上</w:t>
            </w:r>
            <w:r>
              <w:rPr>
                <w:color w:val="auto"/>
                <w:kern w:val="0"/>
                <w:sz w:val="24"/>
              </w:rPr>
              <w:t>，项目</w:t>
            </w:r>
            <w:r>
              <w:rPr>
                <w:rFonts w:hint="eastAsia"/>
                <w:color w:val="auto"/>
                <w:kern w:val="0"/>
                <w:sz w:val="24"/>
                <w:lang w:val="en-US" w:eastAsia="zh-CN"/>
              </w:rPr>
              <w:t>2</w:t>
            </w:r>
            <w:r>
              <w:rPr>
                <w:rFonts w:hint="eastAsia"/>
                <w:color w:val="auto"/>
                <w:kern w:val="0"/>
                <w:sz w:val="24"/>
              </w:rPr>
              <w:t>个</w:t>
            </w:r>
            <w:r>
              <w:rPr>
                <w:color w:val="auto"/>
                <w:kern w:val="0"/>
                <w:sz w:val="24"/>
              </w:rPr>
              <w:t>油剂储罐小呼吸废气产生量为</w:t>
            </w:r>
            <w:r>
              <w:rPr>
                <w:rFonts w:hint="eastAsia"/>
                <w:color w:val="auto"/>
                <w:kern w:val="0"/>
                <w:sz w:val="24"/>
              </w:rPr>
              <w:t>1.26</w:t>
            </w:r>
            <w:r>
              <w:rPr>
                <w:rFonts w:hint="eastAsia"/>
                <w:color w:val="auto"/>
                <w:kern w:val="0"/>
                <w:sz w:val="24"/>
                <w:lang w:val="en-US" w:eastAsia="zh-CN"/>
              </w:rPr>
              <w:t>×10</w:t>
            </w:r>
            <w:r>
              <w:rPr>
                <w:rFonts w:hint="eastAsia"/>
                <w:color w:val="auto"/>
                <w:kern w:val="0"/>
                <w:sz w:val="24"/>
                <w:vertAlign w:val="superscript"/>
                <w:lang w:val="en-US" w:eastAsia="zh-CN"/>
              </w:rPr>
              <w:t>-3</w:t>
            </w:r>
            <w:r>
              <w:rPr>
                <w:rFonts w:hint="eastAsia"/>
                <w:color w:val="auto"/>
                <w:kern w:val="0"/>
                <w:sz w:val="24"/>
                <w:lang w:val="en-US" w:eastAsia="zh-CN"/>
              </w:rPr>
              <w:t>t</w:t>
            </w:r>
            <w:r>
              <w:rPr>
                <w:color w:val="auto"/>
                <w:kern w:val="0"/>
                <w:sz w:val="24"/>
              </w:rPr>
              <w:t>/a</w:t>
            </w:r>
            <w:r>
              <w:rPr>
                <w:rFonts w:hint="eastAsia"/>
                <w:color w:val="auto"/>
                <w:kern w:val="0"/>
                <w:sz w:val="24"/>
              </w:rPr>
              <w:t>。</w:t>
            </w:r>
          </w:p>
          <w:p w14:paraId="359C407D">
            <w:pPr>
              <w:autoSpaceDE w:val="0"/>
              <w:autoSpaceDN w:val="0"/>
              <w:adjustRightInd w:val="0"/>
              <w:spacing w:line="500" w:lineRule="exact"/>
              <w:ind w:firstLine="480" w:firstLineChars="200"/>
              <w:rPr>
                <w:color w:val="auto"/>
                <w:kern w:val="0"/>
                <w:sz w:val="24"/>
              </w:rPr>
            </w:pPr>
            <w:r>
              <w:rPr>
                <w:rFonts w:hint="eastAsia"/>
                <w:color w:val="auto"/>
                <w:kern w:val="0"/>
                <w:sz w:val="24"/>
              </w:rPr>
              <w:t>（2）工作</w:t>
            </w:r>
            <w:r>
              <w:rPr>
                <w:color w:val="auto"/>
                <w:kern w:val="0"/>
                <w:sz w:val="24"/>
              </w:rPr>
              <w:t>排放（</w:t>
            </w:r>
            <w:r>
              <w:rPr>
                <w:rFonts w:hint="eastAsia"/>
                <w:color w:val="auto"/>
                <w:kern w:val="0"/>
                <w:sz w:val="24"/>
              </w:rPr>
              <w:t>“大呼吸”过程</w:t>
            </w:r>
            <w:r>
              <w:rPr>
                <w:color w:val="auto"/>
                <w:kern w:val="0"/>
                <w:sz w:val="24"/>
              </w:rPr>
              <w:t>）</w:t>
            </w:r>
          </w:p>
          <w:p w14:paraId="6B12E6F8">
            <w:pPr>
              <w:autoSpaceDE w:val="0"/>
              <w:autoSpaceDN w:val="0"/>
              <w:adjustRightInd w:val="0"/>
              <w:spacing w:line="500" w:lineRule="exact"/>
              <w:ind w:firstLine="480" w:firstLineChars="200"/>
              <w:rPr>
                <w:color w:val="auto"/>
                <w:kern w:val="0"/>
                <w:sz w:val="24"/>
              </w:rPr>
            </w:pPr>
            <w:r>
              <w:rPr>
                <w:rFonts w:hint="eastAsia"/>
                <w:color w:val="auto"/>
                <w:kern w:val="0"/>
                <w:sz w:val="24"/>
              </w:rPr>
              <w:t>装卸</w:t>
            </w:r>
            <w:r>
              <w:rPr>
                <w:color w:val="auto"/>
                <w:kern w:val="0"/>
                <w:sz w:val="24"/>
              </w:rPr>
              <w:t>工作损耗（</w:t>
            </w:r>
            <w:r>
              <w:rPr>
                <w:rFonts w:hint="eastAsia"/>
                <w:color w:val="auto"/>
                <w:kern w:val="0"/>
                <w:sz w:val="24"/>
              </w:rPr>
              <w:t>大呼吸</w:t>
            </w:r>
            <w:r>
              <w:rPr>
                <w:color w:val="auto"/>
                <w:kern w:val="0"/>
                <w:sz w:val="24"/>
              </w:rPr>
              <w:t>）</w:t>
            </w:r>
            <w:r>
              <w:rPr>
                <w:rFonts w:hint="eastAsia"/>
                <w:color w:val="auto"/>
                <w:kern w:val="0"/>
                <w:sz w:val="24"/>
              </w:rPr>
              <w:t>可</w:t>
            </w:r>
            <w:r>
              <w:rPr>
                <w:color w:val="auto"/>
                <w:kern w:val="0"/>
                <w:sz w:val="24"/>
              </w:rPr>
              <w:t>按下式计算：</w:t>
            </w:r>
          </w:p>
          <w:p w14:paraId="38D9B94B">
            <w:pPr>
              <w:autoSpaceDE w:val="0"/>
              <w:autoSpaceDN w:val="0"/>
              <w:adjustRightInd w:val="0"/>
              <w:spacing w:line="360" w:lineRule="auto"/>
              <w:ind w:firstLine="420" w:firstLineChars="200"/>
              <w:rPr>
                <w:color w:val="auto"/>
                <w:kern w:val="0"/>
                <w:sz w:val="24"/>
              </w:rPr>
            </w:pPr>
            <w:r>
              <w:rPr>
                <w:color w:val="auto"/>
                <w:position w:val="-12"/>
              </w:rPr>
              <w:object>
                <v:shape id="_x0000_i1030" o:spt="75" type="#_x0000_t75" style="height:18.65pt;width:199.1pt;" o:ole="t" filled="f" o:preferrelative="t" stroked="f" coordsize="21600,21600">
                  <v:path/>
                  <v:fill on="f" focussize="0,0"/>
                  <v:stroke on="f" joinstyle="miter"/>
                  <v:imagedata r:id="rId30" o:title=""/>
                  <o:lock v:ext="edit" aspectratio="t"/>
                  <w10:wrap type="none"/>
                  <w10:anchorlock/>
                </v:shape>
                <o:OLEObject Type="Embed" ProgID="Equation.DSMT4" ShapeID="_x0000_i1030" DrawAspect="Content" ObjectID="_1468075730" r:id="rId29">
                  <o:LockedField>false</o:LockedField>
                </o:OLEObject>
              </w:object>
            </w:r>
          </w:p>
          <w:p w14:paraId="3458EF9A">
            <w:pPr>
              <w:autoSpaceDE w:val="0"/>
              <w:autoSpaceDN w:val="0"/>
              <w:adjustRightInd w:val="0"/>
              <w:spacing w:line="500" w:lineRule="exact"/>
              <w:ind w:firstLine="480" w:firstLineChars="200"/>
              <w:rPr>
                <w:color w:val="auto"/>
                <w:kern w:val="0"/>
                <w:sz w:val="24"/>
              </w:rPr>
            </w:pPr>
            <w:r>
              <w:rPr>
                <w:rFonts w:hint="eastAsia"/>
                <w:color w:val="auto"/>
                <w:kern w:val="0"/>
                <w:sz w:val="24"/>
              </w:rPr>
              <w:t>式中</w:t>
            </w:r>
            <w:r>
              <w:rPr>
                <w:color w:val="auto"/>
                <w:kern w:val="0"/>
                <w:sz w:val="24"/>
              </w:rPr>
              <w:t>：</w:t>
            </w:r>
            <w:r>
              <w:rPr>
                <w:rFonts w:hint="eastAsia"/>
                <w:color w:val="auto"/>
                <w:kern w:val="0"/>
                <w:sz w:val="24"/>
              </w:rPr>
              <w:t>L</w:t>
            </w:r>
            <w:r>
              <w:rPr>
                <w:rFonts w:hint="eastAsia"/>
                <w:color w:val="auto"/>
                <w:kern w:val="0"/>
                <w:sz w:val="24"/>
                <w:vertAlign w:val="subscript"/>
              </w:rPr>
              <w:t>W</w:t>
            </w:r>
            <w:r>
              <w:rPr>
                <w:rFonts w:hint="eastAsia"/>
                <w:color w:val="auto"/>
                <w:kern w:val="0"/>
                <w:sz w:val="24"/>
              </w:rPr>
              <w:t>—大呼吸蒸发</w:t>
            </w:r>
            <w:r>
              <w:rPr>
                <w:color w:val="auto"/>
                <w:kern w:val="0"/>
                <w:sz w:val="24"/>
              </w:rPr>
              <w:t>损失（</w:t>
            </w:r>
            <w:r>
              <w:rPr>
                <w:rFonts w:hint="eastAsia"/>
                <w:color w:val="auto"/>
                <w:kern w:val="0"/>
                <w:sz w:val="24"/>
              </w:rPr>
              <w:t>m</w:t>
            </w:r>
            <w:r>
              <w:rPr>
                <w:rFonts w:hint="eastAsia"/>
                <w:color w:val="auto"/>
                <w:kern w:val="0"/>
                <w:sz w:val="24"/>
                <w:vertAlign w:val="superscript"/>
              </w:rPr>
              <w:t>3</w:t>
            </w:r>
            <w:r>
              <w:rPr>
                <w:rFonts w:hint="eastAsia"/>
                <w:color w:val="auto"/>
                <w:kern w:val="0"/>
                <w:sz w:val="24"/>
              </w:rPr>
              <w:t>/a</w:t>
            </w:r>
            <w:r>
              <w:rPr>
                <w:color w:val="auto"/>
                <w:kern w:val="0"/>
                <w:sz w:val="24"/>
              </w:rPr>
              <w:t>）</w:t>
            </w:r>
            <w:r>
              <w:rPr>
                <w:rFonts w:hint="eastAsia"/>
                <w:color w:val="auto"/>
                <w:kern w:val="0"/>
                <w:sz w:val="24"/>
              </w:rPr>
              <w:t>；</w:t>
            </w:r>
          </w:p>
          <w:p w14:paraId="30C261A8">
            <w:pPr>
              <w:autoSpaceDE w:val="0"/>
              <w:autoSpaceDN w:val="0"/>
              <w:adjustRightInd w:val="0"/>
              <w:spacing w:line="500" w:lineRule="exact"/>
              <w:ind w:firstLine="480" w:firstLineChars="200"/>
              <w:rPr>
                <w:color w:val="auto"/>
                <w:kern w:val="0"/>
                <w:sz w:val="24"/>
              </w:rPr>
            </w:pPr>
            <w:r>
              <w:rPr>
                <w:color w:val="auto"/>
                <w:kern w:val="0"/>
                <w:sz w:val="24"/>
              </w:rPr>
              <w:t xml:space="preserve">      M—</w:t>
            </w:r>
            <w:r>
              <w:rPr>
                <w:rFonts w:hint="eastAsia"/>
                <w:color w:val="auto"/>
                <w:kern w:val="0"/>
                <w:sz w:val="24"/>
              </w:rPr>
              <w:t>储罐</w:t>
            </w:r>
            <w:r>
              <w:rPr>
                <w:color w:val="auto"/>
                <w:kern w:val="0"/>
                <w:sz w:val="24"/>
              </w:rPr>
              <w:t>内</w:t>
            </w:r>
            <w:r>
              <w:rPr>
                <w:rFonts w:hint="eastAsia"/>
                <w:color w:val="auto"/>
                <w:kern w:val="0"/>
                <w:sz w:val="24"/>
              </w:rPr>
              <w:t>蒸汽</w:t>
            </w:r>
            <w:r>
              <w:rPr>
                <w:color w:val="auto"/>
                <w:kern w:val="0"/>
                <w:sz w:val="24"/>
              </w:rPr>
              <w:t>的分子量；</w:t>
            </w:r>
          </w:p>
          <w:p w14:paraId="312B6632">
            <w:pPr>
              <w:autoSpaceDE w:val="0"/>
              <w:autoSpaceDN w:val="0"/>
              <w:adjustRightInd w:val="0"/>
              <w:spacing w:line="500" w:lineRule="exact"/>
              <w:ind w:firstLine="1200" w:firstLineChars="500"/>
              <w:rPr>
                <w:color w:val="auto"/>
                <w:kern w:val="0"/>
                <w:sz w:val="24"/>
              </w:rPr>
            </w:pPr>
            <w:r>
              <w:rPr>
                <w:color w:val="auto"/>
                <w:kern w:val="0"/>
                <w:sz w:val="24"/>
              </w:rPr>
              <w:t>P—</w:t>
            </w:r>
            <w:r>
              <w:rPr>
                <w:rFonts w:hint="eastAsia"/>
                <w:color w:val="auto"/>
                <w:kern w:val="0"/>
                <w:sz w:val="24"/>
              </w:rPr>
              <w:t>大量</w:t>
            </w:r>
            <w:r>
              <w:rPr>
                <w:color w:val="auto"/>
                <w:kern w:val="0"/>
                <w:sz w:val="24"/>
              </w:rPr>
              <w:t>液体状态下，</w:t>
            </w:r>
            <w:r>
              <w:rPr>
                <w:rFonts w:hint="eastAsia"/>
                <w:color w:val="auto"/>
                <w:kern w:val="0"/>
                <w:sz w:val="24"/>
              </w:rPr>
              <w:t>真实</w:t>
            </w:r>
            <w:r>
              <w:rPr>
                <w:color w:val="auto"/>
                <w:kern w:val="0"/>
                <w:sz w:val="24"/>
              </w:rPr>
              <w:t>的蒸汽压力，kPa</w:t>
            </w:r>
            <w:r>
              <w:rPr>
                <w:rFonts w:hint="eastAsia"/>
                <w:color w:val="auto"/>
                <w:kern w:val="0"/>
                <w:sz w:val="24"/>
              </w:rPr>
              <w:t>；</w:t>
            </w:r>
          </w:p>
          <w:p w14:paraId="40A8E21F">
            <w:pPr>
              <w:autoSpaceDE w:val="0"/>
              <w:autoSpaceDN w:val="0"/>
              <w:adjustRightInd w:val="0"/>
              <w:spacing w:line="500" w:lineRule="exact"/>
              <w:ind w:firstLine="1200" w:firstLineChars="500"/>
              <w:rPr>
                <w:color w:val="auto"/>
                <w:kern w:val="0"/>
                <w:sz w:val="24"/>
              </w:rPr>
            </w:pPr>
            <w:r>
              <w:rPr>
                <w:color w:val="auto"/>
                <w:kern w:val="0"/>
                <w:sz w:val="24"/>
              </w:rPr>
              <w:t>K</w:t>
            </w:r>
            <w:r>
              <w:rPr>
                <w:color w:val="auto"/>
                <w:kern w:val="0"/>
                <w:sz w:val="24"/>
                <w:vertAlign w:val="subscript"/>
              </w:rPr>
              <w:t>N</w:t>
            </w:r>
            <w:r>
              <w:rPr>
                <w:color w:val="auto"/>
                <w:kern w:val="0"/>
                <w:sz w:val="24"/>
              </w:rPr>
              <w:t>—</w:t>
            </w:r>
            <w:r>
              <w:rPr>
                <w:rFonts w:hint="eastAsia"/>
                <w:color w:val="auto"/>
                <w:kern w:val="0"/>
                <w:sz w:val="24"/>
              </w:rPr>
              <w:t>周转</w:t>
            </w:r>
            <w:r>
              <w:rPr>
                <w:color w:val="auto"/>
                <w:kern w:val="0"/>
                <w:sz w:val="24"/>
              </w:rPr>
              <w:t>因子，若周转次数</w:t>
            </w:r>
            <w:r>
              <w:rPr>
                <w:rFonts w:hint="eastAsia"/>
                <w:color w:val="auto"/>
                <w:kern w:val="0"/>
                <w:sz w:val="24"/>
              </w:rPr>
              <w:t>K小于36，</w:t>
            </w:r>
            <w:r>
              <w:rPr>
                <w:color w:val="auto"/>
                <w:kern w:val="0"/>
                <w:sz w:val="24"/>
              </w:rPr>
              <w:t>取</w:t>
            </w:r>
            <w:r>
              <w:rPr>
                <w:rFonts w:hint="eastAsia"/>
                <w:color w:val="auto"/>
                <w:kern w:val="0"/>
                <w:sz w:val="24"/>
              </w:rPr>
              <w:t>1</w:t>
            </w:r>
            <w:r>
              <w:rPr>
                <w:rFonts w:hint="eastAsia"/>
                <w:color w:val="auto"/>
                <w:kern w:val="0"/>
                <w:sz w:val="24"/>
                <w:lang w:eastAsia="zh-CN"/>
              </w:rPr>
              <w:t>,</w:t>
            </w:r>
            <w:r>
              <w:rPr>
                <w:color w:val="auto"/>
                <w:kern w:val="0"/>
                <w:sz w:val="24"/>
              </w:rPr>
              <w:t>若</w:t>
            </w:r>
            <w:r>
              <w:rPr>
                <w:rFonts w:hint="eastAsia"/>
                <w:color w:val="auto"/>
                <w:kern w:val="0"/>
                <w:sz w:val="24"/>
              </w:rPr>
              <w:t>K小于220，</w:t>
            </w:r>
            <w:r>
              <w:rPr>
                <w:color w:val="auto"/>
                <w:kern w:val="0"/>
                <w:sz w:val="24"/>
              </w:rPr>
              <w:t>则</w:t>
            </w:r>
            <w:r>
              <w:rPr>
                <w:rFonts w:hint="eastAsia"/>
                <w:color w:val="auto"/>
                <w:kern w:val="0"/>
                <w:sz w:val="24"/>
              </w:rPr>
              <w:t>K</w:t>
            </w:r>
            <w:r>
              <w:rPr>
                <w:rFonts w:hint="eastAsia"/>
                <w:color w:val="auto"/>
                <w:kern w:val="0"/>
                <w:sz w:val="24"/>
                <w:vertAlign w:val="subscript"/>
              </w:rPr>
              <w:t>N</w:t>
            </w:r>
            <w:r>
              <w:rPr>
                <w:color w:val="auto"/>
                <w:kern w:val="0"/>
                <w:sz w:val="24"/>
              </w:rPr>
              <w:t>=11.467</w:t>
            </w:r>
            <w:r>
              <w:rPr>
                <w:rFonts w:hint="eastAsia"/>
                <w:color w:val="auto"/>
                <w:kern w:val="0"/>
                <w:sz w:val="24"/>
              </w:rPr>
              <w:t>×K</w:t>
            </w:r>
            <w:r>
              <w:rPr>
                <w:rFonts w:hint="eastAsia"/>
                <w:color w:val="auto"/>
                <w:kern w:val="0"/>
                <w:sz w:val="24"/>
                <w:vertAlign w:val="superscript"/>
              </w:rPr>
              <w:t>-0.7026</w:t>
            </w:r>
            <w:r>
              <w:rPr>
                <w:rFonts w:hint="eastAsia"/>
                <w:color w:val="auto"/>
                <w:kern w:val="0"/>
                <w:sz w:val="24"/>
              </w:rPr>
              <w:t>，</w:t>
            </w:r>
            <w:r>
              <w:rPr>
                <w:color w:val="auto"/>
                <w:kern w:val="0"/>
                <w:sz w:val="24"/>
              </w:rPr>
              <w:t>若</w:t>
            </w:r>
            <w:r>
              <w:rPr>
                <w:rFonts w:hint="eastAsia"/>
                <w:color w:val="auto"/>
                <w:kern w:val="0"/>
                <w:sz w:val="24"/>
              </w:rPr>
              <w:t>K大于220，K</w:t>
            </w:r>
            <w:r>
              <w:rPr>
                <w:rFonts w:hint="eastAsia"/>
                <w:color w:val="auto"/>
                <w:kern w:val="0"/>
                <w:sz w:val="24"/>
                <w:vertAlign w:val="subscript"/>
              </w:rPr>
              <w:t>N</w:t>
            </w:r>
            <w:r>
              <w:rPr>
                <w:rFonts w:hint="eastAsia"/>
                <w:color w:val="auto"/>
                <w:kern w:val="0"/>
                <w:sz w:val="24"/>
              </w:rPr>
              <w:t>≈0.26；</w:t>
            </w:r>
          </w:p>
          <w:p w14:paraId="668F3469">
            <w:pPr>
              <w:autoSpaceDE w:val="0"/>
              <w:autoSpaceDN w:val="0"/>
              <w:adjustRightInd w:val="0"/>
              <w:spacing w:line="500" w:lineRule="exact"/>
              <w:ind w:firstLine="1200" w:firstLineChars="500"/>
              <w:rPr>
                <w:color w:val="auto"/>
                <w:kern w:val="0"/>
                <w:sz w:val="24"/>
              </w:rPr>
            </w:pPr>
            <w:r>
              <w:rPr>
                <w:color w:val="auto"/>
                <w:kern w:val="0"/>
                <w:sz w:val="24"/>
              </w:rPr>
              <w:t>K</w:t>
            </w:r>
            <w:r>
              <w:rPr>
                <w:color w:val="auto"/>
                <w:kern w:val="0"/>
                <w:sz w:val="24"/>
                <w:vertAlign w:val="subscript"/>
              </w:rPr>
              <w:t>C</w:t>
            </w:r>
            <w:r>
              <w:rPr>
                <w:color w:val="auto"/>
                <w:kern w:val="0"/>
                <w:sz w:val="24"/>
              </w:rPr>
              <w:t>—</w:t>
            </w:r>
            <w:r>
              <w:rPr>
                <w:rFonts w:hint="eastAsia"/>
                <w:color w:val="auto"/>
                <w:kern w:val="0"/>
                <w:sz w:val="24"/>
              </w:rPr>
              <w:t>油品</w:t>
            </w:r>
            <w:r>
              <w:rPr>
                <w:color w:val="auto"/>
                <w:kern w:val="0"/>
                <w:sz w:val="24"/>
              </w:rPr>
              <w:t>因子</w:t>
            </w:r>
            <w:r>
              <w:rPr>
                <w:rFonts w:hint="eastAsia"/>
                <w:color w:val="auto"/>
                <w:kern w:val="0"/>
                <w:sz w:val="24"/>
              </w:rPr>
              <w:t>（石油</w:t>
            </w:r>
            <w:r>
              <w:rPr>
                <w:color w:val="auto"/>
                <w:kern w:val="0"/>
                <w:sz w:val="24"/>
              </w:rPr>
              <w:t>原油</w:t>
            </w:r>
            <w:r>
              <w:rPr>
                <w:rFonts w:hint="eastAsia"/>
                <w:color w:val="auto"/>
                <w:kern w:val="0"/>
                <w:sz w:val="24"/>
              </w:rPr>
              <w:t>取0.75，</w:t>
            </w:r>
            <w:r>
              <w:rPr>
                <w:color w:val="auto"/>
                <w:kern w:val="0"/>
                <w:sz w:val="24"/>
              </w:rPr>
              <w:t>其他的液体取</w:t>
            </w:r>
            <w:r>
              <w:rPr>
                <w:rFonts w:hint="eastAsia"/>
                <w:color w:val="auto"/>
                <w:kern w:val="0"/>
                <w:sz w:val="24"/>
              </w:rPr>
              <w:t>1.0）；</w:t>
            </w:r>
          </w:p>
          <w:p w14:paraId="45EFF976">
            <w:pPr>
              <w:autoSpaceDE w:val="0"/>
              <w:autoSpaceDN w:val="0"/>
              <w:adjustRightInd w:val="0"/>
              <w:spacing w:line="500" w:lineRule="exact"/>
              <w:ind w:firstLine="1200" w:firstLineChars="500"/>
              <w:rPr>
                <w:color w:val="auto"/>
                <w:kern w:val="0"/>
                <w:sz w:val="24"/>
              </w:rPr>
            </w:pPr>
            <w:r>
              <w:rPr>
                <w:rFonts w:hint="eastAsia"/>
                <w:color w:val="auto"/>
                <w:kern w:val="0"/>
                <w:sz w:val="24"/>
              </w:rPr>
              <w:t>Q—物料</w:t>
            </w:r>
            <w:r>
              <w:rPr>
                <w:color w:val="auto"/>
                <w:kern w:val="0"/>
                <w:sz w:val="24"/>
              </w:rPr>
              <w:t>年泵送入罐量</w:t>
            </w:r>
            <w:r>
              <w:rPr>
                <w:rFonts w:hint="eastAsia"/>
                <w:color w:val="auto"/>
                <w:kern w:val="0"/>
                <w:sz w:val="24"/>
              </w:rPr>
              <w:t>，</w:t>
            </w:r>
            <w:r>
              <w:rPr>
                <w:color w:val="auto"/>
                <w:kern w:val="0"/>
                <w:sz w:val="24"/>
              </w:rPr>
              <w:t>（</w:t>
            </w:r>
            <w:r>
              <w:rPr>
                <w:rFonts w:hint="eastAsia"/>
                <w:color w:val="auto"/>
                <w:kern w:val="0"/>
                <w:sz w:val="24"/>
              </w:rPr>
              <w:t>m</w:t>
            </w:r>
            <w:r>
              <w:rPr>
                <w:rFonts w:hint="eastAsia"/>
                <w:color w:val="auto"/>
                <w:kern w:val="0"/>
                <w:sz w:val="24"/>
                <w:vertAlign w:val="superscript"/>
              </w:rPr>
              <w:t>3</w:t>
            </w:r>
            <w:r>
              <w:rPr>
                <w:rFonts w:hint="eastAsia"/>
                <w:color w:val="auto"/>
                <w:kern w:val="0"/>
                <w:sz w:val="24"/>
              </w:rPr>
              <w:t>/</w:t>
            </w:r>
            <w:r>
              <w:rPr>
                <w:color w:val="auto"/>
                <w:kern w:val="0"/>
                <w:sz w:val="24"/>
              </w:rPr>
              <w:t>a）</w:t>
            </w:r>
            <w:r>
              <w:rPr>
                <w:rFonts w:hint="eastAsia"/>
                <w:color w:val="auto"/>
                <w:kern w:val="0"/>
                <w:sz w:val="24"/>
              </w:rPr>
              <w:t>。</w:t>
            </w:r>
          </w:p>
          <w:p w14:paraId="3B186A5C">
            <w:pPr>
              <w:autoSpaceDE w:val="0"/>
              <w:autoSpaceDN w:val="0"/>
              <w:adjustRightInd w:val="0"/>
              <w:spacing w:line="500" w:lineRule="exact"/>
              <w:jc w:val="center"/>
              <w:rPr>
                <w:color w:val="auto"/>
                <w:kern w:val="0"/>
                <w:sz w:val="24"/>
              </w:rPr>
            </w:pPr>
            <w:r>
              <w:rPr>
                <w:rFonts w:hint="eastAsia"/>
                <w:color w:val="auto"/>
                <w:kern w:val="0"/>
                <w:sz w:val="24"/>
              </w:rPr>
              <w:t>表</w:t>
            </w:r>
            <w:r>
              <w:rPr>
                <w:color w:val="auto"/>
                <w:kern w:val="0"/>
                <w:sz w:val="24"/>
              </w:rPr>
              <w:t>4</w:t>
            </w:r>
            <w:r>
              <w:rPr>
                <w:rFonts w:hint="eastAsia"/>
                <w:color w:val="auto"/>
                <w:kern w:val="0"/>
                <w:sz w:val="24"/>
              </w:rPr>
              <w:t>-</w:t>
            </w:r>
            <w:r>
              <w:rPr>
                <w:rFonts w:hint="eastAsia"/>
                <w:color w:val="auto"/>
                <w:kern w:val="0"/>
                <w:sz w:val="24"/>
                <w:lang w:val="en-US" w:eastAsia="zh-CN"/>
              </w:rPr>
              <w:t>2</w:t>
            </w:r>
            <w:r>
              <w:rPr>
                <w:rFonts w:hint="eastAsia"/>
                <w:color w:val="auto"/>
                <w:kern w:val="0"/>
                <w:sz w:val="24"/>
              </w:rPr>
              <w:t xml:space="preserve"> 储油罐</w:t>
            </w:r>
            <w:r>
              <w:rPr>
                <w:color w:val="auto"/>
                <w:kern w:val="0"/>
                <w:sz w:val="24"/>
              </w:rPr>
              <w:t>大呼吸损耗计算表</w:t>
            </w:r>
            <w:r>
              <w:rPr>
                <w:rFonts w:hint="eastAsia"/>
                <w:color w:val="auto"/>
                <w:kern w:val="0"/>
                <w:sz w:val="24"/>
              </w:rPr>
              <w:t xml:space="preserve"> </w:t>
            </w:r>
            <w:r>
              <w:rPr>
                <w:color w:val="auto"/>
                <w:kern w:val="0"/>
                <w:sz w:val="24"/>
              </w:rPr>
              <w:t xml:space="preserve"> kg/a</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fixed"/>
              <w:tblCellMar>
                <w:top w:w="0" w:type="dxa"/>
                <w:left w:w="28" w:type="dxa"/>
                <w:bottom w:w="0" w:type="dxa"/>
                <w:right w:w="28" w:type="dxa"/>
              </w:tblCellMar>
            </w:tblPr>
            <w:tblGrid>
              <w:gridCol w:w="719"/>
              <w:gridCol w:w="826"/>
              <w:gridCol w:w="691"/>
              <w:gridCol w:w="691"/>
              <w:gridCol w:w="691"/>
              <w:gridCol w:w="690"/>
              <w:gridCol w:w="691"/>
              <w:gridCol w:w="962"/>
              <w:gridCol w:w="963"/>
              <w:gridCol w:w="1144"/>
              <w:gridCol w:w="807"/>
            </w:tblGrid>
            <w:tr w14:paraId="6D92B6C9">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28" w:type="dxa"/>
                  <w:bottom w:w="0" w:type="dxa"/>
                  <w:right w:w="28" w:type="dxa"/>
                </w:tblCellMar>
              </w:tblPrEx>
              <w:trPr>
                <w:trHeight w:val="397" w:hRule="atLeast"/>
              </w:trPr>
              <w:tc>
                <w:tcPr>
                  <w:tcW w:w="719" w:type="dxa"/>
                  <w:shd w:val="clear" w:color="auto" w:fill="auto"/>
                  <w:vAlign w:val="center"/>
                </w:tcPr>
                <w:p w14:paraId="228743C7">
                  <w:pPr>
                    <w:jc w:val="center"/>
                    <w:rPr>
                      <w:color w:val="auto"/>
                    </w:rPr>
                  </w:pPr>
                  <w:r>
                    <w:rPr>
                      <w:rFonts w:hint="eastAsia"/>
                      <w:color w:val="auto"/>
                    </w:rPr>
                    <w:t>M</w:t>
                  </w:r>
                </w:p>
              </w:tc>
              <w:tc>
                <w:tcPr>
                  <w:tcW w:w="826" w:type="dxa"/>
                  <w:shd w:val="clear" w:color="auto" w:fill="auto"/>
                  <w:vAlign w:val="center"/>
                </w:tcPr>
                <w:p w14:paraId="150D41E9">
                  <w:pPr>
                    <w:jc w:val="center"/>
                    <w:rPr>
                      <w:color w:val="auto"/>
                    </w:rPr>
                  </w:pPr>
                  <w:r>
                    <w:rPr>
                      <w:rFonts w:hint="eastAsia"/>
                      <w:color w:val="auto"/>
                    </w:rPr>
                    <w:t>灌数</w:t>
                  </w:r>
                  <w:r>
                    <w:rPr>
                      <w:color w:val="auto"/>
                    </w:rPr>
                    <w:t>（</w:t>
                  </w:r>
                  <w:r>
                    <w:rPr>
                      <w:rFonts w:hint="eastAsia"/>
                      <w:color w:val="auto"/>
                    </w:rPr>
                    <w:t>台</w:t>
                  </w:r>
                  <w:r>
                    <w:rPr>
                      <w:color w:val="auto"/>
                    </w:rPr>
                    <w:t>）</w:t>
                  </w:r>
                </w:p>
              </w:tc>
              <w:tc>
                <w:tcPr>
                  <w:tcW w:w="691" w:type="dxa"/>
                  <w:shd w:val="clear" w:color="auto" w:fill="auto"/>
                  <w:vAlign w:val="center"/>
                </w:tcPr>
                <w:p w14:paraId="76CC5230">
                  <w:pPr>
                    <w:jc w:val="center"/>
                    <w:rPr>
                      <w:color w:val="auto"/>
                    </w:rPr>
                  </w:pPr>
                  <w:r>
                    <w:rPr>
                      <w:rFonts w:hint="eastAsia"/>
                      <w:color w:val="auto"/>
                    </w:rPr>
                    <w:t>P</w:t>
                  </w:r>
                </w:p>
              </w:tc>
              <w:tc>
                <w:tcPr>
                  <w:tcW w:w="691" w:type="dxa"/>
                  <w:shd w:val="clear" w:color="auto" w:fill="auto"/>
                  <w:vAlign w:val="center"/>
                </w:tcPr>
                <w:p w14:paraId="3C230609">
                  <w:pPr>
                    <w:jc w:val="center"/>
                    <w:rPr>
                      <w:color w:val="auto"/>
                    </w:rPr>
                  </w:pPr>
                  <w:r>
                    <w:rPr>
                      <w:rFonts w:hint="eastAsia"/>
                      <w:color w:val="auto"/>
                    </w:rPr>
                    <w:t>D</w:t>
                  </w:r>
                </w:p>
              </w:tc>
              <w:tc>
                <w:tcPr>
                  <w:tcW w:w="691" w:type="dxa"/>
                  <w:shd w:val="clear" w:color="auto" w:fill="auto"/>
                  <w:vAlign w:val="center"/>
                </w:tcPr>
                <w:p w14:paraId="4C96883E">
                  <w:pPr>
                    <w:jc w:val="center"/>
                    <w:rPr>
                      <w:color w:val="auto"/>
                    </w:rPr>
                  </w:pPr>
                  <w:r>
                    <w:rPr>
                      <w:rFonts w:hint="eastAsia"/>
                      <w:color w:val="auto"/>
                    </w:rPr>
                    <w:t>H</w:t>
                  </w:r>
                </w:p>
              </w:tc>
              <w:tc>
                <w:tcPr>
                  <w:tcW w:w="690" w:type="dxa"/>
                  <w:shd w:val="clear" w:color="auto" w:fill="auto"/>
                  <w:vAlign w:val="center"/>
                </w:tcPr>
                <w:p w14:paraId="707E257D">
                  <w:pPr>
                    <w:jc w:val="center"/>
                    <w:rPr>
                      <w:color w:val="auto"/>
                    </w:rPr>
                  </w:pPr>
                  <w:r>
                    <w:rPr>
                      <w:rFonts w:hint="eastAsia"/>
                      <w:color w:val="auto"/>
                    </w:rPr>
                    <w:t>K</w:t>
                  </w:r>
                  <w:r>
                    <w:rPr>
                      <w:color w:val="auto"/>
                      <w:vertAlign w:val="subscript"/>
                    </w:rPr>
                    <w:t>N</w:t>
                  </w:r>
                </w:p>
              </w:tc>
              <w:tc>
                <w:tcPr>
                  <w:tcW w:w="691" w:type="dxa"/>
                  <w:shd w:val="clear" w:color="auto" w:fill="auto"/>
                  <w:vAlign w:val="center"/>
                </w:tcPr>
                <w:p w14:paraId="25EDC1C1">
                  <w:pPr>
                    <w:jc w:val="center"/>
                    <w:rPr>
                      <w:color w:val="auto"/>
                    </w:rPr>
                  </w:pPr>
                  <w:r>
                    <w:rPr>
                      <w:rFonts w:hint="eastAsia"/>
                      <w:color w:val="auto"/>
                    </w:rPr>
                    <w:t>K</w:t>
                  </w:r>
                  <w:r>
                    <w:rPr>
                      <w:rFonts w:hint="eastAsia"/>
                      <w:color w:val="auto"/>
                      <w:vertAlign w:val="subscript"/>
                    </w:rPr>
                    <w:t>C</w:t>
                  </w:r>
                </w:p>
              </w:tc>
              <w:tc>
                <w:tcPr>
                  <w:tcW w:w="962" w:type="dxa"/>
                  <w:shd w:val="clear" w:color="auto" w:fill="auto"/>
                  <w:vAlign w:val="center"/>
                </w:tcPr>
                <w:p w14:paraId="320514B1">
                  <w:pPr>
                    <w:jc w:val="center"/>
                    <w:rPr>
                      <w:color w:val="auto"/>
                    </w:rPr>
                  </w:pPr>
                  <w:r>
                    <w:rPr>
                      <w:rFonts w:hint="eastAsia"/>
                      <w:color w:val="auto"/>
                    </w:rPr>
                    <w:t>密度</w:t>
                  </w:r>
                  <w:r>
                    <w:rPr>
                      <w:color w:val="auto"/>
                    </w:rPr>
                    <w:t>t/m</w:t>
                  </w:r>
                  <w:r>
                    <w:rPr>
                      <w:color w:val="auto"/>
                      <w:vertAlign w:val="superscript"/>
                    </w:rPr>
                    <w:t>3</w:t>
                  </w:r>
                </w:p>
              </w:tc>
              <w:tc>
                <w:tcPr>
                  <w:tcW w:w="963" w:type="dxa"/>
                  <w:shd w:val="clear" w:color="auto" w:fill="auto"/>
                  <w:vAlign w:val="center"/>
                </w:tcPr>
                <w:p w14:paraId="7745BA4A">
                  <w:pPr>
                    <w:jc w:val="center"/>
                    <w:rPr>
                      <w:color w:val="auto"/>
                    </w:rPr>
                  </w:pPr>
                  <w:r>
                    <w:rPr>
                      <w:rFonts w:hint="eastAsia"/>
                      <w:color w:val="auto"/>
                    </w:rPr>
                    <w:t>L</w:t>
                  </w:r>
                  <w:r>
                    <w:rPr>
                      <w:rFonts w:hint="eastAsia"/>
                      <w:color w:val="auto"/>
                      <w:vertAlign w:val="subscript"/>
                    </w:rPr>
                    <w:t>W</w:t>
                  </w:r>
                  <w:r>
                    <w:rPr>
                      <w:rFonts w:hint="eastAsia"/>
                      <w:color w:val="auto"/>
                    </w:rPr>
                    <w:t>（m</w:t>
                  </w:r>
                  <w:r>
                    <w:rPr>
                      <w:rFonts w:hint="eastAsia"/>
                      <w:color w:val="auto"/>
                      <w:vertAlign w:val="superscript"/>
                    </w:rPr>
                    <w:t>3</w:t>
                  </w:r>
                  <w:r>
                    <w:rPr>
                      <w:rFonts w:hint="eastAsia"/>
                      <w:color w:val="auto"/>
                    </w:rPr>
                    <w:t>/a）</w:t>
                  </w:r>
                </w:p>
              </w:tc>
              <w:tc>
                <w:tcPr>
                  <w:tcW w:w="1144" w:type="dxa"/>
                  <w:shd w:val="clear" w:color="auto" w:fill="auto"/>
                  <w:vAlign w:val="center"/>
                </w:tcPr>
                <w:p w14:paraId="589FCDB7">
                  <w:pPr>
                    <w:jc w:val="center"/>
                    <w:rPr>
                      <w:color w:val="auto"/>
                    </w:rPr>
                  </w:pPr>
                  <w:r>
                    <w:rPr>
                      <w:rFonts w:hint="eastAsia"/>
                      <w:color w:val="auto"/>
                    </w:rPr>
                    <w:t>单个</w:t>
                  </w:r>
                  <w:r>
                    <w:rPr>
                      <w:color w:val="auto"/>
                    </w:rPr>
                    <w:t>储罐产生量</w:t>
                  </w:r>
                </w:p>
              </w:tc>
              <w:tc>
                <w:tcPr>
                  <w:tcW w:w="807" w:type="dxa"/>
                  <w:shd w:val="clear" w:color="auto" w:fill="auto"/>
                  <w:vAlign w:val="center"/>
                </w:tcPr>
                <w:p w14:paraId="125CDB64">
                  <w:pPr>
                    <w:jc w:val="center"/>
                    <w:rPr>
                      <w:color w:val="auto"/>
                    </w:rPr>
                  </w:pPr>
                  <w:r>
                    <w:rPr>
                      <w:rFonts w:hint="eastAsia"/>
                      <w:color w:val="auto"/>
                    </w:rPr>
                    <w:t>合计（t/a）</w:t>
                  </w:r>
                </w:p>
              </w:tc>
            </w:tr>
            <w:tr w14:paraId="0C254378">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28" w:type="dxa"/>
                  <w:bottom w:w="0" w:type="dxa"/>
                  <w:right w:w="28" w:type="dxa"/>
                </w:tblCellMar>
              </w:tblPrEx>
              <w:trPr>
                <w:trHeight w:val="397" w:hRule="atLeast"/>
              </w:trPr>
              <w:tc>
                <w:tcPr>
                  <w:tcW w:w="719" w:type="dxa"/>
                  <w:shd w:val="clear" w:color="auto" w:fill="auto"/>
                  <w:vAlign w:val="center"/>
                </w:tcPr>
                <w:p w14:paraId="27B8A360">
                  <w:pPr>
                    <w:jc w:val="center"/>
                    <w:rPr>
                      <w:color w:val="auto"/>
                    </w:rPr>
                  </w:pPr>
                  <w:r>
                    <w:rPr>
                      <w:rFonts w:hint="eastAsia"/>
                      <w:color w:val="auto"/>
                    </w:rPr>
                    <w:t>86</w:t>
                  </w:r>
                </w:p>
              </w:tc>
              <w:tc>
                <w:tcPr>
                  <w:tcW w:w="826" w:type="dxa"/>
                  <w:shd w:val="clear" w:color="auto" w:fill="auto"/>
                  <w:vAlign w:val="center"/>
                </w:tcPr>
                <w:p w14:paraId="2F5AE22A">
                  <w:pPr>
                    <w:jc w:val="center"/>
                    <w:rPr>
                      <w:rFonts w:hint="eastAsia" w:eastAsia="宋体"/>
                      <w:color w:val="auto"/>
                      <w:lang w:eastAsia="zh-CN"/>
                    </w:rPr>
                  </w:pPr>
                  <w:r>
                    <w:rPr>
                      <w:rFonts w:hint="eastAsia"/>
                      <w:color w:val="auto"/>
                      <w:lang w:val="en-US" w:eastAsia="zh-CN"/>
                    </w:rPr>
                    <w:t>2</w:t>
                  </w:r>
                </w:p>
              </w:tc>
              <w:tc>
                <w:tcPr>
                  <w:tcW w:w="691" w:type="dxa"/>
                  <w:shd w:val="clear" w:color="auto" w:fill="auto"/>
                  <w:vAlign w:val="center"/>
                </w:tcPr>
                <w:p w14:paraId="58486AE1">
                  <w:pPr>
                    <w:jc w:val="center"/>
                    <w:rPr>
                      <w:color w:val="auto"/>
                    </w:rPr>
                  </w:pPr>
                  <w:r>
                    <w:rPr>
                      <w:rFonts w:hint="eastAsia"/>
                      <w:color w:val="auto"/>
                    </w:rPr>
                    <w:t>4.15</w:t>
                  </w:r>
                </w:p>
              </w:tc>
              <w:tc>
                <w:tcPr>
                  <w:tcW w:w="691" w:type="dxa"/>
                  <w:shd w:val="clear" w:color="auto" w:fill="auto"/>
                  <w:vAlign w:val="center"/>
                </w:tcPr>
                <w:p w14:paraId="3BE95791">
                  <w:pPr>
                    <w:jc w:val="center"/>
                    <w:rPr>
                      <w:color w:val="auto"/>
                    </w:rPr>
                  </w:pPr>
                  <w:r>
                    <w:rPr>
                      <w:rFonts w:hint="eastAsia"/>
                      <w:color w:val="auto"/>
                    </w:rPr>
                    <w:t>3</w:t>
                  </w:r>
                </w:p>
              </w:tc>
              <w:tc>
                <w:tcPr>
                  <w:tcW w:w="691" w:type="dxa"/>
                  <w:shd w:val="clear" w:color="auto" w:fill="auto"/>
                  <w:vAlign w:val="center"/>
                </w:tcPr>
                <w:p w14:paraId="22DF6397">
                  <w:pPr>
                    <w:jc w:val="center"/>
                    <w:rPr>
                      <w:color w:val="auto"/>
                    </w:rPr>
                  </w:pPr>
                  <w:r>
                    <w:rPr>
                      <w:rFonts w:hint="eastAsia"/>
                      <w:color w:val="auto"/>
                    </w:rPr>
                    <w:t>7</w:t>
                  </w:r>
                </w:p>
              </w:tc>
              <w:tc>
                <w:tcPr>
                  <w:tcW w:w="690" w:type="dxa"/>
                  <w:shd w:val="clear" w:color="auto" w:fill="auto"/>
                  <w:vAlign w:val="center"/>
                </w:tcPr>
                <w:p w14:paraId="45B56164">
                  <w:pPr>
                    <w:jc w:val="center"/>
                    <w:rPr>
                      <w:color w:val="auto"/>
                    </w:rPr>
                  </w:pPr>
                  <w:r>
                    <w:rPr>
                      <w:rFonts w:hint="eastAsia"/>
                      <w:color w:val="auto"/>
                    </w:rPr>
                    <w:t>1</w:t>
                  </w:r>
                </w:p>
              </w:tc>
              <w:tc>
                <w:tcPr>
                  <w:tcW w:w="691" w:type="dxa"/>
                  <w:shd w:val="clear" w:color="auto" w:fill="auto"/>
                  <w:vAlign w:val="center"/>
                </w:tcPr>
                <w:p w14:paraId="241D1B21">
                  <w:pPr>
                    <w:jc w:val="center"/>
                    <w:rPr>
                      <w:color w:val="auto"/>
                    </w:rPr>
                  </w:pPr>
                  <w:r>
                    <w:rPr>
                      <w:rFonts w:hint="eastAsia"/>
                      <w:color w:val="auto"/>
                    </w:rPr>
                    <w:t>1</w:t>
                  </w:r>
                </w:p>
              </w:tc>
              <w:tc>
                <w:tcPr>
                  <w:tcW w:w="962" w:type="dxa"/>
                  <w:shd w:val="clear" w:color="auto" w:fill="auto"/>
                  <w:vAlign w:val="center"/>
                </w:tcPr>
                <w:p w14:paraId="2F0C0F55">
                  <w:pPr>
                    <w:jc w:val="center"/>
                    <w:rPr>
                      <w:color w:val="auto"/>
                    </w:rPr>
                  </w:pPr>
                  <w:r>
                    <w:rPr>
                      <w:rFonts w:hint="eastAsia"/>
                      <w:color w:val="auto"/>
                    </w:rPr>
                    <w:t>0.79</w:t>
                  </w:r>
                </w:p>
              </w:tc>
              <w:tc>
                <w:tcPr>
                  <w:tcW w:w="963" w:type="dxa"/>
                  <w:shd w:val="clear" w:color="auto" w:fill="auto"/>
                  <w:vAlign w:val="center"/>
                </w:tcPr>
                <w:p w14:paraId="38500020">
                  <w:pPr>
                    <w:jc w:val="center"/>
                    <w:rPr>
                      <w:color w:val="auto"/>
                    </w:rPr>
                  </w:pPr>
                  <w:r>
                    <w:rPr>
                      <w:rFonts w:hint="eastAsia"/>
                      <w:color w:val="auto"/>
                    </w:rPr>
                    <w:t>0.03</w:t>
                  </w:r>
                </w:p>
              </w:tc>
              <w:tc>
                <w:tcPr>
                  <w:tcW w:w="1144" w:type="dxa"/>
                  <w:shd w:val="clear" w:color="auto" w:fill="auto"/>
                  <w:vAlign w:val="center"/>
                </w:tcPr>
                <w:p w14:paraId="4877BB8A">
                  <w:pPr>
                    <w:jc w:val="center"/>
                    <w:rPr>
                      <w:rFonts w:hint="default" w:eastAsia="宋体"/>
                      <w:color w:val="auto"/>
                      <w:lang w:val="en-US" w:eastAsia="zh-CN"/>
                    </w:rPr>
                  </w:pPr>
                  <w:r>
                    <w:rPr>
                      <w:rFonts w:hint="eastAsia"/>
                      <w:color w:val="auto"/>
                    </w:rPr>
                    <w:t>0.0</w:t>
                  </w:r>
                  <w:r>
                    <w:rPr>
                      <w:rFonts w:hint="eastAsia"/>
                      <w:color w:val="auto"/>
                      <w:lang w:val="en-US" w:eastAsia="zh-CN"/>
                    </w:rPr>
                    <w:t>24</w:t>
                  </w:r>
                </w:p>
              </w:tc>
              <w:tc>
                <w:tcPr>
                  <w:tcW w:w="807" w:type="dxa"/>
                  <w:shd w:val="clear" w:color="auto" w:fill="auto"/>
                  <w:vAlign w:val="center"/>
                </w:tcPr>
                <w:p w14:paraId="4F0981CE">
                  <w:pPr>
                    <w:jc w:val="center"/>
                    <w:rPr>
                      <w:rFonts w:hint="default" w:eastAsia="宋体"/>
                      <w:color w:val="auto"/>
                      <w:lang w:val="en-US" w:eastAsia="zh-CN"/>
                    </w:rPr>
                  </w:pPr>
                  <w:r>
                    <w:rPr>
                      <w:rFonts w:hint="eastAsia"/>
                      <w:color w:val="auto"/>
                    </w:rPr>
                    <w:t>0.0</w:t>
                  </w:r>
                  <w:r>
                    <w:rPr>
                      <w:rFonts w:hint="eastAsia"/>
                      <w:color w:val="auto"/>
                      <w:lang w:val="en-US" w:eastAsia="zh-CN"/>
                    </w:rPr>
                    <w:t>48</w:t>
                  </w:r>
                </w:p>
              </w:tc>
            </w:tr>
          </w:tbl>
          <w:p w14:paraId="1AA46C25">
            <w:pPr>
              <w:adjustRightInd w:val="0"/>
              <w:snapToGrid w:val="0"/>
              <w:spacing w:line="500" w:lineRule="exact"/>
              <w:ind w:firstLine="480" w:firstLineChars="200"/>
              <w:rPr>
                <w:color w:val="auto"/>
                <w:kern w:val="0"/>
                <w:sz w:val="24"/>
                <w:szCs w:val="20"/>
              </w:rPr>
            </w:pPr>
            <w:r>
              <w:rPr>
                <w:rFonts w:hint="eastAsia"/>
                <w:color w:val="auto"/>
                <w:kern w:val="0"/>
                <w:sz w:val="24"/>
                <w:szCs w:val="20"/>
              </w:rPr>
              <w:t>项目2个油剂储罐大呼吸废气产生量为0.0</w:t>
            </w:r>
            <w:r>
              <w:rPr>
                <w:rFonts w:hint="eastAsia"/>
                <w:color w:val="auto"/>
                <w:kern w:val="0"/>
                <w:sz w:val="24"/>
                <w:szCs w:val="20"/>
                <w:lang w:val="en-US" w:eastAsia="zh-CN"/>
              </w:rPr>
              <w:t>48t</w:t>
            </w:r>
            <w:r>
              <w:rPr>
                <w:rFonts w:hint="eastAsia"/>
                <w:color w:val="auto"/>
                <w:kern w:val="0"/>
                <w:sz w:val="24"/>
                <w:szCs w:val="20"/>
              </w:rPr>
              <w:t>/a。</w:t>
            </w:r>
          </w:p>
          <w:p w14:paraId="312373FD">
            <w:pPr>
              <w:adjustRightInd w:val="0"/>
              <w:snapToGrid w:val="0"/>
              <w:spacing w:line="500" w:lineRule="exact"/>
              <w:ind w:firstLine="480" w:firstLineChars="200"/>
              <w:rPr>
                <w:color w:val="0000FF"/>
                <w:kern w:val="0"/>
                <w:sz w:val="24"/>
                <w:szCs w:val="20"/>
              </w:rPr>
            </w:pPr>
            <w:r>
              <w:rPr>
                <w:rFonts w:hint="eastAsia"/>
                <w:color w:val="0000FF"/>
                <w:kern w:val="0"/>
                <w:sz w:val="24"/>
                <w:szCs w:val="20"/>
              </w:rPr>
              <w:t>综上</w:t>
            </w:r>
            <w:r>
              <w:rPr>
                <w:color w:val="0000FF"/>
                <w:kern w:val="0"/>
                <w:sz w:val="24"/>
                <w:szCs w:val="20"/>
              </w:rPr>
              <w:t>，项目储罐大小呼吸废气</w:t>
            </w:r>
            <w:r>
              <w:rPr>
                <w:rFonts w:hint="eastAsia"/>
                <w:color w:val="0000FF"/>
                <w:kern w:val="0"/>
                <w:sz w:val="24"/>
                <w:szCs w:val="20"/>
              </w:rPr>
              <w:t>排放量为</w:t>
            </w:r>
            <w:r>
              <w:rPr>
                <w:rFonts w:hint="eastAsia"/>
                <w:color w:val="0000FF"/>
                <w:kern w:val="0"/>
                <w:sz w:val="24"/>
                <w:szCs w:val="20"/>
                <w:lang w:val="en-US" w:eastAsia="zh-CN"/>
              </w:rPr>
              <w:t>0.049</w:t>
            </w:r>
            <w:r>
              <w:rPr>
                <w:color w:val="0000FF"/>
                <w:kern w:val="0"/>
                <w:sz w:val="24"/>
                <w:szCs w:val="20"/>
              </w:rPr>
              <w:t>t/a，以无组织形式排放</w:t>
            </w:r>
            <w:r>
              <w:rPr>
                <w:rFonts w:hint="eastAsia"/>
                <w:color w:val="0000FF"/>
                <w:kern w:val="0"/>
                <w:sz w:val="24"/>
                <w:szCs w:val="20"/>
                <w:lang w:eastAsia="zh-CN"/>
              </w:rPr>
              <w:t>，</w:t>
            </w:r>
            <w:r>
              <w:rPr>
                <w:rFonts w:hint="eastAsia"/>
                <w:color w:val="0000FF"/>
                <w:kern w:val="0"/>
                <w:sz w:val="24"/>
                <w:szCs w:val="20"/>
                <w:lang w:val="en-US" w:eastAsia="zh-CN"/>
              </w:rPr>
              <w:t>无</w:t>
            </w:r>
            <w:r>
              <w:rPr>
                <w:rFonts w:hint="eastAsia"/>
                <w:color w:val="0000FF"/>
                <w:kern w:val="0"/>
                <w:sz w:val="24"/>
                <w:szCs w:val="20"/>
                <w:lang w:eastAsia="zh-CN"/>
              </w:rPr>
              <w:t>组织非甲烷总烃分别执行《大气污染物综合排放标准》（DB32/4041-2021）表2中标准限值（</w:t>
            </w:r>
            <w:r>
              <w:rPr>
                <w:rFonts w:hint="eastAsia"/>
                <w:color w:val="0000FF"/>
                <w:kern w:val="0"/>
                <w:sz w:val="24"/>
                <w:szCs w:val="20"/>
                <w:lang w:val="en-US" w:eastAsia="zh-CN"/>
              </w:rPr>
              <w:t>4.0mg/m</w:t>
            </w:r>
            <w:r>
              <w:rPr>
                <w:rFonts w:hint="eastAsia"/>
                <w:color w:val="0000FF"/>
                <w:kern w:val="0"/>
                <w:sz w:val="24"/>
                <w:szCs w:val="20"/>
                <w:vertAlign w:val="superscript"/>
                <w:lang w:val="en-US" w:eastAsia="zh-CN"/>
              </w:rPr>
              <w:t>3</w:t>
            </w:r>
            <w:r>
              <w:rPr>
                <w:rFonts w:hint="eastAsia"/>
                <w:color w:val="0000FF"/>
                <w:kern w:val="0"/>
                <w:sz w:val="24"/>
                <w:szCs w:val="20"/>
                <w:lang w:eastAsia="zh-CN"/>
              </w:rPr>
              <w:t>）</w:t>
            </w:r>
            <w:r>
              <w:rPr>
                <w:color w:val="0000FF"/>
                <w:kern w:val="0"/>
                <w:sz w:val="24"/>
                <w:szCs w:val="20"/>
              </w:rPr>
              <w:t>。</w:t>
            </w:r>
          </w:p>
          <w:p w14:paraId="2A0DA24A">
            <w:pPr>
              <w:keepNext w:val="0"/>
              <w:keepLines w:val="0"/>
              <w:widowControl w:val="0"/>
              <w:suppressLineNumbers w:val="0"/>
              <w:adjustRightInd w:val="0"/>
              <w:snapToGrid w:val="0"/>
              <w:spacing w:before="0" w:beforeAutospacing="0" w:after="0" w:afterAutospacing="0" w:line="500" w:lineRule="exact"/>
              <w:ind w:left="0" w:leftChars="0" w:right="0" w:firstLine="480" w:firstLineChars="200"/>
              <w:jc w:val="both"/>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8、污水处理站恶臭</w:t>
            </w:r>
          </w:p>
          <w:p w14:paraId="6EF41FCB">
            <w:pPr>
              <w:keepNext w:val="0"/>
              <w:keepLines w:val="0"/>
              <w:widowControl w:val="0"/>
              <w:suppressLineNumbers w:val="0"/>
              <w:adjustRightInd w:val="0"/>
              <w:snapToGrid w:val="0"/>
              <w:spacing w:before="0" w:beforeAutospacing="0" w:after="0" w:afterAutospacing="0" w:line="500" w:lineRule="exact"/>
              <w:ind w:left="0" w:leftChars="0" w:right="0" w:firstLine="480" w:firstLineChars="200"/>
              <w:jc w:val="both"/>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项目污水处理</w:t>
            </w:r>
            <w:r>
              <w:rPr>
                <w:rFonts w:hint="eastAsia" w:cs="Times New Roman"/>
                <w:color w:val="auto"/>
                <w:kern w:val="0"/>
                <w:sz w:val="24"/>
                <w:szCs w:val="20"/>
                <w:lang w:val="en-US" w:eastAsia="zh-CN" w:bidi="ar-SA"/>
              </w:rPr>
              <w:t>站</w:t>
            </w:r>
            <w:r>
              <w:rPr>
                <w:rFonts w:hint="eastAsia" w:ascii="Times New Roman" w:hAnsi="Times New Roman" w:eastAsia="宋体" w:cs="Times New Roman"/>
                <w:color w:val="auto"/>
                <w:kern w:val="0"/>
                <w:sz w:val="24"/>
                <w:szCs w:val="20"/>
                <w:lang w:val="en-US" w:eastAsia="zh-CN" w:bidi="ar-SA"/>
              </w:rPr>
              <w:t>污水设计处理能力为</w:t>
            </w:r>
            <w:r>
              <w:rPr>
                <w:rFonts w:hint="eastAsia" w:cs="Times New Roman"/>
                <w:color w:val="auto"/>
                <w:kern w:val="0"/>
                <w:sz w:val="24"/>
                <w:szCs w:val="20"/>
                <w:lang w:val="en-US" w:eastAsia="zh-CN" w:bidi="ar-SA"/>
              </w:rPr>
              <w:t>100</w:t>
            </w:r>
            <w:r>
              <w:rPr>
                <w:rFonts w:hint="eastAsia" w:ascii="Times New Roman" w:hAnsi="Times New Roman" w:eastAsia="宋体" w:cs="Times New Roman"/>
                <w:color w:val="auto"/>
                <w:kern w:val="0"/>
                <w:sz w:val="24"/>
                <w:szCs w:val="20"/>
                <w:lang w:val="en-US" w:eastAsia="zh-CN" w:bidi="ar-SA"/>
              </w:rPr>
              <w:t>m</w:t>
            </w:r>
            <w:r>
              <w:rPr>
                <w:rFonts w:hint="eastAsia" w:ascii="Times New Roman" w:hAnsi="Times New Roman" w:eastAsia="宋体" w:cs="Times New Roman"/>
                <w:color w:val="auto"/>
                <w:kern w:val="0"/>
                <w:sz w:val="24"/>
                <w:szCs w:val="20"/>
                <w:vertAlign w:val="superscript"/>
                <w:lang w:val="en-US" w:eastAsia="zh-CN" w:bidi="ar-SA"/>
              </w:rPr>
              <w:t>3</w:t>
            </w:r>
            <w:r>
              <w:rPr>
                <w:rFonts w:hint="eastAsia" w:ascii="Times New Roman" w:hAnsi="Times New Roman" w:eastAsia="宋体" w:cs="Times New Roman"/>
                <w:color w:val="auto"/>
                <w:kern w:val="0"/>
                <w:sz w:val="24"/>
                <w:szCs w:val="20"/>
                <w:lang w:val="en-US" w:eastAsia="zh-CN" w:bidi="ar-SA"/>
              </w:rPr>
              <w:t>/d，采用“</w:t>
            </w:r>
            <w:r>
              <w:rPr>
                <w:rFonts w:hint="eastAsia" w:cs="Times New Roman"/>
                <w:color w:val="auto"/>
                <w:kern w:val="0"/>
                <w:sz w:val="24"/>
                <w:szCs w:val="20"/>
                <w:lang w:val="en-US" w:eastAsia="zh-CN" w:bidi="ar-SA"/>
              </w:rPr>
              <w:t>隔油池+调节池+气浮+水解+UASB+兼氧池+SBR</w:t>
            </w:r>
            <w:r>
              <w:rPr>
                <w:rFonts w:hint="eastAsia" w:ascii="Times New Roman" w:hAnsi="Times New Roman" w:eastAsia="宋体" w:cs="Times New Roman"/>
                <w:color w:val="auto"/>
                <w:kern w:val="0"/>
                <w:sz w:val="24"/>
                <w:szCs w:val="20"/>
                <w:lang w:val="en-US" w:eastAsia="zh-CN" w:bidi="ar-SA"/>
              </w:rPr>
              <w:t>”工艺。污水处理厂的恶臭来源于污水、污泥中有机物的分解、发酵过程中散发的化学物质，主要种类有：臭气、硫化物、氨、硫醇、甲基硫、粪臭素、酪酸、丙酸等。</w:t>
            </w:r>
          </w:p>
          <w:p w14:paraId="6F47F062">
            <w:pPr>
              <w:keepNext w:val="0"/>
              <w:keepLines w:val="0"/>
              <w:widowControl w:val="0"/>
              <w:suppressLineNumbers w:val="0"/>
              <w:adjustRightInd w:val="0"/>
              <w:snapToGrid w:val="0"/>
              <w:spacing w:before="0" w:beforeAutospacing="0" w:after="0" w:afterAutospacing="0" w:line="500" w:lineRule="exact"/>
              <w:ind w:left="0" w:leftChars="0" w:right="0" w:firstLine="480" w:firstLineChars="200"/>
              <w:jc w:val="both"/>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本次环评采用资料调查、类比分析的方法确定恶臭污染源强，恶臭污染因子以NH</w:t>
            </w:r>
            <w:r>
              <w:rPr>
                <w:rFonts w:hint="eastAsia" w:ascii="Times New Roman" w:hAnsi="Times New Roman" w:eastAsia="宋体" w:cs="Times New Roman"/>
                <w:color w:val="auto"/>
                <w:kern w:val="0"/>
                <w:sz w:val="24"/>
                <w:szCs w:val="20"/>
                <w:vertAlign w:val="subscript"/>
                <w:lang w:val="en-US" w:eastAsia="zh-CN" w:bidi="ar-SA"/>
              </w:rPr>
              <w:t>3</w:t>
            </w:r>
            <w:r>
              <w:rPr>
                <w:rFonts w:hint="eastAsia" w:ascii="Times New Roman" w:hAnsi="Times New Roman" w:eastAsia="宋体" w:cs="Times New Roman"/>
                <w:color w:val="auto"/>
                <w:kern w:val="0"/>
                <w:sz w:val="24"/>
                <w:szCs w:val="20"/>
                <w:lang w:val="en-US" w:eastAsia="zh-CN" w:bidi="ar-SA"/>
              </w:rPr>
              <w:t>和H</w:t>
            </w:r>
            <w:r>
              <w:rPr>
                <w:rFonts w:hint="eastAsia" w:ascii="Times New Roman" w:hAnsi="Times New Roman" w:eastAsia="宋体" w:cs="Times New Roman"/>
                <w:color w:val="auto"/>
                <w:kern w:val="0"/>
                <w:sz w:val="24"/>
                <w:szCs w:val="20"/>
                <w:vertAlign w:val="subscript"/>
                <w:lang w:val="en-US" w:eastAsia="zh-CN" w:bidi="ar-SA"/>
              </w:rPr>
              <w:t>2</w:t>
            </w:r>
            <w:r>
              <w:rPr>
                <w:rFonts w:hint="eastAsia" w:ascii="Times New Roman" w:hAnsi="Times New Roman" w:eastAsia="宋体" w:cs="Times New Roman"/>
                <w:color w:val="auto"/>
                <w:kern w:val="0"/>
                <w:sz w:val="24"/>
                <w:szCs w:val="20"/>
                <w:lang w:val="en-US" w:eastAsia="zh-CN" w:bidi="ar-SA"/>
              </w:rPr>
              <w:t>S作为评价因子。</w:t>
            </w:r>
            <w:r>
              <w:rPr>
                <w:rFonts w:hint="eastAsia" w:cs="Times New Roman"/>
                <w:color w:val="auto"/>
                <w:kern w:val="0"/>
                <w:sz w:val="24"/>
                <w:szCs w:val="20"/>
                <w:lang w:val="en-US" w:eastAsia="zh-CN" w:bidi="ar-SA"/>
              </w:rPr>
              <w:t>本项目类比益海嘉里（密山）粮油综合加工项目，项目产品与本项目相同，污水处理站工艺优于类比项目，因此本项目类比可行</w:t>
            </w:r>
            <w:r>
              <w:rPr>
                <w:rFonts w:hint="eastAsia" w:ascii="Times New Roman" w:hAnsi="Times New Roman" w:eastAsia="宋体" w:cs="Times New Roman"/>
                <w:color w:val="auto"/>
                <w:kern w:val="0"/>
                <w:sz w:val="24"/>
                <w:szCs w:val="20"/>
                <w:lang w:val="en-US" w:eastAsia="zh-CN" w:bidi="ar-SA"/>
              </w:rPr>
              <w:t>。</w:t>
            </w:r>
          </w:p>
          <w:p w14:paraId="2C6CC519">
            <w:pPr>
              <w:keepNext w:val="0"/>
              <w:keepLines w:val="0"/>
              <w:widowControl w:val="0"/>
              <w:suppressLineNumbers w:val="0"/>
              <w:adjustRightInd w:val="0"/>
              <w:snapToGrid w:val="0"/>
              <w:spacing w:before="0" w:beforeAutospacing="0" w:after="0" w:afterAutospacing="0" w:line="500" w:lineRule="exact"/>
              <w:ind w:left="0" w:leftChars="0" w:right="0" w:firstLine="480" w:firstLineChars="200"/>
              <w:jc w:val="both"/>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恶臭污染源强见下表。</w:t>
            </w:r>
          </w:p>
          <w:p w14:paraId="32CD21FD">
            <w:pPr>
              <w:keepNext w:val="0"/>
              <w:keepLines w:val="0"/>
              <w:suppressLineNumbers w:val="0"/>
              <w:autoSpaceDE w:val="0"/>
              <w:autoSpaceDN w:val="0"/>
              <w:adjustRightInd w:val="0"/>
              <w:spacing w:before="0" w:beforeAutospacing="0" w:after="0" w:afterAutospacing="0" w:line="500" w:lineRule="exact"/>
              <w:ind w:left="0" w:right="0"/>
              <w:jc w:val="center"/>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表4-</w:t>
            </w:r>
            <w:r>
              <w:rPr>
                <w:rFonts w:hint="eastAsia" w:cs="Times New Roman"/>
                <w:color w:val="auto"/>
                <w:kern w:val="0"/>
                <w:sz w:val="24"/>
                <w:lang w:val="en-US" w:eastAsia="zh-CN"/>
              </w:rPr>
              <w:t>3</w:t>
            </w:r>
            <w:r>
              <w:rPr>
                <w:rFonts w:hint="eastAsia" w:ascii="Times New Roman" w:hAnsi="Times New Roman" w:eastAsia="宋体" w:cs="Times New Roman"/>
                <w:color w:val="auto"/>
                <w:kern w:val="0"/>
                <w:sz w:val="24"/>
                <w:lang w:val="en-US" w:eastAsia="zh-CN"/>
              </w:rPr>
              <w:t xml:space="preserve"> 恶臭气体污染物排放源强          单位：（kg/h）</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21"/>
              <w:gridCol w:w="2265"/>
              <w:gridCol w:w="1294"/>
              <w:gridCol w:w="1295"/>
            </w:tblGrid>
            <w:tr w14:paraId="00EF5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454" w:hRule="atLeast"/>
                <w:jc w:val="center"/>
              </w:trPr>
              <w:tc>
                <w:tcPr>
                  <w:tcW w:w="3782" w:type="dxa"/>
                  <w:noWrap w:val="0"/>
                  <w:vAlign w:val="center"/>
                </w:tcPr>
                <w:p w14:paraId="6F31924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调查资料</w:t>
                  </w:r>
                </w:p>
              </w:tc>
              <w:tc>
                <w:tcPr>
                  <w:tcW w:w="2130" w:type="dxa"/>
                  <w:noWrap w:val="0"/>
                  <w:vAlign w:val="center"/>
                </w:tcPr>
                <w:p w14:paraId="7494424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场所</w:t>
                  </w:r>
                </w:p>
              </w:tc>
              <w:tc>
                <w:tcPr>
                  <w:tcW w:w="1217" w:type="dxa"/>
                  <w:noWrap w:val="0"/>
                  <w:vAlign w:val="center"/>
                </w:tcPr>
                <w:p w14:paraId="6CE106D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H</w:t>
                  </w:r>
                  <w:r>
                    <w:rPr>
                      <w:rFonts w:hint="eastAsia" w:ascii="Times New Roman" w:hAnsi="Times New Roman" w:eastAsia="宋体" w:cs="Times New Roman"/>
                      <w:color w:val="auto"/>
                      <w:vertAlign w:val="subscript"/>
                      <w:lang w:val="en-US" w:eastAsia="zh-CN"/>
                    </w:rPr>
                    <w:t>2</w:t>
                  </w:r>
                  <w:r>
                    <w:rPr>
                      <w:rFonts w:hint="eastAsia" w:ascii="Times New Roman" w:hAnsi="Times New Roman" w:eastAsia="宋体" w:cs="Times New Roman"/>
                      <w:color w:val="auto"/>
                      <w:lang w:val="en-US" w:eastAsia="zh-CN"/>
                    </w:rPr>
                    <w:t>S</w:t>
                  </w:r>
                </w:p>
              </w:tc>
              <w:tc>
                <w:tcPr>
                  <w:tcW w:w="1218" w:type="dxa"/>
                  <w:noWrap w:val="0"/>
                  <w:vAlign w:val="center"/>
                </w:tcPr>
                <w:p w14:paraId="3B61F45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NH</w:t>
                  </w:r>
                  <w:r>
                    <w:rPr>
                      <w:rFonts w:hint="eastAsia" w:ascii="Times New Roman" w:hAnsi="Times New Roman" w:eastAsia="宋体" w:cs="Times New Roman"/>
                      <w:color w:val="auto"/>
                      <w:vertAlign w:val="subscript"/>
                      <w:lang w:val="en-US" w:eastAsia="zh-CN"/>
                    </w:rPr>
                    <w:t>3</w:t>
                  </w:r>
                </w:p>
              </w:tc>
            </w:tr>
            <w:tr w14:paraId="605D5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82" w:type="dxa"/>
                  <w:noWrap w:val="0"/>
                  <w:vAlign w:val="center"/>
                </w:tcPr>
                <w:p w14:paraId="11F3CADC">
                  <w:pPr>
                    <w:keepNext w:val="0"/>
                    <w:keepLines w:val="0"/>
                    <w:suppressLineNumbers w:val="0"/>
                    <w:spacing w:before="0" w:beforeAutospacing="0" w:after="0" w:afterAutospacing="0"/>
                    <w:ind w:left="0" w:right="0"/>
                    <w:jc w:val="right"/>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益海嘉里（密山）粮油综合加工项目，规模300m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/d，气浮+SBR反应池工艺，</w:t>
                  </w:r>
                </w:p>
              </w:tc>
              <w:tc>
                <w:tcPr>
                  <w:tcW w:w="2130" w:type="dxa"/>
                  <w:noWrap w:val="0"/>
                  <w:vAlign w:val="center"/>
                </w:tcPr>
                <w:p w14:paraId="61DDC07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进水泵房、格栅间、污泥浓缩池</w:t>
                  </w:r>
                </w:p>
              </w:tc>
              <w:tc>
                <w:tcPr>
                  <w:tcW w:w="1217" w:type="dxa"/>
                  <w:noWrap w:val="0"/>
                  <w:vAlign w:val="center"/>
                </w:tcPr>
                <w:p w14:paraId="34E24F8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0.0028</w:t>
                  </w:r>
                </w:p>
              </w:tc>
              <w:tc>
                <w:tcPr>
                  <w:tcW w:w="1218" w:type="dxa"/>
                  <w:noWrap w:val="0"/>
                  <w:vAlign w:val="center"/>
                </w:tcPr>
                <w:p w14:paraId="2DAF544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0.007</w:t>
                  </w:r>
                </w:p>
              </w:tc>
            </w:tr>
          </w:tbl>
          <w:p w14:paraId="69861A54">
            <w:pPr>
              <w:keepNext w:val="0"/>
              <w:keepLines w:val="0"/>
              <w:widowControl w:val="0"/>
              <w:suppressLineNumbers w:val="0"/>
              <w:adjustRightInd w:val="0"/>
              <w:snapToGrid w:val="0"/>
              <w:spacing w:before="0" w:beforeAutospacing="0" w:after="0" w:afterAutospacing="0" w:line="500" w:lineRule="exact"/>
              <w:ind w:left="0" w:leftChars="0" w:right="0" w:firstLine="480" w:firstLineChars="200"/>
              <w:jc w:val="both"/>
              <w:rPr>
                <w:rFonts w:hint="default"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根据类比污水</w:t>
            </w:r>
            <w:r>
              <w:rPr>
                <w:rFonts w:hint="eastAsia" w:cs="Times New Roman"/>
                <w:color w:val="auto"/>
                <w:kern w:val="0"/>
                <w:sz w:val="24"/>
                <w:szCs w:val="20"/>
                <w:lang w:val="en-US" w:eastAsia="zh-CN" w:bidi="ar-SA"/>
              </w:rPr>
              <w:t>站</w:t>
            </w:r>
            <w:r>
              <w:rPr>
                <w:rFonts w:hint="eastAsia" w:ascii="Times New Roman" w:hAnsi="Times New Roman" w:eastAsia="宋体" w:cs="Times New Roman"/>
                <w:color w:val="auto"/>
                <w:kern w:val="0"/>
                <w:sz w:val="24"/>
                <w:szCs w:val="20"/>
                <w:lang w:val="en-US" w:eastAsia="zh-CN" w:bidi="ar-SA"/>
              </w:rPr>
              <w:t>处理能力，按最不利条件考虑，可以计算得恶臭污染物的产生源强为：NH</w:t>
            </w:r>
            <w:r>
              <w:rPr>
                <w:rFonts w:hint="eastAsia" w:ascii="Times New Roman" w:hAnsi="Times New Roman" w:eastAsia="宋体" w:cs="Times New Roman"/>
                <w:color w:val="auto"/>
                <w:kern w:val="0"/>
                <w:sz w:val="24"/>
                <w:szCs w:val="20"/>
                <w:vertAlign w:val="subscript"/>
                <w:lang w:val="en-US" w:eastAsia="zh-CN" w:bidi="ar-SA"/>
              </w:rPr>
              <w:t>3</w:t>
            </w:r>
            <w:r>
              <w:rPr>
                <w:rFonts w:hint="eastAsia" w:ascii="Times New Roman" w:hAnsi="Times New Roman" w:eastAsia="宋体" w:cs="Times New Roman"/>
                <w:color w:val="auto"/>
                <w:kern w:val="0"/>
                <w:sz w:val="24"/>
                <w:szCs w:val="20"/>
                <w:lang w:val="en-US" w:eastAsia="zh-CN" w:bidi="ar-SA"/>
              </w:rPr>
              <w:t>≤0.00</w:t>
            </w:r>
            <w:r>
              <w:rPr>
                <w:rFonts w:hint="eastAsia" w:cs="Times New Roman"/>
                <w:color w:val="auto"/>
                <w:kern w:val="0"/>
                <w:sz w:val="24"/>
                <w:szCs w:val="20"/>
                <w:lang w:val="en-US" w:eastAsia="zh-CN" w:bidi="ar-SA"/>
              </w:rPr>
              <w:t>233</w:t>
            </w:r>
            <w:r>
              <w:rPr>
                <w:rFonts w:hint="eastAsia" w:ascii="Times New Roman" w:hAnsi="Times New Roman" w:eastAsia="宋体" w:cs="Times New Roman"/>
                <w:color w:val="auto"/>
                <w:kern w:val="0"/>
                <w:sz w:val="24"/>
                <w:szCs w:val="20"/>
                <w:lang w:val="en-US" w:eastAsia="zh-CN" w:bidi="ar-SA"/>
              </w:rPr>
              <w:t>kg/h、H</w:t>
            </w:r>
            <w:r>
              <w:rPr>
                <w:rFonts w:hint="eastAsia" w:ascii="Times New Roman" w:hAnsi="Times New Roman" w:eastAsia="宋体" w:cs="Times New Roman"/>
                <w:color w:val="auto"/>
                <w:kern w:val="0"/>
                <w:sz w:val="24"/>
                <w:szCs w:val="20"/>
                <w:vertAlign w:val="subscript"/>
                <w:lang w:val="en-US" w:eastAsia="zh-CN" w:bidi="ar-SA"/>
              </w:rPr>
              <w:t>2</w:t>
            </w:r>
            <w:r>
              <w:rPr>
                <w:rFonts w:hint="eastAsia" w:ascii="Times New Roman" w:hAnsi="Times New Roman" w:eastAsia="宋体" w:cs="Times New Roman"/>
                <w:color w:val="auto"/>
                <w:kern w:val="0"/>
                <w:sz w:val="24"/>
                <w:szCs w:val="20"/>
                <w:lang w:val="en-US" w:eastAsia="zh-CN" w:bidi="ar-SA"/>
              </w:rPr>
              <w:t>S≤0.000</w:t>
            </w:r>
            <w:r>
              <w:rPr>
                <w:rFonts w:hint="eastAsia" w:cs="Times New Roman"/>
                <w:color w:val="auto"/>
                <w:kern w:val="0"/>
                <w:sz w:val="24"/>
                <w:szCs w:val="20"/>
                <w:lang w:val="en-US" w:eastAsia="zh-CN" w:bidi="ar-SA"/>
              </w:rPr>
              <w:t>93</w:t>
            </w:r>
            <w:r>
              <w:rPr>
                <w:rFonts w:hint="eastAsia" w:ascii="Times New Roman" w:hAnsi="Times New Roman" w:eastAsia="宋体" w:cs="Times New Roman"/>
                <w:color w:val="auto"/>
                <w:kern w:val="0"/>
                <w:sz w:val="24"/>
                <w:szCs w:val="20"/>
                <w:lang w:val="en-US" w:eastAsia="zh-CN" w:bidi="ar-SA"/>
              </w:rPr>
              <w:t>kg/h。项目污水处理站采用埋地式，站内空气经风机作用形成负压，逸散的恶臭气体经集气罩负压集气引至活性炭吸附装置进行处理，处理后经楼顶排气筒（</w:t>
            </w:r>
            <w:r>
              <w:rPr>
                <w:rFonts w:hint="eastAsia"/>
                <w:color w:val="auto"/>
                <w:sz w:val="24"/>
                <w:lang w:val="en-US" w:eastAsia="zh-CN"/>
              </w:rPr>
              <w:t>DA00</w:t>
            </w:r>
            <w:r>
              <w:rPr>
                <w:rFonts w:hint="eastAsia" w:ascii="Times New Roman" w:hAnsi="Times New Roman" w:eastAsia="宋体" w:cs="Times New Roman"/>
                <w:color w:val="auto"/>
                <w:kern w:val="0"/>
                <w:sz w:val="24"/>
                <w:szCs w:val="20"/>
                <w:lang w:val="en-US" w:eastAsia="zh-CN" w:bidi="ar-SA"/>
              </w:rPr>
              <w:t>4）排放，排气筒距地面为15m。本项目恶臭气体无组织逸散量较小，故集气效率按</w:t>
            </w:r>
            <w:r>
              <w:rPr>
                <w:rFonts w:hint="eastAsia" w:cs="Times New Roman"/>
                <w:color w:val="auto"/>
                <w:kern w:val="0"/>
                <w:sz w:val="24"/>
                <w:szCs w:val="20"/>
                <w:lang w:val="en-US" w:eastAsia="zh-CN" w:bidi="ar-SA"/>
              </w:rPr>
              <w:t>90</w:t>
            </w:r>
            <w:r>
              <w:rPr>
                <w:rFonts w:hint="eastAsia" w:ascii="Times New Roman" w:hAnsi="Times New Roman" w:eastAsia="宋体" w:cs="Times New Roman"/>
                <w:color w:val="auto"/>
                <w:kern w:val="0"/>
                <w:sz w:val="24"/>
                <w:szCs w:val="20"/>
                <w:lang w:val="en-US" w:eastAsia="zh-CN" w:bidi="ar-SA"/>
              </w:rPr>
              <w:t>%计、活性炭吸附效率按90%计。则</w:t>
            </w:r>
            <w:r>
              <w:rPr>
                <w:rFonts w:hint="eastAsia" w:cs="Times New Roman"/>
                <w:color w:val="auto"/>
                <w:kern w:val="0"/>
                <w:sz w:val="24"/>
                <w:szCs w:val="20"/>
                <w:lang w:val="en-US" w:eastAsia="zh-CN" w:bidi="ar-SA"/>
              </w:rPr>
              <w:t>有</w:t>
            </w:r>
            <w:r>
              <w:rPr>
                <w:rFonts w:hint="eastAsia" w:ascii="Times New Roman" w:hAnsi="Times New Roman" w:eastAsia="宋体" w:cs="Times New Roman"/>
                <w:color w:val="auto"/>
                <w:kern w:val="0"/>
                <w:sz w:val="24"/>
                <w:szCs w:val="20"/>
                <w:lang w:val="en-US" w:eastAsia="zh-CN" w:bidi="ar-SA"/>
              </w:rPr>
              <w:t>组织NH</w:t>
            </w:r>
            <w:r>
              <w:rPr>
                <w:rFonts w:hint="eastAsia" w:ascii="Times New Roman" w:hAnsi="Times New Roman" w:eastAsia="宋体" w:cs="Times New Roman"/>
                <w:color w:val="auto"/>
                <w:kern w:val="0"/>
                <w:sz w:val="24"/>
                <w:szCs w:val="20"/>
                <w:vertAlign w:val="subscript"/>
                <w:lang w:val="en-US" w:eastAsia="zh-CN" w:bidi="ar-SA"/>
              </w:rPr>
              <w:t>3</w:t>
            </w:r>
            <w:r>
              <w:rPr>
                <w:rFonts w:hint="eastAsia" w:ascii="Times New Roman" w:hAnsi="Times New Roman" w:eastAsia="宋体" w:cs="Times New Roman"/>
                <w:color w:val="auto"/>
                <w:kern w:val="0"/>
                <w:sz w:val="24"/>
                <w:szCs w:val="20"/>
                <w:lang w:val="en-US" w:eastAsia="zh-CN" w:bidi="ar-SA"/>
              </w:rPr>
              <w:t>排放量为</w:t>
            </w:r>
            <w:r>
              <w:rPr>
                <w:rFonts w:hint="eastAsia" w:cs="Times New Roman"/>
                <w:color w:val="auto"/>
                <w:kern w:val="0"/>
                <w:sz w:val="24"/>
                <w:szCs w:val="20"/>
                <w:lang w:val="en-US" w:eastAsia="zh-CN" w:bidi="ar-SA"/>
              </w:rPr>
              <w:t>0.063</w:t>
            </w:r>
            <w:r>
              <w:rPr>
                <w:rFonts w:hint="eastAsia" w:ascii="Times New Roman" w:hAnsi="Times New Roman" w:eastAsia="宋体" w:cs="Times New Roman"/>
                <w:color w:val="auto"/>
                <w:kern w:val="0"/>
                <w:sz w:val="24"/>
                <w:szCs w:val="20"/>
                <w:lang w:val="en-US" w:eastAsia="zh-CN" w:bidi="ar-SA"/>
              </w:rPr>
              <w:t>kg/a，</w:t>
            </w:r>
            <w:r>
              <w:rPr>
                <w:rFonts w:hint="eastAsia" w:cs="Times New Roman"/>
                <w:color w:val="auto"/>
                <w:kern w:val="0"/>
                <w:sz w:val="24"/>
                <w:szCs w:val="20"/>
                <w:lang w:val="en-US" w:eastAsia="zh-CN" w:bidi="ar-SA"/>
              </w:rPr>
              <w:t>有</w:t>
            </w:r>
            <w:r>
              <w:rPr>
                <w:rFonts w:hint="eastAsia" w:ascii="Times New Roman" w:hAnsi="Times New Roman" w:eastAsia="宋体" w:cs="Times New Roman"/>
                <w:color w:val="auto"/>
                <w:kern w:val="0"/>
                <w:sz w:val="24"/>
                <w:szCs w:val="20"/>
                <w:lang w:val="en-US" w:eastAsia="zh-CN" w:bidi="ar-SA"/>
              </w:rPr>
              <w:t>组织H</w:t>
            </w:r>
            <w:r>
              <w:rPr>
                <w:rFonts w:hint="eastAsia" w:ascii="Times New Roman" w:hAnsi="Times New Roman" w:eastAsia="宋体" w:cs="Times New Roman"/>
                <w:color w:val="auto"/>
                <w:kern w:val="0"/>
                <w:sz w:val="24"/>
                <w:szCs w:val="20"/>
                <w:vertAlign w:val="subscript"/>
                <w:lang w:val="en-US" w:eastAsia="zh-CN" w:bidi="ar-SA"/>
              </w:rPr>
              <w:t>2</w:t>
            </w:r>
            <w:r>
              <w:rPr>
                <w:rFonts w:hint="eastAsia" w:ascii="Times New Roman" w:hAnsi="Times New Roman" w:eastAsia="宋体" w:cs="Times New Roman"/>
                <w:color w:val="auto"/>
                <w:kern w:val="0"/>
                <w:sz w:val="24"/>
                <w:szCs w:val="20"/>
                <w:lang w:val="en-US" w:eastAsia="zh-CN" w:bidi="ar-SA"/>
              </w:rPr>
              <w:t>S排放量为</w:t>
            </w:r>
            <w:r>
              <w:rPr>
                <w:rFonts w:hint="eastAsia" w:cs="Times New Roman"/>
                <w:color w:val="auto"/>
                <w:kern w:val="0"/>
                <w:sz w:val="24"/>
                <w:szCs w:val="20"/>
                <w:lang w:val="en-US" w:eastAsia="zh-CN" w:bidi="ar-SA"/>
              </w:rPr>
              <w:t>0.025</w:t>
            </w:r>
            <w:r>
              <w:rPr>
                <w:rFonts w:hint="eastAsia" w:ascii="Times New Roman" w:hAnsi="Times New Roman" w:eastAsia="宋体" w:cs="Times New Roman"/>
                <w:color w:val="auto"/>
                <w:kern w:val="0"/>
                <w:sz w:val="24"/>
                <w:szCs w:val="20"/>
                <w:lang w:val="en-US" w:eastAsia="zh-CN" w:bidi="ar-SA"/>
              </w:rPr>
              <w:t>kg/a；则无组织NH</w:t>
            </w:r>
            <w:r>
              <w:rPr>
                <w:rFonts w:hint="eastAsia" w:ascii="Times New Roman" w:hAnsi="Times New Roman" w:eastAsia="宋体" w:cs="Times New Roman"/>
                <w:color w:val="auto"/>
                <w:kern w:val="0"/>
                <w:sz w:val="24"/>
                <w:szCs w:val="20"/>
                <w:vertAlign w:val="subscript"/>
                <w:lang w:val="en-US" w:eastAsia="zh-CN" w:bidi="ar-SA"/>
              </w:rPr>
              <w:t>3</w:t>
            </w:r>
            <w:r>
              <w:rPr>
                <w:rFonts w:hint="eastAsia" w:ascii="Times New Roman" w:hAnsi="Times New Roman" w:eastAsia="宋体" w:cs="Times New Roman"/>
                <w:color w:val="auto"/>
                <w:kern w:val="0"/>
                <w:sz w:val="24"/>
                <w:szCs w:val="20"/>
                <w:lang w:val="en-US" w:eastAsia="zh-CN" w:bidi="ar-SA"/>
              </w:rPr>
              <w:t>排放量为</w:t>
            </w:r>
            <w:r>
              <w:rPr>
                <w:rFonts w:hint="eastAsia" w:cs="Times New Roman"/>
                <w:color w:val="auto"/>
                <w:kern w:val="0"/>
                <w:sz w:val="24"/>
                <w:szCs w:val="20"/>
                <w:lang w:val="en-US" w:eastAsia="zh-CN" w:bidi="ar-SA"/>
              </w:rPr>
              <w:t>0.0699</w:t>
            </w:r>
            <w:r>
              <w:rPr>
                <w:rFonts w:hint="eastAsia" w:ascii="Times New Roman" w:hAnsi="Times New Roman" w:eastAsia="宋体" w:cs="Times New Roman"/>
                <w:color w:val="auto"/>
                <w:kern w:val="0"/>
                <w:sz w:val="24"/>
                <w:szCs w:val="20"/>
                <w:lang w:val="en-US" w:eastAsia="zh-CN" w:bidi="ar-SA"/>
              </w:rPr>
              <w:t>kg/a，无组织H</w:t>
            </w:r>
            <w:r>
              <w:rPr>
                <w:rFonts w:hint="eastAsia" w:ascii="Times New Roman" w:hAnsi="Times New Roman" w:eastAsia="宋体" w:cs="Times New Roman"/>
                <w:color w:val="auto"/>
                <w:kern w:val="0"/>
                <w:sz w:val="24"/>
                <w:szCs w:val="20"/>
                <w:vertAlign w:val="subscript"/>
                <w:lang w:val="en-US" w:eastAsia="zh-CN" w:bidi="ar-SA"/>
              </w:rPr>
              <w:t>2</w:t>
            </w:r>
            <w:r>
              <w:rPr>
                <w:rFonts w:hint="eastAsia" w:ascii="Times New Roman" w:hAnsi="Times New Roman" w:eastAsia="宋体" w:cs="Times New Roman"/>
                <w:color w:val="auto"/>
                <w:kern w:val="0"/>
                <w:sz w:val="24"/>
                <w:szCs w:val="20"/>
                <w:lang w:val="en-US" w:eastAsia="zh-CN" w:bidi="ar-SA"/>
              </w:rPr>
              <w:t>S排放量为0.</w:t>
            </w:r>
            <w:r>
              <w:rPr>
                <w:rFonts w:hint="eastAsia" w:cs="Times New Roman"/>
                <w:color w:val="auto"/>
                <w:kern w:val="0"/>
                <w:sz w:val="24"/>
                <w:szCs w:val="20"/>
                <w:lang w:val="en-US" w:eastAsia="zh-CN" w:bidi="ar-SA"/>
              </w:rPr>
              <w:t>0279</w:t>
            </w:r>
            <w:r>
              <w:rPr>
                <w:rFonts w:hint="eastAsia" w:ascii="Times New Roman" w:hAnsi="Times New Roman" w:eastAsia="宋体" w:cs="Times New Roman"/>
                <w:color w:val="auto"/>
                <w:kern w:val="0"/>
                <w:sz w:val="24"/>
                <w:szCs w:val="20"/>
                <w:lang w:val="en-US" w:eastAsia="zh-CN" w:bidi="ar-SA"/>
              </w:rPr>
              <w:t>kg/a；</w:t>
            </w:r>
          </w:p>
          <w:p w14:paraId="1215A10E">
            <w:pPr>
              <w:pStyle w:val="12"/>
              <w:spacing w:after="0" w:line="360" w:lineRule="auto"/>
              <w:ind w:left="0" w:leftChars="0" w:firstLine="480" w:firstLineChars="200"/>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eastAsia="宋体" w:cs="Times New Roman"/>
                <w:color w:val="auto"/>
                <w:kern w:val="0"/>
                <w:sz w:val="24"/>
                <w:szCs w:val="20"/>
                <w:lang w:val="en-US" w:eastAsia="zh-CN" w:bidi="ar-SA"/>
              </w:rPr>
              <w:t>生产脱臭过程中会产生异味，由于产生量较少，随着大气扩散对环境影响较小。</w:t>
            </w:r>
          </w:p>
          <w:p w14:paraId="0E1EF19A">
            <w:pPr>
              <w:pStyle w:val="12"/>
              <w:spacing w:after="0" w:line="360" w:lineRule="auto"/>
              <w:ind w:left="0" w:leftChars="0" w:firstLine="480" w:firstLineChars="200"/>
              <w:rPr>
                <w:rFonts w:hint="default" w:ascii="Times New Roman" w:hAnsi="Times New Roman" w:eastAsia="宋体" w:cs="Times New Roman"/>
                <w:color w:val="0000FF"/>
                <w:kern w:val="0"/>
                <w:sz w:val="24"/>
                <w:szCs w:val="20"/>
                <w:lang w:val="en-US" w:eastAsia="zh-CN" w:bidi="ar-SA"/>
              </w:rPr>
            </w:pPr>
            <w:r>
              <w:rPr>
                <w:rFonts w:hint="eastAsia" w:cs="Times New Roman"/>
                <w:color w:val="0000FF"/>
                <w:kern w:val="0"/>
                <w:sz w:val="24"/>
                <w:szCs w:val="20"/>
                <w:lang w:val="en-US" w:eastAsia="zh-CN" w:bidi="ar-SA"/>
              </w:rPr>
              <w:t>本项目污水处理站废气经</w:t>
            </w:r>
            <w:r>
              <w:rPr>
                <w:rFonts w:hint="eastAsia" w:ascii="Times New Roman" w:hAnsi="Times New Roman" w:eastAsia="宋体" w:cs="Times New Roman"/>
                <w:color w:val="0000FF"/>
                <w:kern w:val="0"/>
                <w:sz w:val="24"/>
                <w:szCs w:val="20"/>
                <w:lang w:val="en-US" w:eastAsia="zh-CN" w:bidi="ar-SA"/>
              </w:rPr>
              <w:t>集气罩负压集气引至活性炭吸附装置进行处理，处理后经楼顶排气筒（</w:t>
            </w:r>
            <w:r>
              <w:rPr>
                <w:rFonts w:hint="eastAsia"/>
                <w:color w:val="0000FF"/>
                <w:sz w:val="24"/>
                <w:lang w:val="en-US" w:eastAsia="zh-CN"/>
              </w:rPr>
              <w:t>DA00</w:t>
            </w:r>
            <w:r>
              <w:rPr>
                <w:rFonts w:hint="eastAsia" w:cs="Times New Roman"/>
                <w:color w:val="0000FF"/>
                <w:kern w:val="0"/>
                <w:sz w:val="24"/>
                <w:szCs w:val="20"/>
                <w:lang w:val="en-US" w:eastAsia="zh-CN" w:bidi="ar-SA"/>
              </w:rPr>
              <w:t>5</w:t>
            </w:r>
            <w:r>
              <w:rPr>
                <w:rFonts w:hint="eastAsia" w:ascii="Times New Roman" w:hAnsi="Times New Roman" w:eastAsia="宋体" w:cs="Times New Roman"/>
                <w:color w:val="0000FF"/>
                <w:kern w:val="0"/>
                <w:sz w:val="24"/>
                <w:szCs w:val="20"/>
                <w:lang w:val="en-US" w:eastAsia="zh-CN" w:bidi="ar-SA"/>
              </w:rPr>
              <w:t>）排放，排气筒距地面为15m。NH</w:t>
            </w:r>
            <w:r>
              <w:rPr>
                <w:rFonts w:hint="eastAsia" w:ascii="Times New Roman" w:hAnsi="Times New Roman" w:eastAsia="宋体" w:cs="Times New Roman"/>
                <w:color w:val="0000FF"/>
                <w:kern w:val="0"/>
                <w:sz w:val="24"/>
                <w:szCs w:val="20"/>
                <w:vertAlign w:val="subscript"/>
                <w:lang w:val="en-US" w:eastAsia="zh-CN" w:bidi="ar-SA"/>
              </w:rPr>
              <w:t>3</w:t>
            </w:r>
            <w:r>
              <w:rPr>
                <w:rFonts w:hint="eastAsia" w:cs="Times New Roman"/>
                <w:color w:val="0000FF"/>
                <w:kern w:val="0"/>
                <w:sz w:val="24"/>
                <w:szCs w:val="20"/>
                <w:vertAlign w:val="baseline"/>
                <w:lang w:val="en-US" w:eastAsia="zh-CN" w:bidi="ar-SA"/>
              </w:rPr>
              <w:t>和</w:t>
            </w:r>
            <w:r>
              <w:rPr>
                <w:rFonts w:hint="eastAsia" w:ascii="Times New Roman" w:hAnsi="Times New Roman" w:eastAsia="宋体" w:cs="Times New Roman"/>
                <w:color w:val="0000FF"/>
                <w:kern w:val="0"/>
                <w:sz w:val="24"/>
                <w:szCs w:val="20"/>
                <w:lang w:val="en-US" w:eastAsia="zh-CN" w:bidi="ar-SA"/>
              </w:rPr>
              <w:t>H</w:t>
            </w:r>
            <w:r>
              <w:rPr>
                <w:rFonts w:hint="eastAsia" w:ascii="Times New Roman" w:hAnsi="Times New Roman" w:eastAsia="宋体" w:cs="Times New Roman"/>
                <w:color w:val="0000FF"/>
                <w:kern w:val="0"/>
                <w:sz w:val="24"/>
                <w:szCs w:val="20"/>
                <w:vertAlign w:val="subscript"/>
                <w:lang w:val="en-US" w:eastAsia="zh-CN" w:bidi="ar-SA"/>
              </w:rPr>
              <w:t>2</w:t>
            </w:r>
            <w:r>
              <w:rPr>
                <w:rFonts w:hint="eastAsia" w:ascii="Times New Roman" w:hAnsi="Times New Roman" w:eastAsia="宋体" w:cs="Times New Roman"/>
                <w:color w:val="0000FF"/>
                <w:kern w:val="0"/>
                <w:sz w:val="24"/>
                <w:szCs w:val="20"/>
                <w:lang w:val="en-US" w:eastAsia="zh-CN" w:bidi="ar-SA"/>
              </w:rPr>
              <w:t>S</w:t>
            </w:r>
            <w:r>
              <w:rPr>
                <w:rFonts w:hint="eastAsia" w:cs="Times New Roman"/>
                <w:color w:val="0000FF"/>
                <w:kern w:val="0"/>
                <w:sz w:val="24"/>
                <w:szCs w:val="20"/>
                <w:lang w:val="en-US" w:eastAsia="zh-CN" w:bidi="ar-SA"/>
              </w:rPr>
              <w:t>有组织排放量分别为0.063</w:t>
            </w:r>
            <w:r>
              <w:rPr>
                <w:rFonts w:hint="eastAsia" w:ascii="Times New Roman" w:hAnsi="Times New Roman" w:eastAsia="宋体" w:cs="Times New Roman"/>
                <w:color w:val="0000FF"/>
                <w:kern w:val="0"/>
                <w:sz w:val="24"/>
                <w:szCs w:val="20"/>
                <w:lang w:val="en-US" w:eastAsia="zh-CN" w:bidi="ar-SA"/>
              </w:rPr>
              <w:t>kg/a</w:t>
            </w:r>
            <w:r>
              <w:rPr>
                <w:rFonts w:hint="eastAsia" w:cs="Times New Roman"/>
                <w:color w:val="0000FF"/>
                <w:kern w:val="0"/>
                <w:sz w:val="24"/>
                <w:szCs w:val="20"/>
                <w:lang w:val="en-US" w:eastAsia="zh-CN" w:bidi="ar-SA"/>
              </w:rPr>
              <w:t>和0.025</w:t>
            </w:r>
            <w:r>
              <w:rPr>
                <w:rFonts w:hint="eastAsia" w:ascii="Times New Roman" w:hAnsi="Times New Roman" w:eastAsia="宋体" w:cs="Times New Roman"/>
                <w:color w:val="0000FF"/>
                <w:kern w:val="0"/>
                <w:sz w:val="24"/>
                <w:szCs w:val="20"/>
                <w:lang w:val="en-US" w:eastAsia="zh-CN" w:bidi="ar-SA"/>
              </w:rPr>
              <w:t>kg/a</w:t>
            </w:r>
            <w:r>
              <w:rPr>
                <w:rFonts w:hint="eastAsia" w:cs="Times New Roman"/>
                <w:color w:val="0000FF"/>
                <w:kern w:val="0"/>
                <w:sz w:val="24"/>
                <w:szCs w:val="20"/>
                <w:lang w:val="en-US" w:eastAsia="zh-CN" w:bidi="ar-SA"/>
              </w:rPr>
              <w:t>。排放浓度满足</w:t>
            </w:r>
            <w:r>
              <w:rPr>
                <w:color w:val="0000FF"/>
                <w:kern w:val="0"/>
                <w:szCs w:val="21"/>
              </w:rPr>
              <w:t>《恶臭污染物排放标准》（GB14554-93）表2</w:t>
            </w:r>
            <w:r>
              <w:rPr>
                <w:rFonts w:hint="eastAsia"/>
                <w:color w:val="0000FF"/>
                <w:kern w:val="0"/>
                <w:szCs w:val="21"/>
                <w:lang w:val="en-US" w:eastAsia="zh-CN"/>
              </w:rPr>
              <w:t>排放限值。</w:t>
            </w:r>
          </w:p>
          <w:p w14:paraId="62438620">
            <w:pPr>
              <w:pStyle w:val="12"/>
              <w:spacing w:after="0" w:line="360" w:lineRule="auto"/>
              <w:ind w:left="0" w:leftChars="0" w:firstLine="480" w:firstLineChars="200"/>
              <w:rPr>
                <w:color w:val="auto"/>
                <w:szCs w:val="24"/>
              </w:rPr>
            </w:pPr>
            <w:r>
              <w:rPr>
                <w:rFonts w:hint="eastAsia"/>
                <w:color w:val="auto"/>
                <w:szCs w:val="24"/>
                <w:lang w:val="en-US" w:eastAsia="zh-CN"/>
              </w:rPr>
              <w:t>9</w:t>
            </w:r>
            <w:r>
              <w:rPr>
                <w:rFonts w:hint="eastAsia"/>
                <w:color w:val="auto"/>
                <w:szCs w:val="24"/>
              </w:rPr>
              <w:t>、非正常工况</w:t>
            </w:r>
          </w:p>
          <w:p w14:paraId="5608D4A4">
            <w:pPr>
              <w:pStyle w:val="12"/>
              <w:spacing w:after="0" w:line="360" w:lineRule="auto"/>
              <w:ind w:left="0" w:leftChars="0" w:firstLine="480" w:firstLineChars="200"/>
              <w:rPr>
                <w:color w:val="auto"/>
                <w:szCs w:val="24"/>
              </w:rPr>
            </w:pPr>
            <w:r>
              <w:rPr>
                <w:rFonts w:hint="eastAsia"/>
                <w:color w:val="auto"/>
                <w:szCs w:val="24"/>
              </w:rPr>
              <w:t>本项目非正常工况除尘器出现故障时，</w:t>
            </w:r>
            <w:r>
              <w:rPr>
                <w:rFonts w:hint="eastAsia"/>
                <w:color w:val="auto"/>
                <w:szCs w:val="24"/>
                <w:lang w:eastAsia="zh-CN"/>
              </w:rPr>
              <w:t>布袋</w:t>
            </w:r>
            <w:r>
              <w:rPr>
                <w:rFonts w:hint="eastAsia"/>
                <w:color w:val="auto"/>
                <w:szCs w:val="24"/>
              </w:rPr>
              <w:t>除尘效率按90%计</w:t>
            </w:r>
            <w:r>
              <w:rPr>
                <w:rFonts w:hint="eastAsia"/>
                <w:color w:val="auto"/>
                <w:szCs w:val="24"/>
                <w:lang w:eastAsia="zh-CN"/>
              </w:rPr>
              <w:t>；</w:t>
            </w:r>
            <w:r>
              <w:rPr>
                <w:rFonts w:hint="eastAsia"/>
                <w:color w:val="auto"/>
                <w:szCs w:val="24"/>
                <w:lang w:val="en-US" w:eastAsia="zh-CN"/>
              </w:rPr>
              <w:t>布袋除尘器效率按60%计；</w:t>
            </w:r>
            <w:r>
              <w:rPr>
                <w:rFonts w:hint="eastAsia"/>
                <w:color w:val="auto"/>
                <w:szCs w:val="24"/>
              </w:rPr>
              <w:t>冷凝器故障，回收效率按</w:t>
            </w:r>
            <w:r>
              <w:rPr>
                <w:rFonts w:hint="eastAsia"/>
                <w:color w:val="auto"/>
                <w:szCs w:val="24"/>
                <w:lang w:val="en-US" w:eastAsia="zh-CN"/>
              </w:rPr>
              <w:t>0</w:t>
            </w:r>
            <w:r>
              <w:rPr>
                <w:rFonts w:hint="eastAsia"/>
                <w:color w:val="auto"/>
                <w:szCs w:val="24"/>
              </w:rPr>
              <w:t>%。本工程非正常排放见表4-</w:t>
            </w:r>
            <w:r>
              <w:rPr>
                <w:rFonts w:hint="eastAsia"/>
                <w:color w:val="auto"/>
                <w:szCs w:val="24"/>
                <w:lang w:val="en-US" w:eastAsia="zh-CN"/>
              </w:rPr>
              <w:t>4</w:t>
            </w:r>
            <w:r>
              <w:rPr>
                <w:rFonts w:hint="eastAsia"/>
                <w:color w:val="auto"/>
                <w:szCs w:val="24"/>
              </w:rPr>
              <w:t>。</w:t>
            </w:r>
          </w:p>
          <w:p w14:paraId="492EB870">
            <w:pPr>
              <w:pStyle w:val="160"/>
              <w:spacing w:line="360" w:lineRule="auto"/>
              <w:rPr>
                <w:color w:val="auto"/>
                <w:sz w:val="24"/>
              </w:rPr>
            </w:pPr>
            <w:r>
              <w:rPr>
                <w:rFonts w:hint="eastAsia"/>
                <w:color w:val="auto"/>
                <w:sz w:val="24"/>
              </w:rPr>
              <w:t>表4-</w:t>
            </w:r>
            <w:r>
              <w:rPr>
                <w:rFonts w:hint="eastAsia"/>
                <w:color w:val="auto"/>
                <w:sz w:val="24"/>
                <w:lang w:val="en-US" w:eastAsia="zh-CN"/>
              </w:rPr>
              <w:t>4</w:t>
            </w:r>
            <w:r>
              <w:rPr>
                <w:rFonts w:hint="eastAsia"/>
                <w:color w:val="auto"/>
                <w:sz w:val="24"/>
              </w:rPr>
              <w:t xml:space="preserve"> 本项目非正常工况下污染物排放状况一览表</w:t>
            </w:r>
          </w:p>
          <w:tbl>
            <w:tblPr>
              <w:tblStyle w:val="38"/>
              <w:tblW w:w="4996"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031"/>
              <w:gridCol w:w="1678"/>
              <w:gridCol w:w="1040"/>
              <w:gridCol w:w="1459"/>
              <w:gridCol w:w="1443"/>
              <w:gridCol w:w="1157"/>
              <w:gridCol w:w="1060"/>
            </w:tblGrid>
            <w:tr w14:paraId="1163696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69" w:hRule="atLeast"/>
              </w:trPr>
              <w:tc>
                <w:tcPr>
                  <w:tcW w:w="1030" w:type="dxa"/>
                  <w:tcBorders>
                    <w:tl2br w:val="nil"/>
                    <w:tr2bl w:val="nil"/>
                  </w:tcBorders>
                  <w:vAlign w:val="center"/>
                </w:tcPr>
                <w:p w14:paraId="233D8FAA">
                  <w:pPr>
                    <w:jc w:val="center"/>
                    <w:rPr>
                      <w:color w:val="auto"/>
                      <w:szCs w:val="21"/>
                    </w:rPr>
                  </w:pPr>
                  <w:r>
                    <w:rPr>
                      <w:rFonts w:hint="eastAsia"/>
                      <w:color w:val="auto"/>
                      <w:szCs w:val="21"/>
                    </w:rPr>
                    <w:t>非正常排放源</w:t>
                  </w:r>
                </w:p>
              </w:tc>
              <w:tc>
                <w:tcPr>
                  <w:tcW w:w="1676" w:type="dxa"/>
                  <w:tcBorders>
                    <w:tl2br w:val="nil"/>
                    <w:tr2bl w:val="nil"/>
                  </w:tcBorders>
                  <w:vAlign w:val="center"/>
                </w:tcPr>
                <w:p w14:paraId="7D965174">
                  <w:pPr>
                    <w:jc w:val="center"/>
                    <w:rPr>
                      <w:color w:val="auto"/>
                      <w:szCs w:val="21"/>
                    </w:rPr>
                  </w:pPr>
                  <w:r>
                    <w:rPr>
                      <w:color w:val="auto"/>
                      <w:szCs w:val="21"/>
                    </w:rPr>
                    <w:t>非正常排放</w:t>
                  </w:r>
                </w:p>
                <w:p w14:paraId="11644176">
                  <w:pPr>
                    <w:jc w:val="center"/>
                    <w:rPr>
                      <w:color w:val="auto"/>
                      <w:szCs w:val="21"/>
                    </w:rPr>
                  </w:pPr>
                  <w:r>
                    <w:rPr>
                      <w:color w:val="auto"/>
                      <w:szCs w:val="21"/>
                    </w:rPr>
                    <w:t>原因</w:t>
                  </w:r>
                </w:p>
              </w:tc>
              <w:tc>
                <w:tcPr>
                  <w:tcW w:w="1039" w:type="dxa"/>
                  <w:tcBorders>
                    <w:tl2br w:val="nil"/>
                    <w:tr2bl w:val="nil"/>
                  </w:tcBorders>
                  <w:vAlign w:val="center"/>
                </w:tcPr>
                <w:p w14:paraId="6D19402C">
                  <w:pPr>
                    <w:jc w:val="center"/>
                    <w:rPr>
                      <w:color w:val="auto"/>
                      <w:szCs w:val="21"/>
                    </w:rPr>
                  </w:pPr>
                  <w:r>
                    <w:rPr>
                      <w:color w:val="auto"/>
                      <w:szCs w:val="21"/>
                    </w:rPr>
                    <w:t>污染物</w:t>
                  </w:r>
                </w:p>
              </w:tc>
              <w:tc>
                <w:tcPr>
                  <w:tcW w:w="1457" w:type="dxa"/>
                  <w:tcBorders>
                    <w:tl2br w:val="nil"/>
                    <w:tr2bl w:val="nil"/>
                  </w:tcBorders>
                  <w:vAlign w:val="center"/>
                </w:tcPr>
                <w:p w14:paraId="490ECC51">
                  <w:pPr>
                    <w:jc w:val="center"/>
                    <w:rPr>
                      <w:color w:val="auto"/>
                      <w:szCs w:val="21"/>
                    </w:rPr>
                  </w:pPr>
                  <w:r>
                    <w:rPr>
                      <w:color w:val="auto"/>
                      <w:szCs w:val="21"/>
                    </w:rPr>
                    <w:t>非正常排放浓度/mg/m</w:t>
                  </w:r>
                  <w:r>
                    <w:rPr>
                      <w:color w:val="auto"/>
                      <w:szCs w:val="21"/>
                      <w:vertAlign w:val="superscript"/>
                    </w:rPr>
                    <w:t>3</w:t>
                  </w:r>
                </w:p>
              </w:tc>
              <w:tc>
                <w:tcPr>
                  <w:tcW w:w="1441" w:type="dxa"/>
                  <w:tcBorders>
                    <w:tl2br w:val="nil"/>
                    <w:tr2bl w:val="nil"/>
                  </w:tcBorders>
                  <w:vAlign w:val="center"/>
                </w:tcPr>
                <w:p w14:paraId="55164EAF">
                  <w:pPr>
                    <w:jc w:val="center"/>
                    <w:rPr>
                      <w:color w:val="auto"/>
                      <w:szCs w:val="21"/>
                    </w:rPr>
                  </w:pPr>
                  <w:r>
                    <w:rPr>
                      <w:color w:val="auto"/>
                      <w:szCs w:val="21"/>
                    </w:rPr>
                    <w:t>非正常排放速率/kg/h</w:t>
                  </w:r>
                </w:p>
              </w:tc>
              <w:tc>
                <w:tcPr>
                  <w:tcW w:w="1156" w:type="dxa"/>
                  <w:tcBorders>
                    <w:tl2br w:val="nil"/>
                    <w:tr2bl w:val="nil"/>
                  </w:tcBorders>
                  <w:vAlign w:val="center"/>
                </w:tcPr>
                <w:p w14:paraId="0647F455">
                  <w:pPr>
                    <w:jc w:val="center"/>
                    <w:rPr>
                      <w:color w:val="auto"/>
                      <w:szCs w:val="21"/>
                    </w:rPr>
                  </w:pPr>
                  <w:r>
                    <w:rPr>
                      <w:color w:val="auto"/>
                      <w:szCs w:val="21"/>
                    </w:rPr>
                    <w:t>单次持续时间/h</w:t>
                  </w:r>
                </w:p>
              </w:tc>
              <w:tc>
                <w:tcPr>
                  <w:tcW w:w="1059" w:type="dxa"/>
                  <w:tcBorders>
                    <w:tl2br w:val="nil"/>
                    <w:tr2bl w:val="nil"/>
                  </w:tcBorders>
                  <w:vAlign w:val="center"/>
                </w:tcPr>
                <w:p w14:paraId="32381FA7">
                  <w:pPr>
                    <w:jc w:val="center"/>
                    <w:rPr>
                      <w:color w:val="auto"/>
                      <w:szCs w:val="21"/>
                    </w:rPr>
                  </w:pPr>
                  <w:r>
                    <w:rPr>
                      <w:color w:val="auto"/>
                      <w:szCs w:val="21"/>
                    </w:rPr>
                    <w:t>年发生频次/次</w:t>
                  </w:r>
                </w:p>
              </w:tc>
            </w:tr>
            <w:tr w14:paraId="598FF11D">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69" w:hRule="atLeast"/>
              </w:trPr>
              <w:tc>
                <w:tcPr>
                  <w:tcW w:w="1030" w:type="dxa"/>
                  <w:tcBorders>
                    <w:tl2br w:val="nil"/>
                    <w:tr2bl w:val="nil"/>
                  </w:tcBorders>
                  <w:vAlign w:val="center"/>
                </w:tcPr>
                <w:p w14:paraId="75E4079D">
                  <w:pPr>
                    <w:jc w:val="center"/>
                    <w:rPr>
                      <w:color w:val="auto"/>
                      <w:szCs w:val="21"/>
                    </w:rPr>
                  </w:pPr>
                  <w:r>
                    <w:rPr>
                      <w:rFonts w:hint="eastAsia"/>
                      <w:color w:val="auto"/>
                      <w:szCs w:val="21"/>
                    </w:rPr>
                    <w:t>1</w:t>
                  </w:r>
                </w:p>
              </w:tc>
              <w:tc>
                <w:tcPr>
                  <w:tcW w:w="1676" w:type="dxa"/>
                  <w:tcBorders>
                    <w:tl2br w:val="nil"/>
                    <w:tr2bl w:val="nil"/>
                  </w:tcBorders>
                  <w:vAlign w:val="center"/>
                </w:tcPr>
                <w:p w14:paraId="26AE5EB2">
                  <w:pPr>
                    <w:jc w:val="center"/>
                    <w:rPr>
                      <w:color w:val="auto"/>
                      <w:szCs w:val="21"/>
                    </w:rPr>
                  </w:pPr>
                  <w:r>
                    <w:rPr>
                      <w:rFonts w:hint="eastAsia"/>
                      <w:color w:val="auto"/>
                      <w:szCs w:val="21"/>
                    </w:rPr>
                    <w:t>生物质锅炉</w:t>
                  </w:r>
                  <w:r>
                    <w:rPr>
                      <w:color w:val="auto"/>
                      <w:szCs w:val="21"/>
                    </w:rPr>
                    <w:t>除尘器故障</w:t>
                  </w:r>
                </w:p>
              </w:tc>
              <w:tc>
                <w:tcPr>
                  <w:tcW w:w="1039" w:type="dxa"/>
                  <w:tcBorders>
                    <w:tl2br w:val="nil"/>
                    <w:tr2bl w:val="nil"/>
                  </w:tcBorders>
                  <w:vAlign w:val="center"/>
                </w:tcPr>
                <w:p w14:paraId="40AE0B2A">
                  <w:pPr>
                    <w:jc w:val="center"/>
                    <w:rPr>
                      <w:color w:val="auto"/>
                      <w:szCs w:val="21"/>
                    </w:rPr>
                  </w:pPr>
                  <w:r>
                    <w:rPr>
                      <w:rFonts w:hint="eastAsia"/>
                      <w:color w:val="auto"/>
                      <w:szCs w:val="21"/>
                    </w:rPr>
                    <w:t>颗粒物</w:t>
                  </w:r>
                </w:p>
              </w:tc>
              <w:tc>
                <w:tcPr>
                  <w:tcW w:w="1457" w:type="dxa"/>
                  <w:tcBorders>
                    <w:tl2br w:val="nil"/>
                    <w:tr2bl w:val="nil"/>
                  </w:tcBorders>
                  <w:vAlign w:val="center"/>
                </w:tcPr>
                <w:p w14:paraId="005EEB65">
                  <w:pPr>
                    <w:widowControl/>
                    <w:jc w:val="center"/>
                    <w:textAlignment w:val="center"/>
                    <w:rPr>
                      <w:rFonts w:hint="default" w:eastAsia="宋体"/>
                      <w:color w:val="auto"/>
                      <w:szCs w:val="21"/>
                      <w:lang w:val="en-US" w:eastAsia="zh-CN"/>
                    </w:rPr>
                  </w:pPr>
                  <w:r>
                    <w:rPr>
                      <w:rFonts w:hint="eastAsia"/>
                      <w:color w:val="auto"/>
                    </w:rPr>
                    <w:t>321.88</w:t>
                  </w:r>
                </w:p>
              </w:tc>
              <w:tc>
                <w:tcPr>
                  <w:tcW w:w="1441" w:type="dxa"/>
                  <w:tcBorders>
                    <w:tl2br w:val="nil"/>
                    <w:tr2bl w:val="nil"/>
                  </w:tcBorders>
                  <w:vAlign w:val="center"/>
                </w:tcPr>
                <w:p w14:paraId="5E2F004B">
                  <w:pPr>
                    <w:widowControl/>
                    <w:jc w:val="center"/>
                    <w:textAlignment w:val="center"/>
                    <w:rPr>
                      <w:rFonts w:hint="default" w:eastAsia="宋体"/>
                      <w:color w:val="auto"/>
                      <w:szCs w:val="21"/>
                      <w:lang w:val="en-US" w:eastAsia="zh-CN"/>
                    </w:rPr>
                  </w:pPr>
                  <w:r>
                    <w:rPr>
                      <w:rFonts w:hint="eastAsia"/>
                      <w:color w:val="auto"/>
                      <w:kern w:val="0"/>
                      <w:szCs w:val="21"/>
                      <w:lang w:val="en-US" w:eastAsia="zh-CN" w:bidi="ar"/>
                    </w:rPr>
                    <w:t>8.26</w:t>
                  </w:r>
                </w:p>
              </w:tc>
              <w:tc>
                <w:tcPr>
                  <w:tcW w:w="1156" w:type="dxa"/>
                  <w:tcBorders>
                    <w:tl2br w:val="nil"/>
                    <w:tr2bl w:val="nil"/>
                  </w:tcBorders>
                  <w:vAlign w:val="center"/>
                </w:tcPr>
                <w:p w14:paraId="522ECDBE">
                  <w:pPr>
                    <w:jc w:val="center"/>
                    <w:rPr>
                      <w:color w:val="auto"/>
                      <w:szCs w:val="21"/>
                    </w:rPr>
                  </w:pPr>
                  <w:r>
                    <w:rPr>
                      <w:color w:val="auto"/>
                      <w:szCs w:val="21"/>
                    </w:rPr>
                    <w:t>1</w:t>
                  </w:r>
                </w:p>
              </w:tc>
              <w:tc>
                <w:tcPr>
                  <w:tcW w:w="1059" w:type="dxa"/>
                  <w:tcBorders>
                    <w:tl2br w:val="nil"/>
                    <w:tr2bl w:val="nil"/>
                  </w:tcBorders>
                  <w:vAlign w:val="center"/>
                </w:tcPr>
                <w:p w14:paraId="4E6FC5C6">
                  <w:pPr>
                    <w:jc w:val="center"/>
                    <w:rPr>
                      <w:color w:val="auto"/>
                      <w:szCs w:val="21"/>
                    </w:rPr>
                  </w:pPr>
                  <w:r>
                    <w:rPr>
                      <w:rFonts w:hint="eastAsia"/>
                      <w:color w:val="auto"/>
                      <w:szCs w:val="21"/>
                    </w:rPr>
                    <w:t>1</w:t>
                  </w:r>
                </w:p>
              </w:tc>
            </w:tr>
            <w:tr w14:paraId="681E8F4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69" w:hRule="atLeast"/>
              </w:trPr>
              <w:tc>
                <w:tcPr>
                  <w:tcW w:w="1030" w:type="dxa"/>
                  <w:tcBorders>
                    <w:tl2br w:val="nil"/>
                    <w:tr2bl w:val="nil"/>
                  </w:tcBorders>
                  <w:vAlign w:val="center"/>
                </w:tcPr>
                <w:p w14:paraId="387B9AA7">
                  <w:pPr>
                    <w:jc w:val="center"/>
                    <w:rPr>
                      <w:color w:val="auto"/>
                      <w:szCs w:val="21"/>
                    </w:rPr>
                  </w:pPr>
                  <w:r>
                    <w:rPr>
                      <w:rFonts w:hint="eastAsia"/>
                      <w:color w:val="auto"/>
                      <w:szCs w:val="21"/>
                    </w:rPr>
                    <w:t>2</w:t>
                  </w:r>
                </w:p>
              </w:tc>
              <w:tc>
                <w:tcPr>
                  <w:tcW w:w="1676" w:type="dxa"/>
                  <w:tcBorders>
                    <w:tl2br w:val="nil"/>
                    <w:tr2bl w:val="nil"/>
                  </w:tcBorders>
                  <w:vAlign w:val="center"/>
                </w:tcPr>
                <w:p w14:paraId="5CB56EE7">
                  <w:pPr>
                    <w:jc w:val="center"/>
                    <w:rPr>
                      <w:color w:val="auto"/>
                      <w:szCs w:val="21"/>
                    </w:rPr>
                  </w:pPr>
                  <w:r>
                    <w:rPr>
                      <w:rFonts w:hint="eastAsia"/>
                      <w:color w:val="auto"/>
                      <w:szCs w:val="21"/>
                    </w:rPr>
                    <w:t>筛分工序除尘器</w:t>
                  </w:r>
                  <w:r>
                    <w:rPr>
                      <w:color w:val="auto"/>
                      <w:szCs w:val="21"/>
                    </w:rPr>
                    <w:t>故障</w:t>
                  </w:r>
                </w:p>
              </w:tc>
              <w:tc>
                <w:tcPr>
                  <w:tcW w:w="1039" w:type="dxa"/>
                  <w:tcBorders>
                    <w:tl2br w:val="nil"/>
                    <w:tr2bl w:val="nil"/>
                  </w:tcBorders>
                  <w:vAlign w:val="center"/>
                </w:tcPr>
                <w:p w14:paraId="430B080E">
                  <w:pPr>
                    <w:jc w:val="center"/>
                    <w:rPr>
                      <w:color w:val="auto"/>
                      <w:szCs w:val="21"/>
                    </w:rPr>
                  </w:pPr>
                  <w:r>
                    <w:rPr>
                      <w:rFonts w:hint="eastAsia"/>
                      <w:color w:val="auto"/>
                      <w:szCs w:val="21"/>
                    </w:rPr>
                    <w:t>颗粒物</w:t>
                  </w:r>
                </w:p>
              </w:tc>
              <w:tc>
                <w:tcPr>
                  <w:tcW w:w="1457" w:type="dxa"/>
                  <w:tcBorders>
                    <w:tl2br w:val="nil"/>
                    <w:tr2bl w:val="nil"/>
                  </w:tcBorders>
                  <w:vAlign w:val="center"/>
                </w:tcPr>
                <w:p w14:paraId="24CA2CCD">
                  <w:pPr>
                    <w:jc w:val="center"/>
                    <w:rPr>
                      <w:rFonts w:hint="default" w:hAnsi="宋体" w:eastAsia="宋体"/>
                      <w:color w:val="auto"/>
                      <w:szCs w:val="21"/>
                      <w:lang w:val="en-US" w:eastAsia="zh-CN"/>
                    </w:rPr>
                  </w:pPr>
                  <w:r>
                    <w:rPr>
                      <w:rFonts w:hint="eastAsia" w:hAnsi="宋体"/>
                      <w:color w:val="auto"/>
                      <w:szCs w:val="21"/>
                      <w:lang w:val="en-US" w:eastAsia="zh-CN"/>
                    </w:rPr>
                    <w:t>138.9</w:t>
                  </w:r>
                </w:p>
              </w:tc>
              <w:tc>
                <w:tcPr>
                  <w:tcW w:w="1441" w:type="dxa"/>
                  <w:tcBorders>
                    <w:tl2br w:val="nil"/>
                    <w:tr2bl w:val="nil"/>
                  </w:tcBorders>
                  <w:vAlign w:val="center"/>
                </w:tcPr>
                <w:p w14:paraId="37D22C59">
                  <w:pPr>
                    <w:jc w:val="center"/>
                    <w:rPr>
                      <w:rFonts w:hint="default" w:eastAsia="宋体"/>
                      <w:color w:val="auto"/>
                      <w:szCs w:val="21"/>
                      <w:lang w:val="en-US" w:eastAsia="zh-CN"/>
                    </w:rPr>
                  </w:pPr>
                  <w:r>
                    <w:rPr>
                      <w:rFonts w:hint="eastAsia"/>
                      <w:color w:val="auto"/>
                      <w:szCs w:val="21"/>
                      <w:lang w:val="en-US" w:eastAsia="zh-CN"/>
                    </w:rPr>
                    <w:t>2.08</w:t>
                  </w:r>
                </w:p>
              </w:tc>
              <w:tc>
                <w:tcPr>
                  <w:tcW w:w="1156" w:type="dxa"/>
                  <w:tcBorders>
                    <w:tl2br w:val="nil"/>
                    <w:tr2bl w:val="nil"/>
                  </w:tcBorders>
                  <w:vAlign w:val="center"/>
                </w:tcPr>
                <w:p w14:paraId="69A576CD">
                  <w:pPr>
                    <w:jc w:val="center"/>
                    <w:rPr>
                      <w:color w:val="auto"/>
                      <w:szCs w:val="21"/>
                    </w:rPr>
                  </w:pPr>
                  <w:r>
                    <w:rPr>
                      <w:rFonts w:hint="eastAsia"/>
                      <w:color w:val="auto"/>
                      <w:szCs w:val="21"/>
                    </w:rPr>
                    <w:t>1</w:t>
                  </w:r>
                </w:p>
              </w:tc>
              <w:tc>
                <w:tcPr>
                  <w:tcW w:w="1059" w:type="dxa"/>
                  <w:tcBorders>
                    <w:tl2br w:val="nil"/>
                    <w:tr2bl w:val="nil"/>
                  </w:tcBorders>
                  <w:vAlign w:val="center"/>
                </w:tcPr>
                <w:p w14:paraId="0BED5456">
                  <w:pPr>
                    <w:jc w:val="center"/>
                    <w:rPr>
                      <w:color w:val="auto"/>
                      <w:szCs w:val="21"/>
                    </w:rPr>
                  </w:pPr>
                  <w:r>
                    <w:rPr>
                      <w:rFonts w:hint="eastAsia"/>
                      <w:color w:val="auto"/>
                      <w:szCs w:val="21"/>
                    </w:rPr>
                    <w:t>1</w:t>
                  </w:r>
                </w:p>
              </w:tc>
            </w:tr>
            <w:tr w14:paraId="1DD01CCC">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69" w:hRule="atLeast"/>
              </w:trPr>
              <w:tc>
                <w:tcPr>
                  <w:tcW w:w="1030" w:type="dxa"/>
                  <w:tcBorders>
                    <w:tl2br w:val="nil"/>
                    <w:tr2bl w:val="nil"/>
                  </w:tcBorders>
                  <w:vAlign w:val="center"/>
                </w:tcPr>
                <w:p w14:paraId="6634BEF6">
                  <w:pPr>
                    <w:jc w:val="center"/>
                    <w:rPr>
                      <w:color w:val="auto"/>
                      <w:szCs w:val="21"/>
                    </w:rPr>
                  </w:pPr>
                  <w:r>
                    <w:rPr>
                      <w:rFonts w:hint="eastAsia"/>
                      <w:color w:val="auto"/>
                      <w:szCs w:val="21"/>
                    </w:rPr>
                    <w:t>3</w:t>
                  </w:r>
                </w:p>
              </w:tc>
              <w:tc>
                <w:tcPr>
                  <w:tcW w:w="1676" w:type="dxa"/>
                  <w:tcBorders>
                    <w:tl2br w:val="nil"/>
                    <w:tr2bl w:val="nil"/>
                  </w:tcBorders>
                  <w:vAlign w:val="center"/>
                </w:tcPr>
                <w:p w14:paraId="25FFA48F">
                  <w:pPr>
                    <w:jc w:val="center"/>
                    <w:rPr>
                      <w:color w:val="auto"/>
                      <w:szCs w:val="21"/>
                    </w:rPr>
                  </w:pPr>
                  <w:r>
                    <w:rPr>
                      <w:rFonts w:hint="eastAsia"/>
                      <w:color w:val="auto"/>
                      <w:szCs w:val="21"/>
                    </w:rPr>
                    <w:t>烘干工序除尘器故障</w:t>
                  </w:r>
                </w:p>
              </w:tc>
              <w:tc>
                <w:tcPr>
                  <w:tcW w:w="1039" w:type="dxa"/>
                  <w:tcBorders>
                    <w:tl2br w:val="nil"/>
                    <w:tr2bl w:val="nil"/>
                  </w:tcBorders>
                  <w:vAlign w:val="center"/>
                </w:tcPr>
                <w:p w14:paraId="26100E12">
                  <w:pPr>
                    <w:jc w:val="center"/>
                    <w:rPr>
                      <w:color w:val="auto"/>
                      <w:szCs w:val="21"/>
                    </w:rPr>
                  </w:pPr>
                  <w:r>
                    <w:rPr>
                      <w:rFonts w:hint="eastAsia"/>
                      <w:color w:val="auto"/>
                      <w:szCs w:val="21"/>
                    </w:rPr>
                    <w:t>颗粒物</w:t>
                  </w:r>
                </w:p>
              </w:tc>
              <w:tc>
                <w:tcPr>
                  <w:tcW w:w="1457" w:type="dxa"/>
                  <w:tcBorders>
                    <w:tl2br w:val="nil"/>
                    <w:tr2bl w:val="nil"/>
                  </w:tcBorders>
                  <w:vAlign w:val="center"/>
                </w:tcPr>
                <w:p w14:paraId="375B7B98">
                  <w:pPr>
                    <w:jc w:val="center"/>
                    <w:rPr>
                      <w:rFonts w:hint="default" w:hAnsi="宋体" w:eastAsia="宋体"/>
                      <w:color w:val="auto"/>
                      <w:szCs w:val="21"/>
                      <w:lang w:val="en-US" w:eastAsia="zh-CN"/>
                    </w:rPr>
                  </w:pPr>
                  <w:r>
                    <w:rPr>
                      <w:rFonts w:hint="eastAsia" w:hAnsi="宋体"/>
                      <w:color w:val="auto"/>
                      <w:szCs w:val="21"/>
                      <w:lang w:val="en-US" w:eastAsia="zh-CN"/>
                    </w:rPr>
                    <w:t>318.89</w:t>
                  </w:r>
                </w:p>
              </w:tc>
              <w:tc>
                <w:tcPr>
                  <w:tcW w:w="1441" w:type="dxa"/>
                  <w:tcBorders>
                    <w:tl2br w:val="nil"/>
                    <w:tr2bl w:val="nil"/>
                  </w:tcBorders>
                  <w:vAlign w:val="center"/>
                </w:tcPr>
                <w:p w14:paraId="0967F832">
                  <w:pPr>
                    <w:jc w:val="center"/>
                    <w:rPr>
                      <w:rFonts w:hint="default" w:eastAsia="宋体"/>
                      <w:color w:val="auto"/>
                      <w:szCs w:val="21"/>
                      <w:lang w:val="en-US" w:eastAsia="zh-CN"/>
                    </w:rPr>
                  </w:pPr>
                  <w:r>
                    <w:rPr>
                      <w:rFonts w:hint="eastAsia"/>
                      <w:color w:val="auto"/>
                      <w:szCs w:val="21"/>
                      <w:lang w:val="en-US" w:eastAsia="zh-CN"/>
                    </w:rPr>
                    <w:t>4.78</w:t>
                  </w:r>
                </w:p>
              </w:tc>
              <w:tc>
                <w:tcPr>
                  <w:tcW w:w="1156" w:type="dxa"/>
                  <w:tcBorders>
                    <w:tl2br w:val="nil"/>
                    <w:tr2bl w:val="nil"/>
                  </w:tcBorders>
                  <w:vAlign w:val="center"/>
                </w:tcPr>
                <w:p w14:paraId="6B3FECEE">
                  <w:pPr>
                    <w:jc w:val="center"/>
                    <w:rPr>
                      <w:color w:val="auto"/>
                      <w:szCs w:val="21"/>
                    </w:rPr>
                  </w:pPr>
                  <w:r>
                    <w:rPr>
                      <w:rFonts w:hint="eastAsia"/>
                      <w:color w:val="auto"/>
                      <w:szCs w:val="21"/>
                    </w:rPr>
                    <w:t>1</w:t>
                  </w:r>
                </w:p>
              </w:tc>
              <w:tc>
                <w:tcPr>
                  <w:tcW w:w="1059" w:type="dxa"/>
                  <w:tcBorders>
                    <w:tl2br w:val="nil"/>
                    <w:tr2bl w:val="nil"/>
                  </w:tcBorders>
                  <w:vAlign w:val="center"/>
                </w:tcPr>
                <w:p w14:paraId="514B4C8C">
                  <w:pPr>
                    <w:jc w:val="center"/>
                    <w:rPr>
                      <w:color w:val="auto"/>
                      <w:szCs w:val="21"/>
                    </w:rPr>
                  </w:pPr>
                  <w:r>
                    <w:rPr>
                      <w:rFonts w:hint="eastAsia"/>
                      <w:color w:val="auto"/>
                      <w:szCs w:val="21"/>
                    </w:rPr>
                    <w:t>1</w:t>
                  </w:r>
                </w:p>
              </w:tc>
            </w:tr>
            <w:tr w14:paraId="5AAA8766">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69" w:hRule="atLeast"/>
              </w:trPr>
              <w:tc>
                <w:tcPr>
                  <w:tcW w:w="1030" w:type="dxa"/>
                  <w:tcBorders>
                    <w:tl2br w:val="nil"/>
                    <w:tr2bl w:val="nil"/>
                  </w:tcBorders>
                  <w:vAlign w:val="center"/>
                </w:tcPr>
                <w:p w14:paraId="031DB693">
                  <w:pPr>
                    <w:jc w:val="center"/>
                    <w:rPr>
                      <w:color w:val="auto"/>
                      <w:szCs w:val="21"/>
                    </w:rPr>
                  </w:pPr>
                  <w:r>
                    <w:rPr>
                      <w:rFonts w:hint="eastAsia"/>
                      <w:color w:val="auto"/>
                      <w:szCs w:val="21"/>
                    </w:rPr>
                    <w:t>4</w:t>
                  </w:r>
                </w:p>
              </w:tc>
              <w:tc>
                <w:tcPr>
                  <w:tcW w:w="1676" w:type="dxa"/>
                  <w:tcBorders>
                    <w:tl2br w:val="nil"/>
                    <w:tr2bl w:val="nil"/>
                  </w:tcBorders>
                  <w:vAlign w:val="center"/>
                </w:tcPr>
                <w:p w14:paraId="2D5A6F0D">
                  <w:pPr>
                    <w:jc w:val="center"/>
                    <w:rPr>
                      <w:color w:val="auto"/>
                      <w:szCs w:val="21"/>
                    </w:rPr>
                  </w:pPr>
                  <w:r>
                    <w:rPr>
                      <w:rFonts w:hint="eastAsia"/>
                      <w:color w:val="auto"/>
                      <w:szCs w:val="21"/>
                    </w:rPr>
                    <w:t>冷凝器故障</w:t>
                  </w:r>
                </w:p>
              </w:tc>
              <w:tc>
                <w:tcPr>
                  <w:tcW w:w="1039" w:type="dxa"/>
                  <w:tcBorders>
                    <w:tl2br w:val="nil"/>
                    <w:tr2bl w:val="nil"/>
                  </w:tcBorders>
                  <w:vAlign w:val="center"/>
                </w:tcPr>
                <w:p w14:paraId="53588D01">
                  <w:pPr>
                    <w:jc w:val="center"/>
                    <w:rPr>
                      <w:color w:val="auto"/>
                      <w:szCs w:val="21"/>
                    </w:rPr>
                  </w:pPr>
                  <w:r>
                    <w:rPr>
                      <w:rFonts w:hint="eastAsia"/>
                      <w:color w:val="auto"/>
                      <w:szCs w:val="21"/>
                    </w:rPr>
                    <w:t>VOCs</w:t>
                  </w:r>
                </w:p>
              </w:tc>
              <w:tc>
                <w:tcPr>
                  <w:tcW w:w="1457" w:type="dxa"/>
                  <w:tcBorders>
                    <w:tl2br w:val="nil"/>
                    <w:tr2bl w:val="nil"/>
                  </w:tcBorders>
                  <w:vAlign w:val="center"/>
                </w:tcPr>
                <w:p w14:paraId="6E948F7C">
                  <w:pPr>
                    <w:jc w:val="center"/>
                    <w:rPr>
                      <w:rFonts w:hint="default" w:hAnsi="宋体" w:eastAsia="宋体"/>
                      <w:color w:val="auto"/>
                      <w:szCs w:val="21"/>
                      <w:lang w:val="en-US" w:eastAsia="zh-CN"/>
                    </w:rPr>
                  </w:pPr>
                  <w:r>
                    <w:rPr>
                      <w:rFonts w:hint="eastAsia" w:hAnsi="宋体"/>
                      <w:color w:val="auto"/>
                      <w:szCs w:val="21"/>
                      <w:lang w:val="en-US" w:eastAsia="zh-CN"/>
                    </w:rPr>
                    <w:t>1250</w:t>
                  </w:r>
                </w:p>
              </w:tc>
              <w:tc>
                <w:tcPr>
                  <w:tcW w:w="1441" w:type="dxa"/>
                  <w:tcBorders>
                    <w:tl2br w:val="nil"/>
                    <w:tr2bl w:val="nil"/>
                  </w:tcBorders>
                  <w:vAlign w:val="center"/>
                </w:tcPr>
                <w:p w14:paraId="50F85E22">
                  <w:pPr>
                    <w:jc w:val="center"/>
                    <w:rPr>
                      <w:rFonts w:hint="default" w:eastAsia="宋体"/>
                      <w:color w:val="auto"/>
                      <w:szCs w:val="21"/>
                      <w:lang w:val="en-US" w:eastAsia="zh-CN"/>
                    </w:rPr>
                  </w:pPr>
                  <w:r>
                    <w:rPr>
                      <w:rFonts w:hint="eastAsia"/>
                      <w:color w:val="auto"/>
                      <w:szCs w:val="21"/>
                      <w:lang w:val="en-US" w:eastAsia="zh-CN"/>
                    </w:rPr>
                    <w:t>25</w:t>
                  </w:r>
                </w:p>
              </w:tc>
              <w:tc>
                <w:tcPr>
                  <w:tcW w:w="1156" w:type="dxa"/>
                  <w:tcBorders>
                    <w:tl2br w:val="nil"/>
                    <w:tr2bl w:val="nil"/>
                  </w:tcBorders>
                  <w:vAlign w:val="center"/>
                </w:tcPr>
                <w:p w14:paraId="7C84DE49">
                  <w:pPr>
                    <w:jc w:val="center"/>
                    <w:rPr>
                      <w:color w:val="auto"/>
                      <w:szCs w:val="21"/>
                    </w:rPr>
                  </w:pPr>
                  <w:r>
                    <w:rPr>
                      <w:rFonts w:hint="eastAsia"/>
                      <w:color w:val="auto"/>
                      <w:szCs w:val="21"/>
                    </w:rPr>
                    <w:t>1</w:t>
                  </w:r>
                </w:p>
              </w:tc>
              <w:tc>
                <w:tcPr>
                  <w:tcW w:w="1059" w:type="dxa"/>
                  <w:tcBorders>
                    <w:tl2br w:val="nil"/>
                    <w:tr2bl w:val="nil"/>
                  </w:tcBorders>
                  <w:vAlign w:val="center"/>
                </w:tcPr>
                <w:p w14:paraId="066FD2F8">
                  <w:pPr>
                    <w:jc w:val="center"/>
                    <w:rPr>
                      <w:color w:val="auto"/>
                      <w:szCs w:val="21"/>
                    </w:rPr>
                  </w:pPr>
                  <w:r>
                    <w:rPr>
                      <w:rFonts w:hint="eastAsia"/>
                      <w:color w:val="auto"/>
                      <w:szCs w:val="21"/>
                    </w:rPr>
                    <w:t>1</w:t>
                  </w:r>
                </w:p>
              </w:tc>
            </w:tr>
          </w:tbl>
          <w:p w14:paraId="0D4C7298">
            <w:pPr>
              <w:pStyle w:val="143"/>
              <w:snapToGrid w:val="0"/>
              <w:spacing w:line="360" w:lineRule="auto"/>
              <w:ind w:firstLine="480"/>
              <w:rPr>
                <w:rFonts w:ascii="Times New Roman" w:hAnsi="Times New Roman" w:cs="Times New Roman"/>
                <w:color w:val="auto"/>
                <w:sz w:val="24"/>
                <w:szCs w:val="24"/>
              </w:rPr>
            </w:pPr>
            <w:r>
              <w:rPr>
                <w:rFonts w:hint="eastAsia" w:ascii="Times New Roman" w:hAnsi="Times New Roman" w:cs="Times New Roman"/>
                <w:color w:val="auto"/>
                <w:sz w:val="24"/>
                <w:szCs w:val="24"/>
              </w:rPr>
              <w:t>10</w:t>
            </w:r>
            <w:r>
              <w:rPr>
                <w:rFonts w:ascii="Times New Roman" w:hAnsi="Times New Roman" w:cs="Times New Roman"/>
                <w:color w:val="auto"/>
                <w:sz w:val="24"/>
                <w:szCs w:val="24"/>
              </w:rPr>
              <w:t>、可行性技术</w:t>
            </w:r>
          </w:p>
          <w:p w14:paraId="2AD27BD9">
            <w:pPr>
              <w:pStyle w:val="143"/>
              <w:snapToGrid w:val="0"/>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rPr>
              <w:t>根据《排污许可证申请与核发技术规范  锅炉》（HJ953-2018）表7锅炉烟气污染防治可行技术表，</w:t>
            </w:r>
            <w:r>
              <w:rPr>
                <w:rFonts w:hint="eastAsia" w:ascii="Times New Roman" w:hAnsi="Times New Roman" w:cs="Times New Roman"/>
                <w:color w:val="auto"/>
                <w:sz w:val="24"/>
                <w:szCs w:val="24"/>
              </w:rPr>
              <w:t>本项目锅炉为生物质锅炉，锅炉</w:t>
            </w:r>
            <w:r>
              <w:rPr>
                <w:rFonts w:hint="eastAsia" w:ascii="Times New Roman" w:hAnsi="Times New Roman" w:cs="Times New Roman"/>
                <w:color w:val="auto"/>
                <w:sz w:val="24"/>
                <w:szCs w:val="24"/>
                <w:lang w:val="en-US" w:eastAsia="zh-CN"/>
              </w:rPr>
              <w:t>经旋风除尘器+</w:t>
            </w:r>
            <w:r>
              <w:rPr>
                <w:rFonts w:hint="eastAsia" w:ascii="Times New Roman" w:hAnsi="Times New Roman" w:cs="Times New Roman"/>
                <w:color w:val="auto"/>
                <w:sz w:val="24"/>
                <w:szCs w:val="24"/>
              </w:rPr>
              <w:t>布袋除尘器</w:t>
            </w:r>
            <w:r>
              <w:rPr>
                <w:rFonts w:hint="eastAsia" w:ascii="Times New Roman" w:hAnsi="Times New Roman" w:cs="Times New Roman"/>
                <w:color w:val="auto"/>
                <w:sz w:val="24"/>
                <w:szCs w:val="24"/>
                <w:lang w:val="en-US" w:eastAsia="zh-CN"/>
              </w:rPr>
              <w:t>处理后</w:t>
            </w:r>
            <w:r>
              <w:rPr>
                <w:rFonts w:hint="eastAsia" w:ascii="Times New Roman" w:hAnsi="Times New Roman" w:cs="Times New Roman"/>
                <w:color w:val="auto"/>
                <w:sz w:val="24"/>
                <w:szCs w:val="24"/>
              </w:rPr>
              <w:t>，</w:t>
            </w:r>
            <w:r>
              <w:rPr>
                <w:rFonts w:ascii="Times New Roman" w:hAnsi="Times New Roman" w:cs="Times New Roman"/>
                <w:color w:val="auto"/>
                <w:sz w:val="24"/>
                <w:szCs w:val="24"/>
              </w:rPr>
              <w:t>锅炉废气治理措施为规范要求的可行性技术</w:t>
            </w:r>
            <w:r>
              <w:rPr>
                <w:rFonts w:hint="eastAsia" w:ascii="Times New Roman" w:hAnsi="Times New Roman" w:cs="Times New Roman"/>
                <w:color w:val="auto"/>
                <w:sz w:val="24"/>
                <w:szCs w:val="24"/>
              </w:rPr>
              <w:t>，经处理后锅炉废气可以满足</w:t>
            </w:r>
            <w:r>
              <w:rPr>
                <w:rFonts w:ascii="Times New Roman" w:hAnsi="Times New Roman" w:cs="Times New Roman"/>
                <w:bCs/>
                <w:color w:val="auto"/>
                <w:kern w:val="21"/>
                <w:sz w:val="24"/>
              </w:rPr>
              <w:t>《锅炉大气污染物排放标准》（GB13271-2014）表2大气污染物排放限值要求</w:t>
            </w:r>
            <w:r>
              <w:rPr>
                <w:rFonts w:hint="eastAsia" w:ascii="Times New Roman" w:hAnsi="Times New Roman" w:cs="Times New Roman"/>
                <w:bCs/>
                <w:color w:val="auto"/>
                <w:kern w:val="21"/>
                <w:sz w:val="24"/>
              </w:rPr>
              <w:t>，本项目锅炉合计规模为1</w:t>
            </w:r>
            <w:r>
              <w:rPr>
                <w:rFonts w:hint="eastAsia" w:ascii="Times New Roman" w:hAnsi="Times New Roman" w:cs="Times New Roman"/>
                <w:bCs/>
                <w:color w:val="auto"/>
                <w:kern w:val="21"/>
                <w:sz w:val="24"/>
                <w:lang w:val="en-US" w:eastAsia="zh-CN"/>
              </w:rPr>
              <w:t>8</w:t>
            </w:r>
            <w:r>
              <w:rPr>
                <w:rFonts w:hint="eastAsia" w:ascii="Times New Roman" w:hAnsi="Times New Roman" w:cs="Times New Roman"/>
                <w:bCs/>
                <w:color w:val="auto"/>
                <w:kern w:val="21"/>
                <w:sz w:val="24"/>
              </w:rPr>
              <w:t>t/h，建设1座40米高烟囱，</w:t>
            </w:r>
            <w:r>
              <w:rPr>
                <w:rFonts w:hint="eastAsia" w:ascii="Times New Roman" w:hAnsi="Times New Roman" w:cs="Times New Roman"/>
                <w:bCs/>
                <w:color w:val="auto"/>
                <w:kern w:val="21"/>
                <w:sz w:val="24"/>
                <w:lang w:val="en-US" w:eastAsia="zh-CN"/>
              </w:rPr>
              <w:t>场区周围200m范围内最高建筑物为35m，</w:t>
            </w:r>
            <w:r>
              <w:rPr>
                <w:rFonts w:hint="eastAsia" w:ascii="Times New Roman" w:hAnsi="Times New Roman" w:cs="Times New Roman"/>
                <w:bCs/>
                <w:color w:val="auto"/>
                <w:kern w:val="21"/>
                <w:sz w:val="24"/>
              </w:rPr>
              <w:t>可以满足</w:t>
            </w:r>
            <w:r>
              <w:rPr>
                <w:rFonts w:ascii="Times New Roman" w:hAnsi="Times New Roman" w:cs="Times New Roman"/>
                <w:bCs/>
                <w:color w:val="auto"/>
                <w:kern w:val="21"/>
                <w:sz w:val="24"/>
              </w:rPr>
              <w:t>《锅炉大气污染物排放标准》（GB13271-2014）</w:t>
            </w:r>
            <w:r>
              <w:rPr>
                <w:rFonts w:hint="eastAsia" w:ascii="Times New Roman" w:hAnsi="Times New Roman" w:cs="Times New Roman"/>
                <w:bCs/>
                <w:color w:val="auto"/>
                <w:kern w:val="21"/>
                <w:sz w:val="24"/>
              </w:rPr>
              <w:t>烟囱的要求</w:t>
            </w:r>
            <w:r>
              <w:rPr>
                <w:rFonts w:ascii="Times New Roman" w:hAnsi="Times New Roman" w:cs="Times New Roman"/>
                <w:color w:val="auto"/>
                <w:sz w:val="24"/>
                <w:szCs w:val="24"/>
              </w:rPr>
              <w:t>；</w:t>
            </w:r>
            <w:r>
              <w:rPr>
                <w:rFonts w:hint="eastAsia"/>
                <w:color w:val="auto"/>
                <w:sz w:val="24"/>
                <w:szCs w:val="24"/>
              </w:rPr>
              <w:t>本项目筛分工段采用</w:t>
            </w:r>
            <w:r>
              <w:rPr>
                <w:rFonts w:hint="eastAsia"/>
                <w:color w:val="auto"/>
                <w:sz w:val="24"/>
                <w:szCs w:val="24"/>
                <w:lang w:val="en-US" w:eastAsia="zh-CN"/>
              </w:rPr>
              <w:t>布袋除尘器</w:t>
            </w:r>
            <w:r>
              <w:rPr>
                <w:rFonts w:hint="eastAsia"/>
                <w:color w:val="auto"/>
                <w:sz w:val="24"/>
                <w:szCs w:val="24"/>
              </w:rPr>
              <w:t>处理，烘干工段采用集气罩收集经布袋除尘器处理</w:t>
            </w:r>
            <w:r>
              <w:rPr>
                <w:rFonts w:hint="eastAsia"/>
                <w:color w:val="auto"/>
                <w:sz w:val="24"/>
                <w:szCs w:val="24"/>
                <w:lang w:eastAsia="zh-CN"/>
              </w:rPr>
              <w:t>，</w:t>
            </w:r>
            <w:r>
              <w:rPr>
                <w:rFonts w:hint="eastAsia"/>
                <w:color w:val="auto"/>
                <w:sz w:val="24"/>
                <w:szCs w:val="24"/>
              </w:rPr>
              <w:t>处理后的废气可以满足</w:t>
            </w:r>
            <w:r>
              <w:rPr>
                <w:rFonts w:hint="eastAsia" w:ascii="Times New Roman" w:hAnsi="Times New Roman" w:cs="Times New Roman"/>
                <w:color w:val="auto"/>
                <w:sz w:val="24"/>
                <w:szCs w:val="24"/>
              </w:rPr>
              <w:t>《大气污染物综合排放标准》（GB16297-1996）表2中二级标准</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bCs/>
                <w:color w:val="auto"/>
                <w:kern w:val="21"/>
                <w:sz w:val="24"/>
                <w:lang w:val="en-US" w:eastAsia="zh-CN"/>
              </w:rPr>
              <w:t>根据</w:t>
            </w:r>
            <w:r>
              <w:rPr>
                <w:rFonts w:hint="eastAsia" w:ascii="Times New Roman" w:hAnsi="Times New Roman" w:cs="Times New Roman"/>
                <w:color w:val="auto"/>
                <w:sz w:val="24"/>
                <w:szCs w:val="24"/>
              </w:rPr>
              <w:t>《大气污染物综合排放标准》（GB16297-1996）</w:t>
            </w:r>
            <w:r>
              <w:rPr>
                <w:rFonts w:hint="eastAsia" w:ascii="Times New Roman" w:hAnsi="Times New Roman" w:cs="Times New Roman"/>
                <w:color w:val="auto"/>
                <w:sz w:val="24"/>
                <w:szCs w:val="24"/>
                <w:lang w:val="en-US" w:eastAsia="zh-CN"/>
              </w:rPr>
              <w:t>要求排气简高度除须遵守表列排放速率标准值外,还应高出周围200m半径范围的建筑5m以上，不能达到该要求的排气简,应按其高度对应的表列排放速率标准值严格50%执行，</w:t>
            </w:r>
            <w:r>
              <w:rPr>
                <w:rFonts w:hint="eastAsia" w:ascii="Times New Roman" w:hAnsi="Times New Roman" w:cs="Times New Roman"/>
                <w:color w:val="auto"/>
                <w:sz w:val="24"/>
                <w:szCs w:val="24"/>
                <w:highlight w:val="none"/>
                <w:lang w:val="en-US" w:eastAsia="zh-CN"/>
              </w:rPr>
              <w:t>由于</w:t>
            </w:r>
            <w:r>
              <w:rPr>
                <w:rFonts w:hint="eastAsia" w:ascii="Times New Roman" w:hAnsi="Times New Roman" w:cs="Times New Roman"/>
                <w:bCs/>
                <w:color w:val="auto"/>
                <w:kern w:val="21"/>
                <w:sz w:val="24"/>
                <w:lang w:val="en-US" w:eastAsia="zh-CN"/>
              </w:rPr>
              <w:t>场区周围200m范围内最高建筑物为35m，</w:t>
            </w:r>
            <w:r>
              <w:rPr>
                <w:rFonts w:hint="eastAsia" w:ascii="Times New Roman" w:hAnsi="Times New Roman" w:cs="Times New Roman"/>
                <w:color w:val="auto"/>
                <w:sz w:val="24"/>
                <w:szCs w:val="24"/>
                <w:lang w:val="en-US" w:eastAsia="zh-CN"/>
              </w:rPr>
              <w:t>因此排放</w:t>
            </w:r>
            <w:r>
              <w:rPr>
                <w:rFonts w:hint="eastAsia" w:ascii="Times New Roman" w:hAnsi="Times New Roman" w:cs="Times New Roman"/>
                <w:color w:val="auto"/>
                <w:sz w:val="24"/>
                <w:szCs w:val="24"/>
                <w:highlight w:val="none"/>
                <w:lang w:val="en-US" w:eastAsia="zh-CN"/>
              </w:rPr>
              <w:t>标准值严格50%执行</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rPr>
              <w:t>浸出工艺加入溶剂在生产中产生有机废气冷凝回收，根据</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rPr>
              <w:t>排污许可证申请与核发技术规范 农副食品加工工业-饲料加工、植物油加工工业》（HJ 1110-2020）表三，冷凝装置有组织废气的污染防治工艺为“石蜡油吸附法”，因此本项目有机废气处理工艺可行。</w:t>
            </w:r>
          </w:p>
          <w:p w14:paraId="0EAAB72F">
            <w:pPr>
              <w:pStyle w:val="143"/>
              <w:snapToGrid w:val="0"/>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rPr>
              <w:t>本项目厂界</w:t>
            </w:r>
            <w:r>
              <w:rPr>
                <w:rFonts w:hint="eastAsia" w:ascii="Times New Roman" w:hAnsi="Times New Roman" w:cs="Times New Roman"/>
                <w:color w:val="auto"/>
                <w:sz w:val="24"/>
                <w:szCs w:val="24"/>
                <w:lang w:eastAsia="zh-CN"/>
              </w:rPr>
              <w:t>颗粒物及非甲烷总烃</w:t>
            </w:r>
            <w:r>
              <w:rPr>
                <w:rFonts w:ascii="Times New Roman" w:hAnsi="Times New Roman" w:cs="Times New Roman"/>
                <w:color w:val="auto"/>
                <w:sz w:val="24"/>
                <w:szCs w:val="24"/>
              </w:rPr>
              <w:t>可以满足《大气污染物综合排放标准》（GB16297-1996），</w:t>
            </w:r>
            <w:r>
              <w:rPr>
                <w:rFonts w:hint="eastAsia" w:ascii="Times New Roman" w:hAnsi="Times New Roman" w:cs="Times New Roman"/>
                <w:color w:val="auto"/>
                <w:sz w:val="24"/>
                <w:szCs w:val="24"/>
                <w:lang w:eastAsia="zh-CN"/>
              </w:rPr>
              <w:t>厂区内厂房外非甲烷总烃</w:t>
            </w:r>
            <w:r>
              <w:rPr>
                <w:rFonts w:hint="eastAsia" w:ascii="Times New Roman" w:hAnsi="Times New Roman" w:cs="Times New Roman"/>
                <w:color w:val="auto"/>
                <w:sz w:val="24"/>
                <w:szCs w:val="24"/>
              </w:rPr>
              <w:t>无组织排放浓度满足《挥发性有机物无组织排放标准》（GB 37822-2019）中表A.1标准限值要求</w:t>
            </w:r>
            <w:r>
              <w:rPr>
                <w:rFonts w:ascii="Times New Roman" w:hAnsi="Times New Roman" w:cs="Times New Roman"/>
                <w:color w:val="auto"/>
                <w:sz w:val="24"/>
                <w:szCs w:val="24"/>
              </w:rPr>
              <w:t>。</w:t>
            </w:r>
          </w:p>
          <w:p w14:paraId="34836847">
            <w:pPr>
              <w:pStyle w:val="143"/>
              <w:snapToGrid w:val="0"/>
              <w:spacing w:line="360" w:lineRule="auto"/>
              <w:ind w:firstLine="480"/>
              <w:rPr>
                <w:rFonts w:ascii="Times New Roman" w:hAnsi="Times New Roman" w:cs="Times New Roman"/>
                <w:color w:val="auto"/>
                <w:sz w:val="24"/>
                <w:szCs w:val="24"/>
              </w:rPr>
            </w:pPr>
            <w:r>
              <w:rPr>
                <w:rFonts w:hint="eastAsia" w:ascii="Times New Roman" w:hAnsi="Times New Roman" w:cs="Times New Roman"/>
                <w:color w:val="auto"/>
                <w:sz w:val="24"/>
                <w:szCs w:val="24"/>
              </w:rPr>
              <w:t>11</w:t>
            </w:r>
            <w:r>
              <w:rPr>
                <w:rFonts w:ascii="Times New Roman" w:hAnsi="Times New Roman" w:cs="Times New Roman"/>
                <w:color w:val="auto"/>
                <w:sz w:val="24"/>
                <w:szCs w:val="24"/>
              </w:rPr>
              <w:t>、排放口基本信息</w:t>
            </w:r>
          </w:p>
          <w:p w14:paraId="7720CD66">
            <w:pPr>
              <w:pStyle w:val="143"/>
              <w:snapToGrid w:val="0"/>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rPr>
              <w:t>排放口基本情况见下表4</w:t>
            </w:r>
            <w:r>
              <w:rPr>
                <w:rFonts w:hint="eastAsia"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5</w:t>
            </w:r>
            <w:r>
              <w:rPr>
                <w:rFonts w:ascii="Times New Roman" w:hAnsi="Times New Roman" w:cs="Times New Roman"/>
                <w:color w:val="auto"/>
                <w:sz w:val="24"/>
                <w:szCs w:val="24"/>
              </w:rPr>
              <w:t>。</w:t>
            </w:r>
          </w:p>
          <w:p w14:paraId="3DCD47B3">
            <w:pPr>
              <w:pStyle w:val="105"/>
              <w:rPr>
                <w:rFonts w:ascii="Times New Roman"/>
                <w:color w:val="auto"/>
              </w:rPr>
            </w:pPr>
            <w:r>
              <w:rPr>
                <w:rFonts w:ascii="Times New Roman"/>
                <w:color w:val="auto"/>
              </w:rPr>
              <w:t>表4-</w:t>
            </w:r>
            <w:r>
              <w:rPr>
                <w:rFonts w:hint="eastAsia" w:ascii="Times New Roman"/>
                <w:color w:val="auto"/>
                <w:lang w:val="en-US" w:eastAsia="zh-CN"/>
              </w:rPr>
              <w:t>5</w:t>
            </w:r>
            <w:r>
              <w:rPr>
                <w:rFonts w:hint="eastAsia" w:ascii="Times New Roman"/>
                <w:color w:val="auto"/>
              </w:rPr>
              <w:t xml:space="preserve"> </w:t>
            </w:r>
            <w:r>
              <w:rPr>
                <w:rFonts w:ascii="Times New Roman"/>
                <w:color w:val="auto"/>
              </w:rPr>
              <w:t>排放口基本情况表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19"/>
              <w:gridCol w:w="2650"/>
              <w:gridCol w:w="1322"/>
              <w:gridCol w:w="1101"/>
              <w:gridCol w:w="1085"/>
              <w:gridCol w:w="1085"/>
            </w:tblGrid>
            <w:tr w14:paraId="51F06A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70" w:type="pct"/>
                  <w:vAlign w:val="center"/>
                </w:tcPr>
                <w:p w14:paraId="1C026FAE">
                  <w:pPr>
                    <w:adjustRightInd w:val="0"/>
                    <w:snapToGrid w:val="0"/>
                    <w:spacing w:line="300" w:lineRule="atLeast"/>
                    <w:jc w:val="center"/>
                    <w:rPr>
                      <w:bCs/>
                      <w:color w:val="0000FF"/>
                      <w:spacing w:val="-10"/>
                      <w:szCs w:val="21"/>
                    </w:rPr>
                  </w:pPr>
                  <w:r>
                    <w:rPr>
                      <w:bCs/>
                      <w:color w:val="0000FF"/>
                      <w:spacing w:val="-10"/>
                      <w:szCs w:val="21"/>
                    </w:rPr>
                    <w:t>名称</w:t>
                  </w:r>
                </w:p>
              </w:tc>
              <w:tc>
                <w:tcPr>
                  <w:tcW w:w="348" w:type="pct"/>
                  <w:vAlign w:val="center"/>
                </w:tcPr>
                <w:p w14:paraId="5F02963B">
                  <w:pPr>
                    <w:adjustRightInd w:val="0"/>
                    <w:snapToGrid w:val="0"/>
                    <w:spacing w:line="300" w:lineRule="atLeast"/>
                    <w:jc w:val="center"/>
                    <w:rPr>
                      <w:bCs/>
                      <w:color w:val="0000FF"/>
                      <w:spacing w:val="-10"/>
                      <w:szCs w:val="21"/>
                    </w:rPr>
                  </w:pPr>
                  <w:r>
                    <w:rPr>
                      <w:bCs/>
                      <w:color w:val="0000FF"/>
                      <w:spacing w:val="-10"/>
                      <w:szCs w:val="21"/>
                    </w:rPr>
                    <w:t>编号</w:t>
                  </w:r>
                </w:p>
              </w:tc>
              <w:tc>
                <w:tcPr>
                  <w:tcW w:w="1492" w:type="pct"/>
                  <w:vAlign w:val="center"/>
                </w:tcPr>
                <w:p w14:paraId="6CB1D681">
                  <w:pPr>
                    <w:adjustRightInd w:val="0"/>
                    <w:snapToGrid w:val="0"/>
                    <w:spacing w:line="300" w:lineRule="atLeast"/>
                    <w:jc w:val="center"/>
                    <w:rPr>
                      <w:bCs/>
                      <w:color w:val="0000FF"/>
                      <w:spacing w:val="-10"/>
                      <w:szCs w:val="21"/>
                    </w:rPr>
                  </w:pPr>
                  <w:r>
                    <w:rPr>
                      <w:bCs/>
                      <w:color w:val="0000FF"/>
                      <w:spacing w:val="-10"/>
                      <w:szCs w:val="21"/>
                    </w:rPr>
                    <w:t>地理坐标</w:t>
                  </w:r>
                </w:p>
              </w:tc>
              <w:tc>
                <w:tcPr>
                  <w:tcW w:w="744" w:type="pct"/>
                  <w:vAlign w:val="center"/>
                </w:tcPr>
                <w:p w14:paraId="3D6240F6">
                  <w:pPr>
                    <w:adjustRightInd w:val="0"/>
                    <w:snapToGrid w:val="0"/>
                    <w:spacing w:line="300" w:lineRule="atLeast"/>
                    <w:jc w:val="center"/>
                    <w:rPr>
                      <w:bCs/>
                      <w:color w:val="0000FF"/>
                      <w:spacing w:val="-10"/>
                      <w:szCs w:val="21"/>
                    </w:rPr>
                  </w:pPr>
                  <w:r>
                    <w:rPr>
                      <w:bCs/>
                      <w:color w:val="0000FF"/>
                      <w:spacing w:val="-10"/>
                      <w:szCs w:val="21"/>
                    </w:rPr>
                    <w:t>类型</w:t>
                  </w:r>
                </w:p>
              </w:tc>
              <w:tc>
                <w:tcPr>
                  <w:tcW w:w="620" w:type="pct"/>
                  <w:vAlign w:val="center"/>
                </w:tcPr>
                <w:p w14:paraId="03D7057B">
                  <w:pPr>
                    <w:adjustRightInd w:val="0"/>
                    <w:snapToGrid w:val="0"/>
                    <w:spacing w:line="300" w:lineRule="atLeast"/>
                    <w:jc w:val="center"/>
                    <w:rPr>
                      <w:bCs/>
                      <w:color w:val="0000FF"/>
                      <w:spacing w:val="-10"/>
                      <w:szCs w:val="21"/>
                    </w:rPr>
                  </w:pPr>
                  <w:r>
                    <w:rPr>
                      <w:bCs/>
                      <w:color w:val="0000FF"/>
                      <w:spacing w:val="-10"/>
                      <w:szCs w:val="21"/>
                    </w:rPr>
                    <w:t>内径（m）</w:t>
                  </w:r>
                </w:p>
              </w:tc>
              <w:tc>
                <w:tcPr>
                  <w:tcW w:w="611" w:type="pct"/>
                  <w:vAlign w:val="center"/>
                </w:tcPr>
                <w:p w14:paraId="171731C5">
                  <w:pPr>
                    <w:adjustRightInd w:val="0"/>
                    <w:snapToGrid w:val="0"/>
                    <w:spacing w:line="300" w:lineRule="atLeast"/>
                    <w:jc w:val="center"/>
                    <w:rPr>
                      <w:bCs/>
                      <w:color w:val="0000FF"/>
                      <w:spacing w:val="-10"/>
                      <w:szCs w:val="21"/>
                    </w:rPr>
                  </w:pPr>
                  <w:r>
                    <w:rPr>
                      <w:bCs/>
                      <w:color w:val="0000FF"/>
                      <w:spacing w:val="-10"/>
                      <w:szCs w:val="21"/>
                    </w:rPr>
                    <w:t>高度（m）</w:t>
                  </w:r>
                </w:p>
              </w:tc>
              <w:tc>
                <w:tcPr>
                  <w:tcW w:w="611" w:type="pct"/>
                  <w:vAlign w:val="center"/>
                </w:tcPr>
                <w:p w14:paraId="635EB1F5">
                  <w:pPr>
                    <w:adjustRightInd w:val="0"/>
                    <w:snapToGrid w:val="0"/>
                    <w:spacing w:line="300" w:lineRule="atLeast"/>
                    <w:jc w:val="center"/>
                    <w:rPr>
                      <w:bCs/>
                      <w:color w:val="0000FF"/>
                      <w:spacing w:val="-10"/>
                      <w:szCs w:val="21"/>
                    </w:rPr>
                  </w:pPr>
                  <w:r>
                    <w:rPr>
                      <w:bCs/>
                      <w:color w:val="0000FF"/>
                      <w:spacing w:val="-10"/>
                      <w:szCs w:val="21"/>
                    </w:rPr>
                    <w:t>温度</w:t>
                  </w:r>
                </w:p>
              </w:tc>
            </w:tr>
            <w:tr w14:paraId="05351B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0" w:type="pct"/>
                  <w:vAlign w:val="center"/>
                </w:tcPr>
                <w:p w14:paraId="6B1FE92F">
                  <w:pPr>
                    <w:adjustRightInd w:val="0"/>
                    <w:snapToGrid w:val="0"/>
                    <w:spacing w:line="300" w:lineRule="atLeast"/>
                    <w:jc w:val="center"/>
                    <w:rPr>
                      <w:bCs/>
                      <w:color w:val="0000FF"/>
                      <w:spacing w:val="-10"/>
                      <w:szCs w:val="21"/>
                    </w:rPr>
                  </w:pPr>
                  <w:r>
                    <w:rPr>
                      <w:rFonts w:hint="eastAsia"/>
                      <w:bCs/>
                      <w:color w:val="0000FF"/>
                      <w:spacing w:val="-10"/>
                      <w:szCs w:val="21"/>
                    </w:rPr>
                    <w:t>蒸汽锅炉</w:t>
                  </w:r>
                </w:p>
              </w:tc>
              <w:tc>
                <w:tcPr>
                  <w:tcW w:w="348" w:type="pct"/>
                  <w:vAlign w:val="center"/>
                </w:tcPr>
                <w:p w14:paraId="7CC57D14">
                  <w:pPr>
                    <w:autoSpaceDE w:val="0"/>
                    <w:autoSpaceDN w:val="0"/>
                    <w:contextualSpacing/>
                    <w:jc w:val="center"/>
                    <w:rPr>
                      <w:bCs/>
                      <w:color w:val="0000FF"/>
                      <w:spacing w:val="-10"/>
                      <w:szCs w:val="21"/>
                    </w:rPr>
                  </w:pPr>
                  <w:r>
                    <w:rPr>
                      <w:rFonts w:hint="eastAsia"/>
                      <w:color w:val="0000FF"/>
                      <w:szCs w:val="21"/>
                      <w:lang w:val="en-US" w:eastAsia="zh-CN"/>
                    </w:rPr>
                    <w:t>DA00</w:t>
                  </w:r>
                  <w:r>
                    <w:rPr>
                      <w:color w:val="0000FF"/>
                      <w:szCs w:val="21"/>
                    </w:rPr>
                    <w:t>1</w:t>
                  </w:r>
                </w:p>
              </w:tc>
              <w:tc>
                <w:tcPr>
                  <w:tcW w:w="1492" w:type="pct"/>
                  <w:vAlign w:val="center"/>
                </w:tcPr>
                <w:p w14:paraId="127CBEC7">
                  <w:pPr>
                    <w:adjustRightInd w:val="0"/>
                    <w:snapToGrid w:val="0"/>
                    <w:spacing w:line="300" w:lineRule="atLeast"/>
                    <w:jc w:val="center"/>
                    <w:rPr>
                      <w:bCs/>
                      <w:color w:val="0000FF"/>
                      <w:spacing w:val="-10"/>
                      <w:szCs w:val="21"/>
                    </w:rPr>
                  </w:pPr>
                  <w:r>
                    <w:rPr>
                      <w:rFonts w:hint="eastAsia"/>
                      <w:bCs/>
                      <w:color w:val="0000FF"/>
                      <w:spacing w:val="-10"/>
                      <w:szCs w:val="21"/>
                    </w:rPr>
                    <w:t>E130.558428</w:t>
                  </w:r>
                  <w:r>
                    <w:rPr>
                      <w:bCs/>
                      <w:color w:val="0000FF"/>
                      <w:spacing w:val="-10"/>
                      <w:szCs w:val="21"/>
                    </w:rPr>
                    <w:t>°</w:t>
                  </w:r>
                  <w:r>
                    <w:rPr>
                      <w:rFonts w:hint="eastAsia"/>
                      <w:bCs/>
                      <w:color w:val="0000FF"/>
                      <w:spacing w:val="-10"/>
                      <w:szCs w:val="21"/>
                    </w:rPr>
                    <w:t>；</w:t>
                  </w:r>
                  <w:r>
                    <w:rPr>
                      <w:bCs/>
                      <w:color w:val="0000FF"/>
                      <w:spacing w:val="-10"/>
                      <w:szCs w:val="21"/>
                    </w:rPr>
                    <w:t>N</w:t>
                  </w:r>
                  <w:r>
                    <w:rPr>
                      <w:rFonts w:hint="eastAsia"/>
                      <w:bCs/>
                      <w:color w:val="0000FF"/>
                      <w:spacing w:val="-10"/>
                      <w:szCs w:val="21"/>
                    </w:rPr>
                    <w:t>46.268342</w:t>
                  </w:r>
                  <w:r>
                    <w:rPr>
                      <w:bCs/>
                      <w:color w:val="0000FF"/>
                      <w:spacing w:val="-10"/>
                      <w:szCs w:val="21"/>
                    </w:rPr>
                    <w:t>°</w:t>
                  </w:r>
                </w:p>
              </w:tc>
              <w:tc>
                <w:tcPr>
                  <w:tcW w:w="744" w:type="pct"/>
                  <w:vAlign w:val="center"/>
                </w:tcPr>
                <w:p w14:paraId="4F4D1BEE">
                  <w:pPr>
                    <w:adjustRightInd w:val="0"/>
                    <w:snapToGrid w:val="0"/>
                    <w:spacing w:line="300" w:lineRule="atLeast"/>
                    <w:jc w:val="center"/>
                    <w:rPr>
                      <w:bCs/>
                      <w:color w:val="0000FF"/>
                      <w:spacing w:val="-10"/>
                      <w:szCs w:val="21"/>
                    </w:rPr>
                  </w:pPr>
                  <w:r>
                    <w:rPr>
                      <w:bCs/>
                      <w:color w:val="0000FF"/>
                      <w:spacing w:val="-10"/>
                      <w:szCs w:val="21"/>
                    </w:rPr>
                    <w:t>一般排放口</w:t>
                  </w:r>
                </w:p>
              </w:tc>
              <w:tc>
                <w:tcPr>
                  <w:tcW w:w="620" w:type="pct"/>
                  <w:vAlign w:val="center"/>
                </w:tcPr>
                <w:p w14:paraId="39F5503B">
                  <w:pPr>
                    <w:adjustRightInd w:val="0"/>
                    <w:snapToGrid w:val="0"/>
                    <w:spacing w:line="300" w:lineRule="atLeast"/>
                    <w:jc w:val="center"/>
                    <w:rPr>
                      <w:bCs/>
                      <w:color w:val="0000FF"/>
                      <w:spacing w:val="-10"/>
                      <w:szCs w:val="21"/>
                    </w:rPr>
                  </w:pPr>
                  <w:r>
                    <w:rPr>
                      <w:rFonts w:hint="eastAsia"/>
                      <w:bCs/>
                      <w:color w:val="0000FF"/>
                      <w:spacing w:val="-10"/>
                      <w:szCs w:val="21"/>
                    </w:rPr>
                    <w:t>1.5</w:t>
                  </w:r>
                </w:p>
              </w:tc>
              <w:tc>
                <w:tcPr>
                  <w:tcW w:w="611" w:type="pct"/>
                  <w:vAlign w:val="center"/>
                </w:tcPr>
                <w:p w14:paraId="591A2E80">
                  <w:pPr>
                    <w:adjustRightInd w:val="0"/>
                    <w:snapToGrid w:val="0"/>
                    <w:spacing w:line="300" w:lineRule="atLeast"/>
                    <w:jc w:val="center"/>
                    <w:rPr>
                      <w:bCs/>
                      <w:color w:val="0000FF"/>
                      <w:spacing w:val="-10"/>
                      <w:szCs w:val="21"/>
                    </w:rPr>
                  </w:pPr>
                  <w:r>
                    <w:rPr>
                      <w:rFonts w:hint="eastAsia"/>
                      <w:bCs/>
                      <w:color w:val="0000FF"/>
                      <w:spacing w:val="-10"/>
                      <w:szCs w:val="21"/>
                    </w:rPr>
                    <w:t>40</w:t>
                  </w:r>
                </w:p>
              </w:tc>
              <w:tc>
                <w:tcPr>
                  <w:tcW w:w="611" w:type="pct"/>
                  <w:vAlign w:val="center"/>
                </w:tcPr>
                <w:p w14:paraId="73980FE6">
                  <w:pPr>
                    <w:adjustRightInd w:val="0"/>
                    <w:snapToGrid w:val="0"/>
                    <w:spacing w:line="300" w:lineRule="atLeast"/>
                    <w:jc w:val="center"/>
                    <w:rPr>
                      <w:bCs/>
                      <w:color w:val="0000FF"/>
                      <w:spacing w:val="-10"/>
                      <w:szCs w:val="21"/>
                    </w:rPr>
                  </w:pPr>
                  <w:r>
                    <w:rPr>
                      <w:bCs/>
                      <w:color w:val="0000FF"/>
                      <w:spacing w:val="-10"/>
                      <w:szCs w:val="21"/>
                    </w:rPr>
                    <w:t>100℃</w:t>
                  </w:r>
                </w:p>
              </w:tc>
            </w:tr>
            <w:tr w14:paraId="46DAC9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570" w:type="pct"/>
                  <w:vAlign w:val="center"/>
                </w:tcPr>
                <w:p w14:paraId="56461262">
                  <w:pPr>
                    <w:adjustRightInd w:val="0"/>
                    <w:snapToGrid w:val="0"/>
                    <w:spacing w:line="300" w:lineRule="atLeast"/>
                    <w:jc w:val="center"/>
                    <w:rPr>
                      <w:bCs/>
                      <w:color w:val="0000FF"/>
                      <w:spacing w:val="-10"/>
                      <w:szCs w:val="21"/>
                    </w:rPr>
                  </w:pPr>
                  <w:r>
                    <w:rPr>
                      <w:rFonts w:hint="eastAsia"/>
                      <w:bCs/>
                      <w:color w:val="0000FF"/>
                      <w:spacing w:val="-10"/>
                      <w:szCs w:val="21"/>
                    </w:rPr>
                    <w:t>筛分</w:t>
                  </w:r>
                </w:p>
              </w:tc>
              <w:tc>
                <w:tcPr>
                  <w:tcW w:w="348" w:type="pct"/>
                  <w:vAlign w:val="center"/>
                </w:tcPr>
                <w:p w14:paraId="7639D7D6">
                  <w:pPr>
                    <w:autoSpaceDE w:val="0"/>
                    <w:autoSpaceDN w:val="0"/>
                    <w:contextualSpacing/>
                    <w:jc w:val="center"/>
                    <w:rPr>
                      <w:bCs/>
                      <w:color w:val="0000FF"/>
                      <w:spacing w:val="-10"/>
                      <w:szCs w:val="21"/>
                    </w:rPr>
                  </w:pPr>
                  <w:r>
                    <w:rPr>
                      <w:rFonts w:hint="eastAsia"/>
                      <w:color w:val="0000FF"/>
                      <w:szCs w:val="21"/>
                      <w:lang w:val="en-US" w:eastAsia="zh-CN"/>
                    </w:rPr>
                    <w:t>DA00</w:t>
                  </w:r>
                  <w:r>
                    <w:rPr>
                      <w:color w:val="0000FF"/>
                      <w:szCs w:val="21"/>
                    </w:rPr>
                    <w:t>2</w:t>
                  </w:r>
                </w:p>
              </w:tc>
              <w:tc>
                <w:tcPr>
                  <w:tcW w:w="1492" w:type="pct"/>
                  <w:vAlign w:val="center"/>
                </w:tcPr>
                <w:p w14:paraId="71080E84">
                  <w:pPr>
                    <w:adjustRightInd w:val="0"/>
                    <w:snapToGrid w:val="0"/>
                    <w:spacing w:line="300" w:lineRule="atLeast"/>
                    <w:jc w:val="center"/>
                    <w:rPr>
                      <w:bCs/>
                      <w:color w:val="0000FF"/>
                      <w:spacing w:val="-10"/>
                      <w:szCs w:val="21"/>
                    </w:rPr>
                  </w:pPr>
                  <w:r>
                    <w:rPr>
                      <w:bCs/>
                      <w:color w:val="0000FF"/>
                      <w:spacing w:val="-10"/>
                      <w:szCs w:val="21"/>
                    </w:rPr>
                    <w:t>E</w:t>
                  </w:r>
                  <w:r>
                    <w:rPr>
                      <w:rFonts w:hint="eastAsia"/>
                      <w:bCs/>
                      <w:color w:val="0000FF"/>
                      <w:spacing w:val="-10"/>
                      <w:szCs w:val="21"/>
                    </w:rPr>
                    <w:t>130.5581821</w:t>
                  </w:r>
                  <w:r>
                    <w:rPr>
                      <w:bCs/>
                      <w:color w:val="0000FF"/>
                      <w:spacing w:val="-10"/>
                      <w:szCs w:val="21"/>
                    </w:rPr>
                    <w:t>°</w:t>
                  </w:r>
                  <w:r>
                    <w:rPr>
                      <w:rFonts w:hint="eastAsia"/>
                      <w:bCs/>
                      <w:color w:val="0000FF"/>
                      <w:spacing w:val="-10"/>
                      <w:szCs w:val="21"/>
                    </w:rPr>
                    <w:t>；</w:t>
                  </w:r>
                  <w:r>
                    <w:rPr>
                      <w:bCs/>
                      <w:color w:val="0000FF"/>
                      <w:spacing w:val="-10"/>
                      <w:szCs w:val="21"/>
                    </w:rPr>
                    <w:t>N</w:t>
                  </w:r>
                  <w:r>
                    <w:rPr>
                      <w:rFonts w:hint="eastAsia"/>
                      <w:bCs/>
                      <w:color w:val="0000FF"/>
                      <w:spacing w:val="-10"/>
                      <w:szCs w:val="21"/>
                    </w:rPr>
                    <w:t>46.267537</w:t>
                  </w:r>
                  <w:r>
                    <w:rPr>
                      <w:bCs/>
                      <w:color w:val="0000FF"/>
                      <w:spacing w:val="-10"/>
                      <w:szCs w:val="21"/>
                    </w:rPr>
                    <w:t>°</w:t>
                  </w:r>
                </w:p>
              </w:tc>
              <w:tc>
                <w:tcPr>
                  <w:tcW w:w="744" w:type="pct"/>
                  <w:vAlign w:val="center"/>
                </w:tcPr>
                <w:p w14:paraId="2290679D">
                  <w:pPr>
                    <w:adjustRightInd w:val="0"/>
                    <w:snapToGrid w:val="0"/>
                    <w:spacing w:line="300" w:lineRule="atLeast"/>
                    <w:jc w:val="center"/>
                    <w:rPr>
                      <w:bCs/>
                      <w:color w:val="0000FF"/>
                      <w:spacing w:val="-10"/>
                      <w:szCs w:val="21"/>
                    </w:rPr>
                  </w:pPr>
                  <w:r>
                    <w:rPr>
                      <w:bCs/>
                      <w:color w:val="0000FF"/>
                      <w:spacing w:val="-10"/>
                      <w:szCs w:val="21"/>
                    </w:rPr>
                    <w:t>一般排放口</w:t>
                  </w:r>
                </w:p>
              </w:tc>
              <w:tc>
                <w:tcPr>
                  <w:tcW w:w="620" w:type="pct"/>
                  <w:vAlign w:val="center"/>
                </w:tcPr>
                <w:p w14:paraId="52F4FB26">
                  <w:pPr>
                    <w:adjustRightInd w:val="0"/>
                    <w:snapToGrid w:val="0"/>
                    <w:spacing w:line="300" w:lineRule="atLeast"/>
                    <w:jc w:val="center"/>
                    <w:rPr>
                      <w:bCs/>
                      <w:color w:val="0000FF"/>
                      <w:spacing w:val="-10"/>
                      <w:szCs w:val="21"/>
                    </w:rPr>
                  </w:pPr>
                  <w:r>
                    <w:rPr>
                      <w:bCs/>
                      <w:color w:val="0000FF"/>
                      <w:spacing w:val="-10"/>
                      <w:szCs w:val="21"/>
                    </w:rPr>
                    <w:t>0.3</w:t>
                  </w:r>
                </w:p>
              </w:tc>
              <w:tc>
                <w:tcPr>
                  <w:tcW w:w="611" w:type="pct"/>
                  <w:vAlign w:val="center"/>
                </w:tcPr>
                <w:p w14:paraId="6D5EBE52">
                  <w:pPr>
                    <w:adjustRightInd w:val="0"/>
                    <w:snapToGrid w:val="0"/>
                    <w:spacing w:line="300" w:lineRule="atLeast"/>
                    <w:jc w:val="center"/>
                    <w:rPr>
                      <w:bCs/>
                      <w:color w:val="0000FF"/>
                      <w:spacing w:val="-10"/>
                      <w:szCs w:val="21"/>
                    </w:rPr>
                  </w:pPr>
                  <w:r>
                    <w:rPr>
                      <w:bCs/>
                      <w:color w:val="0000FF"/>
                      <w:spacing w:val="-10"/>
                      <w:szCs w:val="21"/>
                    </w:rPr>
                    <w:t>15</w:t>
                  </w:r>
                </w:p>
              </w:tc>
              <w:tc>
                <w:tcPr>
                  <w:tcW w:w="611" w:type="pct"/>
                  <w:vAlign w:val="center"/>
                </w:tcPr>
                <w:p w14:paraId="5AC89398">
                  <w:pPr>
                    <w:adjustRightInd w:val="0"/>
                    <w:snapToGrid w:val="0"/>
                    <w:spacing w:line="300" w:lineRule="atLeast"/>
                    <w:jc w:val="center"/>
                    <w:rPr>
                      <w:bCs/>
                      <w:color w:val="0000FF"/>
                      <w:spacing w:val="-10"/>
                      <w:szCs w:val="21"/>
                    </w:rPr>
                  </w:pPr>
                  <w:r>
                    <w:rPr>
                      <w:bCs/>
                      <w:color w:val="0000FF"/>
                      <w:spacing w:val="-10"/>
                      <w:szCs w:val="21"/>
                    </w:rPr>
                    <w:t>常温</w:t>
                  </w:r>
                </w:p>
              </w:tc>
            </w:tr>
            <w:tr w14:paraId="34E5D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570" w:type="pct"/>
                  <w:vAlign w:val="center"/>
                </w:tcPr>
                <w:p w14:paraId="0364D21A">
                  <w:pPr>
                    <w:adjustRightInd w:val="0"/>
                    <w:snapToGrid w:val="0"/>
                    <w:spacing w:line="300" w:lineRule="atLeast"/>
                    <w:jc w:val="center"/>
                    <w:rPr>
                      <w:rFonts w:hint="eastAsia"/>
                      <w:bCs/>
                      <w:color w:val="0000FF"/>
                      <w:spacing w:val="-10"/>
                      <w:szCs w:val="21"/>
                    </w:rPr>
                  </w:pPr>
                  <w:r>
                    <w:rPr>
                      <w:rFonts w:hint="eastAsia" w:cs="Times New Roman"/>
                      <w:bCs/>
                      <w:color w:val="0000FF"/>
                      <w:spacing w:val="-10"/>
                      <w:sz w:val="21"/>
                      <w:szCs w:val="21"/>
                      <w:highlight w:val="none"/>
                      <w:lang w:val="en-US" w:eastAsia="zh-CN"/>
                    </w:rPr>
                    <w:t>烘干</w:t>
                  </w:r>
                </w:p>
              </w:tc>
              <w:tc>
                <w:tcPr>
                  <w:tcW w:w="348" w:type="pct"/>
                  <w:vAlign w:val="center"/>
                </w:tcPr>
                <w:p w14:paraId="16C160DC">
                  <w:pPr>
                    <w:autoSpaceDE w:val="0"/>
                    <w:autoSpaceDN w:val="0"/>
                    <w:contextualSpacing/>
                    <w:jc w:val="center"/>
                    <w:rPr>
                      <w:rFonts w:hint="eastAsia"/>
                      <w:color w:val="0000FF"/>
                      <w:szCs w:val="21"/>
                      <w:lang w:val="en-US" w:eastAsia="zh-CN"/>
                    </w:rPr>
                  </w:pPr>
                  <w:r>
                    <w:rPr>
                      <w:rFonts w:hint="eastAsia"/>
                      <w:color w:val="0000FF"/>
                      <w:szCs w:val="21"/>
                      <w:lang w:val="en-US" w:eastAsia="zh-CN"/>
                    </w:rPr>
                    <w:t>DA00</w:t>
                  </w:r>
                  <w:r>
                    <w:rPr>
                      <w:rFonts w:hint="eastAsia"/>
                      <w:color w:val="0000FF"/>
                      <w:szCs w:val="21"/>
                    </w:rPr>
                    <w:t>3</w:t>
                  </w:r>
                </w:p>
              </w:tc>
              <w:tc>
                <w:tcPr>
                  <w:tcW w:w="1492" w:type="pct"/>
                  <w:vAlign w:val="center"/>
                </w:tcPr>
                <w:p w14:paraId="41BB8F07">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eastAsia" w:cs="Times New Roman"/>
                      <w:bCs/>
                      <w:color w:val="0000FF"/>
                      <w:spacing w:val="-10"/>
                      <w:sz w:val="21"/>
                      <w:szCs w:val="21"/>
                      <w:lang w:val="en-US" w:eastAsia="zh-CN"/>
                    </w:rPr>
                    <w:t>E130.5585871</w:t>
                  </w:r>
                  <w:r>
                    <w:rPr>
                      <w:rFonts w:hint="default" w:ascii="Times New Roman" w:hAnsi="Times New Roman" w:cs="Times New Roman"/>
                      <w:bCs/>
                      <w:color w:val="0000FF"/>
                      <w:spacing w:val="-10"/>
                      <w:sz w:val="21"/>
                      <w:szCs w:val="21"/>
                    </w:rPr>
                    <w:t>°</w:t>
                  </w:r>
                  <w:r>
                    <w:rPr>
                      <w:rFonts w:hint="default" w:ascii="Times New Roman" w:hAnsi="Times New Roman" w:cs="Times New Roman"/>
                      <w:bCs/>
                      <w:color w:val="0000FF"/>
                      <w:spacing w:val="-10"/>
                      <w:sz w:val="21"/>
                      <w:szCs w:val="21"/>
                      <w:lang w:eastAsia="zh-CN"/>
                    </w:rPr>
                    <w:t>；</w:t>
                  </w:r>
                  <w:r>
                    <w:rPr>
                      <w:rFonts w:hint="eastAsia" w:cs="Times New Roman"/>
                      <w:bCs/>
                      <w:color w:val="0000FF"/>
                      <w:spacing w:val="-10"/>
                      <w:sz w:val="21"/>
                      <w:szCs w:val="21"/>
                      <w:lang w:val="en-US" w:eastAsia="zh-CN"/>
                    </w:rPr>
                    <w:t>N46.280735</w:t>
                  </w:r>
                  <w:r>
                    <w:rPr>
                      <w:rFonts w:hint="default" w:ascii="Times New Roman" w:hAnsi="Times New Roman" w:cs="Times New Roman"/>
                      <w:bCs/>
                      <w:color w:val="0000FF"/>
                      <w:spacing w:val="-10"/>
                      <w:sz w:val="21"/>
                      <w:szCs w:val="21"/>
                      <w:lang w:val="en-US" w:eastAsia="zh-CN"/>
                    </w:rPr>
                    <w:t>°</w:t>
                  </w:r>
                </w:p>
              </w:tc>
              <w:tc>
                <w:tcPr>
                  <w:tcW w:w="744" w:type="pct"/>
                  <w:vAlign w:val="center"/>
                </w:tcPr>
                <w:p w14:paraId="714188CB">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rPr>
                    <w:t>一般排放口</w:t>
                  </w:r>
                </w:p>
              </w:tc>
              <w:tc>
                <w:tcPr>
                  <w:tcW w:w="620" w:type="pct"/>
                  <w:vAlign w:val="center"/>
                </w:tcPr>
                <w:p w14:paraId="65BBA514">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rPr>
                    <w:t>0.3</w:t>
                  </w:r>
                </w:p>
              </w:tc>
              <w:tc>
                <w:tcPr>
                  <w:tcW w:w="611" w:type="pct"/>
                  <w:vAlign w:val="center"/>
                </w:tcPr>
                <w:p w14:paraId="05DF433C">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eastAsia" w:cs="Times New Roman"/>
                      <w:bCs/>
                      <w:color w:val="0000FF"/>
                      <w:spacing w:val="-10"/>
                      <w:sz w:val="21"/>
                      <w:szCs w:val="21"/>
                      <w:lang w:val="en-US" w:eastAsia="zh-CN"/>
                    </w:rPr>
                    <w:t>15</w:t>
                  </w:r>
                </w:p>
              </w:tc>
              <w:tc>
                <w:tcPr>
                  <w:tcW w:w="611" w:type="pct"/>
                  <w:vAlign w:val="center"/>
                </w:tcPr>
                <w:p w14:paraId="37883A92">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lang w:val="en-US" w:eastAsia="zh-CN"/>
                    </w:rPr>
                    <w:t>常温</w:t>
                  </w:r>
                </w:p>
              </w:tc>
            </w:tr>
            <w:tr w14:paraId="3C639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570" w:type="pct"/>
                  <w:vAlign w:val="center"/>
                </w:tcPr>
                <w:p w14:paraId="26AD6228">
                  <w:pPr>
                    <w:adjustRightInd w:val="0"/>
                    <w:snapToGrid w:val="0"/>
                    <w:spacing w:line="300" w:lineRule="atLeast"/>
                    <w:jc w:val="center"/>
                    <w:rPr>
                      <w:bCs/>
                      <w:color w:val="0000FF"/>
                      <w:spacing w:val="-10"/>
                      <w:szCs w:val="21"/>
                    </w:rPr>
                  </w:pPr>
                  <w:r>
                    <w:rPr>
                      <w:rFonts w:hint="eastAsia"/>
                      <w:bCs/>
                      <w:color w:val="0000FF"/>
                      <w:spacing w:val="-10"/>
                      <w:szCs w:val="21"/>
                      <w:lang w:eastAsia="zh-CN"/>
                    </w:rPr>
                    <w:t>冷凝器</w:t>
                  </w:r>
                  <w:r>
                    <w:rPr>
                      <w:rFonts w:hint="eastAsia"/>
                      <w:bCs/>
                      <w:color w:val="0000FF"/>
                      <w:spacing w:val="-10"/>
                      <w:szCs w:val="21"/>
                      <w:lang w:val="en-US" w:eastAsia="zh-CN"/>
                    </w:rPr>
                    <w:t>+石蜡油</w:t>
                  </w:r>
                </w:p>
              </w:tc>
              <w:tc>
                <w:tcPr>
                  <w:tcW w:w="348" w:type="pct"/>
                  <w:vAlign w:val="center"/>
                </w:tcPr>
                <w:p w14:paraId="126784FA">
                  <w:pPr>
                    <w:keepNext w:val="0"/>
                    <w:keepLines w:val="0"/>
                    <w:suppressLineNumbers w:val="0"/>
                    <w:autoSpaceDE w:val="0"/>
                    <w:autoSpaceDN w:val="0"/>
                    <w:spacing w:before="0" w:beforeAutospacing="0" w:after="0" w:afterAutospacing="0"/>
                    <w:ind w:left="0" w:leftChars="0" w:right="0" w:rightChars="0"/>
                    <w:contextualSpacing/>
                    <w:jc w:val="center"/>
                    <w:rPr>
                      <w:color w:val="0000FF"/>
                      <w:szCs w:val="21"/>
                    </w:rPr>
                  </w:pPr>
                  <w:r>
                    <w:rPr>
                      <w:rFonts w:hint="eastAsia" w:cs="Times New Roman"/>
                      <w:color w:val="0000FF"/>
                      <w:szCs w:val="21"/>
                      <w:lang w:val="en-US" w:eastAsia="zh-CN"/>
                    </w:rPr>
                    <w:t>DA004</w:t>
                  </w:r>
                </w:p>
              </w:tc>
              <w:tc>
                <w:tcPr>
                  <w:tcW w:w="1492" w:type="pct"/>
                  <w:vAlign w:val="center"/>
                </w:tcPr>
                <w:p w14:paraId="7FDDF4B3">
                  <w:pPr>
                    <w:adjustRightInd w:val="0"/>
                    <w:snapToGrid w:val="0"/>
                    <w:spacing w:line="300" w:lineRule="atLeast"/>
                    <w:jc w:val="center"/>
                    <w:rPr>
                      <w:bCs/>
                      <w:color w:val="0000FF"/>
                      <w:spacing w:val="-10"/>
                      <w:szCs w:val="21"/>
                    </w:rPr>
                  </w:pPr>
                  <w:r>
                    <w:rPr>
                      <w:rFonts w:hint="eastAsia"/>
                      <w:bCs/>
                      <w:color w:val="0000FF"/>
                      <w:spacing w:val="-10"/>
                      <w:szCs w:val="21"/>
                    </w:rPr>
                    <w:t>E130.5588465</w:t>
                  </w:r>
                  <w:r>
                    <w:rPr>
                      <w:bCs/>
                      <w:color w:val="0000FF"/>
                      <w:spacing w:val="-10"/>
                      <w:szCs w:val="21"/>
                    </w:rPr>
                    <w:t>°；</w:t>
                  </w:r>
                  <w:r>
                    <w:rPr>
                      <w:rFonts w:hint="eastAsia"/>
                      <w:bCs/>
                      <w:color w:val="0000FF"/>
                      <w:spacing w:val="-10"/>
                      <w:szCs w:val="21"/>
                    </w:rPr>
                    <w:t>N46.267269</w:t>
                  </w:r>
                  <w:r>
                    <w:rPr>
                      <w:bCs/>
                      <w:color w:val="0000FF"/>
                      <w:spacing w:val="-10"/>
                      <w:szCs w:val="21"/>
                    </w:rPr>
                    <w:t>°</w:t>
                  </w:r>
                </w:p>
              </w:tc>
              <w:tc>
                <w:tcPr>
                  <w:tcW w:w="744" w:type="pct"/>
                  <w:vAlign w:val="center"/>
                </w:tcPr>
                <w:p w14:paraId="75804DA5">
                  <w:pPr>
                    <w:adjustRightInd w:val="0"/>
                    <w:snapToGrid w:val="0"/>
                    <w:spacing w:line="300" w:lineRule="atLeast"/>
                    <w:jc w:val="center"/>
                    <w:rPr>
                      <w:bCs/>
                      <w:color w:val="0000FF"/>
                      <w:spacing w:val="-10"/>
                      <w:szCs w:val="21"/>
                    </w:rPr>
                  </w:pPr>
                  <w:r>
                    <w:rPr>
                      <w:bCs/>
                      <w:color w:val="0000FF"/>
                      <w:spacing w:val="-10"/>
                      <w:szCs w:val="21"/>
                    </w:rPr>
                    <w:t>一般排放口</w:t>
                  </w:r>
                </w:p>
              </w:tc>
              <w:tc>
                <w:tcPr>
                  <w:tcW w:w="620" w:type="pct"/>
                  <w:vAlign w:val="center"/>
                </w:tcPr>
                <w:p w14:paraId="5713FC61">
                  <w:pPr>
                    <w:adjustRightInd w:val="0"/>
                    <w:snapToGrid w:val="0"/>
                    <w:spacing w:line="300" w:lineRule="atLeast"/>
                    <w:jc w:val="center"/>
                    <w:rPr>
                      <w:bCs/>
                      <w:color w:val="0000FF"/>
                      <w:spacing w:val="-10"/>
                      <w:szCs w:val="21"/>
                    </w:rPr>
                  </w:pPr>
                  <w:r>
                    <w:rPr>
                      <w:bCs/>
                      <w:color w:val="0000FF"/>
                      <w:spacing w:val="-10"/>
                      <w:szCs w:val="21"/>
                    </w:rPr>
                    <w:t>0.3</w:t>
                  </w:r>
                </w:p>
              </w:tc>
              <w:tc>
                <w:tcPr>
                  <w:tcW w:w="611" w:type="pct"/>
                  <w:vAlign w:val="center"/>
                </w:tcPr>
                <w:p w14:paraId="7C00905B">
                  <w:pPr>
                    <w:adjustRightInd w:val="0"/>
                    <w:snapToGrid w:val="0"/>
                    <w:spacing w:line="300" w:lineRule="atLeast"/>
                    <w:jc w:val="center"/>
                    <w:rPr>
                      <w:rFonts w:hint="default"/>
                      <w:bCs/>
                      <w:color w:val="0000FF"/>
                      <w:spacing w:val="-10"/>
                      <w:szCs w:val="21"/>
                      <w:lang w:val="en-US"/>
                    </w:rPr>
                  </w:pPr>
                  <w:r>
                    <w:rPr>
                      <w:rFonts w:hint="eastAsia"/>
                      <w:bCs/>
                      <w:color w:val="0000FF"/>
                      <w:spacing w:val="-10"/>
                      <w:szCs w:val="21"/>
                      <w:lang w:val="en-US" w:eastAsia="zh-CN"/>
                    </w:rPr>
                    <w:t>20</w:t>
                  </w:r>
                </w:p>
              </w:tc>
              <w:tc>
                <w:tcPr>
                  <w:tcW w:w="611" w:type="pct"/>
                  <w:vAlign w:val="center"/>
                </w:tcPr>
                <w:p w14:paraId="253F5438">
                  <w:pPr>
                    <w:adjustRightInd w:val="0"/>
                    <w:snapToGrid w:val="0"/>
                    <w:spacing w:line="300" w:lineRule="atLeast"/>
                    <w:jc w:val="center"/>
                    <w:rPr>
                      <w:bCs/>
                      <w:color w:val="0000FF"/>
                      <w:spacing w:val="-10"/>
                      <w:szCs w:val="21"/>
                    </w:rPr>
                  </w:pPr>
                  <w:r>
                    <w:rPr>
                      <w:bCs/>
                      <w:color w:val="0000FF"/>
                      <w:spacing w:val="-10"/>
                      <w:szCs w:val="21"/>
                    </w:rPr>
                    <w:t>常温</w:t>
                  </w:r>
                </w:p>
              </w:tc>
            </w:tr>
            <w:tr w14:paraId="3F7C9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570" w:type="pct"/>
                  <w:vAlign w:val="center"/>
                </w:tcPr>
                <w:p w14:paraId="404AF852">
                  <w:pPr>
                    <w:keepNext w:val="0"/>
                    <w:keepLines w:val="0"/>
                    <w:suppressLineNumbers w:val="0"/>
                    <w:adjustRightInd w:val="0"/>
                    <w:snapToGrid w:val="0"/>
                    <w:spacing w:before="0" w:beforeAutospacing="0" w:after="0" w:afterAutospacing="0" w:line="300" w:lineRule="atLeast"/>
                    <w:ind w:left="0" w:leftChars="0" w:right="0" w:rightChars="0"/>
                    <w:jc w:val="center"/>
                    <w:rPr>
                      <w:rFonts w:hint="eastAsia"/>
                      <w:bCs/>
                      <w:color w:val="0000FF"/>
                      <w:spacing w:val="-10"/>
                      <w:szCs w:val="21"/>
                      <w:lang w:eastAsia="zh-CN"/>
                    </w:rPr>
                  </w:pPr>
                  <w:r>
                    <w:rPr>
                      <w:rFonts w:hint="eastAsia" w:cs="Times New Roman"/>
                      <w:bCs/>
                      <w:color w:val="0000FF"/>
                      <w:spacing w:val="-10"/>
                      <w:sz w:val="21"/>
                      <w:szCs w:val="21"/>
                      <w:lang w:val="en-US" w:eastAsia="zh-CN"/>
                    </w:rPr>
                    <w:t>污水处理站排气筒</w:t>
                  </w:r>
                </w:p>
              </w:tc>
              <w:tc>
                <w:tcPr>
                  <w:tcW w:w="348" w:type="pct"/>
                  <w:vAlign w:val="center"/>
                </w:tcPr>
                <w:p w14:paraId="5E41FDCC">
                  <w:pPr>
                    <w:keepNext w:val="0"/>
                    <w:keepLines w:val="0"/>
                    <w:suppressLineNumbers w:val="0"/>
                    <w:autoSpaceDE w:val="0"/>
                    <w:autoSpaceDN w:val="0"/>
                    <w:spacing w:before="0" w:beforeAutospacing="0" w:after="0" w:afterAutospacing="0"/>
                    <w:ind w:left="0" w:leftChars="0" w:right="0" w:rightChars="0"/>
                    <w:contextualSpacing/>
                    <w:jc w:val="center"/>
                    <w:rPr>
                      <w:color w:val="0000FF"/>
                      <w:szCs w:val="21"/>
                    </w:rPr>
                  </w:pPr>
                  <w:r>
                    <w:rPr>
                      <w:rFonts w:hint="eastAsia" w:cs="Times New Roman"/>
                      <w:color w:val="0000FF"/>
                      <w:szCs w:val="21"/>
                      <w:highlight w:val="none"/>
                      <w:lang w:val="en-US" w:eastAsia="zh-CN"/>
                    </w:rPr>
                    <w:t>DA005</w:t>
                  </w:r>
                </w:p>
              </w:tc>
              <w:tc>
                <w:tcPr>
                  <w:tcW w:w="1492" w:type="pct"/>
                  <w:vAlign w:val="center"/>
                </w:tcPr>
                <w:p w14:paraId="7F19B1C6">
                  <w:pPr>
                    <w:keepNext w:val="0"/>
                    <w:keepLines w:val="0"/>
                    <w:suppressLineNumbers w:val="0"/>
                    <w:adjustRightInd w:val="0"/>
                    <w:snapToGrid w:val="0"/>
                    <w:spacing w:before="0" w:beforeAutospacing="0" w:after="0" w:afterAutospacing="0" w:line="300" w:lineRule="atLeast"/>
                    <w:ind w:left="0" w:leftChars="0" w:right="0" w:rightChars="0"/>
                    <w:jc w:val="center"/>
                    <w:rPr>
                      <w:rFonts w:hint="eastAsia"/>
                      <w:bCs/>
                      <w:color w:val="0000FF"/>
                      <w:spacing w:val="-10"/>
                      <w:szCs w:val="21"/>
                    </w:rPr>
                  </w:pPr>
                  <w:r>
                    <w:rPr>
                      <w:rFonts w:hint="eastAsia" w:cs="Times New Roman"/>
                      <w:bCs/>
                      <w:color w:val="0000FF"/>
                      <w:spacing w:val="-10"/>
                      <w:sz w:val="21"/>
                      <w:szCs w:val="21"/>
                      <w:lang w:val="en-US" w:eastAsia="zh-CN"/>
                    </w:rPr>
                    <w:t>E130.5577981</w:t>
                  </w:r>
                  <w:r>
                    <w:rPr>
                      <w:rFonts w:hint="default" w:ascii="Times New Roman" w:hAnsi="Times New Roman" w:cs="Times New Roman"/>
                      <w:bCs/>
                      <w:color w:val="0000FF"/>
                      <w:spacing w:val="-10"/>
                      <w:sz w:val="21"/>
                      <w:szCs w:val="21"/>
                    </w:rPr>
                    <w:t>°</w:t>
                  </w:r>
                  <w:r>
                    <w:rPr>
                      <w:rFonts w:hint="default" w:ascii="Times New Roman" w:hAnsi="Times New Roman" w:cs="Times New Roman"/>
                      <w:bCs/>
                      <w:color w:val="0000FF"/>
                      <w:spacing w:val="-10"/>
                      <w:sz w:val="21"/>
                      <w:szCs w:val="21"/>
                      <w:lang w:eastAsia="zh-CN"/>
                    </w:rPr>
                    <w:t>；</w:t>
                  </w:r>
                  <w:r>
                    <w:rPr>
                      <w:rFonts w:hint="eastAsia" w:cs="Times New Roman"/>
                      <w:bCs/>
                      <w:color w:val="0000FF"/>
                      <w:spacing w:val="-10"/>
                      <w:sz w:val="21"/>
                      <w:szCs w:val="21"/>
                      <w:lang w:val="en-US" w:eastAsia="zh-CN"/>
                    </w:rPr>
                    <w:t>N46.2688942</w:t>
                  </w:r>
                  <w:r>
                    <w:rPr>
                      <w:rFonts w:hint="default" w:ascii="Times New Roman" w:hAnsi="Times New Roman" w:cs="Times New Roman"/>
                      <w:bCs/>
                      <w:color w:val="0000FF"/>
                      <w:spacing w:val="-10"/>
                      <w:sz w:val="21"/>
                      <w:szCs w:val="21"/>
                      <w:lang w:val="en-US" w:eastAsia="zh-CN"/>
                    </w:rPr>
                    <w:t>°</w:t>
                  </w:r>
                </w:p>
              </w:tc>
              <w:tc>
                <w:tcPr>
                  <w:tcW w:w="744" w:type="pct"/>
                  <w:vAlign w:val="center"/>
                </w:tcPr>
                <w:p w14:paraId="34B441F9">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rPr>
                    <w:t>一般排放口</w:t>
                  </w:r>
                </w:p>
              </w:tc>
              <w:tc>
                <w:tcPr>
                  <w:tcW w:w="620" w:type="pct"/>
                  <w:vAlign w:val="center"/>
                </w:tcPr>
                <w:p w14:paraId="0CFB1DA6">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rPr>
                    <w:t>0.3</w:t>
                  </w:r>
                </w:p>
              </w:tc>
              <w:tc>
                <w:tcPr>
                  <w:tcW w:w="611" w:type="pct"/>
                  <w:vAlign w:val="center"/>
                </w:tcPr>
                <w:p w14:paraId="49633885">
                  <w:pPr>
                    <w:keepNext w:val="0"/>
                    <w:keepLines w:val="0"/>
                    <w:suppressLineNumbers w:val="0"/>
                    <w:adjustRightInd w:val="0"/>
                    <w:snapToGrid w:val="0"/>
                    <w:spacing w:before="0" w:beforeAutospacing="0" w:after="0" w:afterAutospacing="0" w:line="300" w:lineRule="atLeast"/>
                    <w:ind w:left="0" w:leftChars="0" w:right="0" w:rightChars="0"/>
                    <w:jc w:val="center"/>
                    <w:rPr>
                      <w:rFonts w:hint="eastAsia"/>
                      <w:bCs/>
                      <w:color w:val="0000FF"/>
                      <w:spacing w:val="-10"/>
                      <w:szCs w:val="21"/>
                    </w:rPr>
                  </w:pPr>
                  <w:r>
                    <w:rPr>
                      <w:rFonts w:hint="eastAsia" w:cs="Times New Roman"/>
                      <w:bCs/>
                      <w:color w:val="0000FF"/>
                      <w:spacing w:val="-10"/>
                      <w:sz w:val="21"/>
                      <w:szCs w:val="21"/>
                      <w:lang w:val="en-US" w:eastAsia="zh-CN"/>
                    </w:rPr>
                    <w:t>15</w:t>
                  </w:r>
                </w:p>
              </w:tc>
              <w:tc>
                <w:tcPr>
                  <w:tcW w:w="611" w:type="pct"/>
                  <w:vAlign w:val="center"/>
                </w:tcPr>
                <w:p w14:paraId="7DDB7EDE">
                  <w:pPr>
                    <w:keepNext w:val="0"/>
                    <w:keepLines w:val="0"/>
                    <w:suppressLineNumbers w:val="0"/>
                    <w:adjustRightInd w:val="0"/>
                    <w:snapToGrid w:val="0"/>
                    <w:spacing w:before="0" w:beforeAutospacing="0" w:after="0" w:afterAutospacing="0" w:line="300" w:lineRule="atLeast"/>
                    <w:ind w:left="0" w:leftChars="0" w:right="0" w:rightChars="0"/>
                    <w:jc w:val="center"/>
                    <w:rPr>
                      <w:bCs/>
                      <w:color w:val="0000FF"/>
                      <w:spacing w:val="-10"/>
                      <w:szCs w:val="21"/>
                    </w:rPr>
                  </w:pPr>
                  <w:r>
                    <w:rPr>
                      <w:rFonts w:hint="default" w:ascii="Times New Roman" w:hAnsi="Times New Roman" w:cs="Times New Roman"/>
                      <w:bCs/>
                      <w:color w:val="0000FF"/>
                      <w:spacing w:val="-10"/>
                      <w:sz w:val="21"/>
                      <w:szCs w:val="21"/>
                      <w:lang w:val="en-US" w:eastAsia="zh-CN"/>
                    </w:rPr>
                    <w:t>常温</w:t>
                  </w:r>
                </w:p>
              </w:tc>
            </w:tr>
          </w:tbl>
          <w:p w14:paraId="1A83E558">
            <w:pPr>
              <w:spacing w:line="360" w:lineRule="auto"/>
              <w:ind w:firstLine="480" w:firstLineChars="200"/>
              <w:textAlignment w:val="center"/>
              <w:rPr>
                <w:color w:val="auto"/>
                <w:sz w:val="24"/>
              </w:rPr>
            </w:pPr>
            <w:r>
              <w:rPr>
                <w:rFonts w:hint="eastAsia"/>
                <w:color w:val="auto"/>
                <w:sz w:val="24"/>
              </w:rPr>
              <w:t>12</w:t>
            </w:r>
            <w:r>
              <w:rPr>
                <w:color w:val="auto"/>
                <w:sz w:val="24"/>
              </w:rPr>
              <w:t>、监测计划</w:t>
            </w:r>
          </w:p>
          <w:p w14:paraId="6E7BAC98">
            <w:pPr>
              <w:spacing w:line="360" w:lineRule="auto"/>
              <w:ind w:firstLine="480" w:firstLineChars="200"/>
              <w:rPr>
                <w:color w:val="auto"/>
                <w:szCs w:val="21"/>
              </w:rPr>
            </w:pPr>
            <w:r>
              <w:rPr>
                <w:color w:val="auto"/>
                <w:sz w:val="24"/>
              </w:rPr>
              <w:t>根据《排污单位自行监测技术指南 总则》（HJ819-2017）、《排污单位自行监测技术指南 火力发电及锅炉》（HJ820-2017）</w:t>
            </w:r>
          </w:p>
          <w:p w14:paraId="1C959A80">
            <w:pPr>
              <w:spacing w:line="360" w:lineRule="auto"/>
              <w:ind w:firstLine="480" w:firstLineChars="200"/>
              <w:textAlignment w:val="center"/>
              <w:rPr>
                <w:color w:val="auto"/>
                <w:sz w:val="24"/>
              </w:rPr>
            </w:pPr>
            <w:r>
              <w:rPr>
                <w:color w:val="auto"/>
                <w:sz w:val="24"/>
              </w:rPr>
              <w:t>针对本项目排放的主要大气污染物，企业需定期委托有资质的单位进行监测， 确保达标排放，减轻对周围环境的污染。具体监测计划见下表。</w:t>
            </w:r>
          </w:p>
          <w:p w14:paraId="054F460F">
            <w:pPr>
              <w:pStyle w:val="160"/>
              <w:spacing w:line="360" w:lineRule="auto"/>
              <w:rPr>
                <w:color w:val="auto"/>
                <w:sz w:val="24"/>
              </w:rPr>
            </w:pPr>
            <w:r>
              <w:rPr>
                <w:rFonts w:hint="eastAsia"/>
                <w:color w:val="auto"/>
                <w:sz w:val="24"/>
              </w:rPr>
              <w:t>表4-</w:t>
            </w:r>
            <w:r>
              <w:rPr>
                <w:rFonts w:hint="eastAsia"/>
                <w:color w:val="auto"/>
                <w:sz w:val="24"/>
                <w:lang w:val="en-US" w:eastAsia="zh-CN"/>
              </w:rPr>
              <w:t>6</w:t>
            </w:r>
            <w:r>
              <w:rPr>
                <w:rFonts w:hint="eastAsia"/>
                <w:color w:val="auto"/>
                <w:sz w:val="24"/>
              </w:rPr>
              <w:t xml:space="preserve"> 营运期有组织废气监测计划表</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2093"/>
              <w:gridCol w:w="1505"/>
              <w:gridCol w:w="3317"/>
            </w:tblGrid>
            <w:tr w14:paraId="40029A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6" w:type="dxa"/>
                  <w:tcBorders>
                    <w:top w:val="single" w:color="000000" w:sz="12" w:space="0"/>
                    <w:left w:val="nil"/>
                    <w:bottom w:val="single" w:color="000000" w:sz="4" w:space="0"/>
                    <w:right w:val="single" w:color="000000" w:sz="4" w:space="0"/>
                  </w:tcBorders>
                  <w:vAlign w:val="center"/>
                </w:tcPr>
                <w:p w14:paraId="217BE5EB">
                  <w:pPr>
                    <w:jc w:val="center"/>
                    <w:rPr>
                      <w:color w:val="auto"/>
                      <w:szCs w:val="21"/>
                    </w:rPr>
                  </w:pPr>
                  <w:r>
                    <w:rPr>
                      <w:color w:val="auto"/>
                      <w:szCs w:val="21"/>
                    </w:rPr>
                    <w:t>监测点位</w:t>
                  </w:r>
                </w:p>
              </w:tc>
              <w:tc>
                <w:tcPr>
                  <w:tcW w:w="2105" w:type="dxa"/>
                  <w:tcBorders>
                    <w:top w:val="single" w:color="000000" w:sz="12" w:space="0"/>
                    <w:left w:val="single" w:color="000000" w:sz="4" w:space="0"/>
                    <w:bottom w:val="single" w:color="000000" w:sz="4" w:space="0"/>
                    <w:right w:val="single" w:color="000000" w:sz="4" w:space="0"/>
                  </w:tcBorders>
                  <w:vAlign w:val="center"/>
                </w:tcPr>
                <w:p w14:paraId="024CCF5B">
                  <w:pPr>
                    <w:jc w:val="center"/>
                    <w:rPr>
                      <w:color w:val="auto"/>
                      <w:szCs w:val="21"/>
                    </w:rPr>
                  </w:pPr>
                  <w:r>
                    <w:rPr>
                      <w:color w:val="auto"/>
                      <w:szCs w:val="21"/>
                    </w:rPr>
                    <w:t>监测指标</w:t>
                  </w:r>
                </w:p>
              </w:tc>
              <w:tc>
                <w:tcPr>
                  <w:tcW w:w="1513" w:type="dxa"/>
                  <w:tcBorders>
                    <w:top w:val="single" w:color="000000" w:sz="12" w:space="0"/>
                    <w:left w:val="single" w:color="000000" w:sz="4" w:space="0"/>
                    <w:bottom w:val="single" w:color="000000" w:sz="4" w:space="0"/>
                    <w:right w:val="single" w:color="000000" w:sz="4" w:space="0"/>
                  </w:tcBorders>
                  <w:vAlign w:val="center"/>
                </w:tcPr>
                <w:p w14:paraId="57BCD039">
                  <w:pPr>
                    <w:jc w:val="center"/>
                    <w:rPr>
                      <w:color w:val="auto"/>
                      <w:szCs w:val="21"/>
                    </w:rPr>
                  </w:pPr>
                  <w:r>
                    <w:rPr>
                      <w:color w:val="auto"/>
                      <w:szCs w:val="21"/>
                    </w:rPr>
                    <w:t>监测频次</w:t>
                  </w:r>
                </w:p>
              </w:tc>
              <w:tc>
                <w:tcPr>
                  <w:tcW w:w="3337" w:type="dxa"/>
                  <w:tcBorders>
                    <w:top w:val="single" w:color="000000" w:sz="12" w:space="0"/>
                    <w:left w:val="single" w:color="000000" w:sz="4" w:space="0"/>
                    <w:bottom w:val="single" w:color="000000" w:sz="4" w:space="0"/>
                    <w:right w:val="nil"/>
                  </w:tcBorders>
                  <w:vAlign w:val="center"/>
                </w:tcPr>
                <w:p w14:paraId="55B9E523">
                  <w:pPr>
                    <w:jc w:val="center"/>
                    <w:rPr>
                      <w:color w:val="auto"/>
                      <w:szCs w:val="21"/>
                    </w:rPr>
                  </w:pPr>
                  <w:r>
                    <w:rPr>
                      <w:color w:val="auto"/>
                      <w:szCs w:val="21"/>
                    </w:rPr>
                    <w:t>执行排放标准</w:t>
                  </w:r>
                </w:p>
              </w:tc>
            </w:tr>
            <w:tr w14:paraId="48DA4D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966" w:type="dxa"/>
                  <w:tcBorders>
                    <w:top w:val="single" w:color="000000" w:sz="4" w:space="0"/>
                    <w:left w:val="nil"/>
                    <w:bottom w:val="single" w:color="000000" w:sz="4" w:space="0"/>
                    <w:right w:val="single" w:color="000000" w:sz="4" w:space="0"/>
                  </w:tcBorders>
                  <w:vAlign w:val="center"/>
                </w:tcPr>
                <w:p w14:paraId="7738AD60">
                  <w:pPr>
                    <w:jc w:val="center"/>
                    <w:rPr>
                      <w:color w:val="auto"/>
                      <w:szCs w:val="21"/>
                    </w:rPr>
                  </w:pPr>
                  <w:r>
                    <w:rPr>
                      <w:color w:val="auto"/>
                      <w:szCs w:val="21"/>
                    </w:rPr>
                    <w:t>生物质锅炉排气筒</w:t>
                  </w:r>
                </w:p>
              </w:tc>
              <w:tc>
                <w:tcPr>
                  <w:tcW w:w="2105" w:type="dxa"/>
                  <w:tcBorders>
                    <w:top w:val="single" w:color="000000" w:sz="4" w:space="0"/>
                    <w:left w:val="single" w:color="000000" w:sz="4" w:space="0"/>
                    <w:bottom w:val="single" w:color="000000" w:sz="4" w:space="0"/>
                    <w:right w:val="single" w:color="000000" w:sz="4" w:space="0"/>
                  </w:tcBorders>
                  <w:vAlign w:val="center"/>
                </w:tcPr>
                <w:p w14:paraId="28177C8D">
                  <w:pPr>
                    <w:jc w:val="center"/>
                    <w:rPr>
                      <w:color w:val="auto"/>
                      <w:szCs w:val="21"/>
                    </w:rPr>
                  </w:pPr>
                  <w:r>
                    <w:rPr>
                      <w:color w:val="auto"/>
                      <w:szCs w:val="21"/>
                    </w:rPr>
                    <w:t>颗粒物、SO</w:t>
                  </w:r>
                  <w:r>
                    <w:rPr>
                      <w:color w:val="auto"/>
                      <w:szCs w:val="21"/>
                      <w:vertAlign w:val="subscript"/>
                    </w:rPr>
                    <w:t>2</w:t>
                  </w:r>
                  <w:r>
                    <w:rPr>
                      <w:color w:val="auto"/>
                      <w:szCs w:val="21"/>
                    </w:rPr>
                    <w:t>、NOx</w:t>
                  </w:r>
                  <w:r>
                    <w:rPr>
                      <w:rFonts w:hint="eastAsia"/>
                      <w:color w:val="auto"/>
                      <w:szCs w:val="21"/>
                    </w:rPr>
                    <w:t>、林格曼黑度</w:t>
                  </w:r>
                </w:p>
              </w:tc>
              <w:tc>
                <w:tcPr>
                  <w:tcW w:w="1513" w:type="dxa"/>
                  <w:tcBorders>
                    <w:top w:val="single" w:color="000000" w:sz="4" w:space="0"/>
                    <w:left w:val="single" w:color="000000" w:sz="4" w:space="0"/>
                    <w:bottom w:val="single" w:color="000000" w:sz="4" w:space="0"/>
                    <w:right w:val="single" w:color="000000" w:sz="4" w:space="0"/>
                  </w:tcBorders>
                  <w:vAlign w:val="center"/>
                </w:tcPr>
                <w:p w14:paraId="29A52E16">
                  <w:pPr>
                    <w:jc w:val="center"/>
                    <w:rPr>
                      <w:color w:val="auto"/>
                      <w:szCs w:val="21"/>
                    </w:rPr>
                  </w:pPr>
                  <w:r>
                    <w:rPr>
                      <w:color w:val="auto"/>
                      <w:szCs w:val="21"/>
                    </w:rPr>
                    <w:t>1次/</w:t>
                  </w:r>
                  <w:r>
                    <w:rPr>
                      <w:rFonts w:hint="eastAsia"/>
                      <w:color w:val="auto"/>
                      <w:szCs w:val="21"/>
                    </w:rPr>
                    <w:t>月</w:t>
                  </w:r>
                </w:p>
              </w:tc>
              <w:tc>
                <w:tcPr>
                  <w:tcW w:w="3337" w:type="dxa"/>
                  <w:tcBorders>
                    <w:top w:val="single" w:color="000000" w:sz="4" w:space="0"/>
                    <w:left w:val="single" w:color="000000" w:sz="4" w:space="0"/>
                    <w:bottom w:val="single" w:color="000000" w:sz="4" w:space="0"/>
                    <w:right w:val="nil"/>
                  </w:tcBorders>
                  <w:vAlign w:val="center"/>
                </w:tcPr>
                <w:p w14:paraId="410C72FA">
                  <w:pPr>
                    <w:jc w:val="center"/>
                    <w:rPr>
                      <w:color w:val="auto"/>
                      <w:szCs w:val="21"/>
                    </w:rPr>
                  </w:pPr>
                  <w:r>
                    <w:rPr>
                      <w:color w:val="auto"/>
                    </w:rPr>
                    <w:t>《锅炉大气污染物排放标准》（GB13271-2014）表2中燃煤锅炉排放浓度限值</w:t>
                  </w:r>
                </w:p>
              </w:tc>
            </w:tr>
            <w:tr w14:paraId="10FB5A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66" w:type="dxa"/>
                  <w:tcBorders>
                    <w:top w:val="single" w:color="000000" w:sz="4" w:space="0"/>
                    <w:left w:val="nil"/>
                    <w:bottom w:val="single" w:color="000000" w:sz="4" w:space="0"/>
                    <w:right w:val="single" w:color="000000" w:sz="4" w:space="0"/>
                  </w:tcBorders>
                  <w:vAlign w:val="center"/>
                </w:tcPr>
                <w:p w14:paraId="73414CA1">
                  <w:pPr>
                    <w:jc w:val="center"/>
                    <w:rPr>
                      <w:color w:val="auto"/>
                      <w:szCs w:val="21"/>
                    </w:rPr>
                  </w:pPr>
                  <w:r>
                    <w:rPr>
                      <w:rFonts w:hint="eastAsia"/>
                      <w:color w:val="auto"/>
                      <w:szCs w:val="21"/>
                    </w:rPr>
                    <w:t>筛分、烘干工段</w:t>
                  </w:r>
                  <w:r>
                    <w:rPr>
                      <w:color w:val="auto"/>
                      <w:szCs w:val="21"/>
                    </w:rPr>
                    <w:t>排气筒</w:t>
                  </w:r>
                </w:p>
              </w:tc>
              <w:tc>
                <w:tcPr>
                  <w:tcW w:w="2105" w:type="dxa"/>
                  <w:tcBorders>
                    <w:top w:val="single" w:color="000000" w:sz="4" w:space="0"/>
                    <w:left w:val="single" w:color="000000" w:sz="4" w:space="0"/>
                    <w:bottom w:val="single" w:color="000000" w:sz="4" w:space="0"/>
                    <w:right w:val="single" w:color="000000" w:sz="4" w:space="0"/>
                  </w:tcBorders>
                  <w:vAlign w:val="center"/>
                </w:tcPr>
                <w:p w14:paraId="1F70F8C5">
                  <w:pPr>
                    <w:jc w:val="center"/>
                    <w:rPr>
                      <w:color w:val="auto"/>
                      <w:szCs w:val="21"/>
                    </w:rPr>
                  </w:pPr>
                  <w:r>
                    <w:rPr>
                      <w:color w:val="auto"/>
                      <w:szCs w:val="21"/>
                    </w:rPr>
                    <w:t>颗粒物</w:t>
                  </w:r>
                </w:p>
              </w:tc>
              <w:tc>
                <w:tcPr>
                  <w:tcW w:w="1513" w:type="dxa"/>
                  <w:tcBorders>
                    <w:top w:val="single" w:color="000000" w:sz="4" w:space="0"/>
                    <w:left w:val="single" w:color="000000" w:sz="4" w:space="0"/>
                    <w:bottom w:val="single" w:color="000000" w:sz="4" w:space="0"/>
                    <w:right w:val="single" w:color="000000" w:sz="4" w:space="0"/>
                  </w:tcBorders>
                  <w:vAlign w:val="center"/>
                </w:tcPr>
                <w:p w14:paraId="3ED624A2">
                  <w:pPr>
                    <w:jc w:val="center"/>
                    <w:rPr>
                      <w:color w:val="auto"/>
                      <w:szCs w:val="21"/>
                    </w:rPr>
                  </w:pPr>
                  <w:r>
                    <w:rPr>
                      <w:color w:val="auto"/>
                      <w:szCs w:val="21"/>
                    </w:rPr>
                    <w:t>1次/</w:t>
                  </w:r>
                  <w:r>
                    <w:rPr>
                      <w:rFonts w:hint="eastAsia"/>
                      <w:color w:val="auto"/>
                      <w:szCs w:val="21"/>
                    </w:rPr>
                    <w:t>半年</w:t>
                  </w:r>
                </w:p>
              </w:tc>
              <w:tc>
                <w:tcPr>
                  <w:tcW w:w="3337" w:type="dxa"/>
                  <w:tcBorders>
                    <w:top w:val="single" w:color="000000" w:sz="4" w:space="0"/>
                    <w:left w:val="single" w:color="000000" w:sz="4" w:space="0"/>
                    <w:bottom w:val="single" w:color="000000" w:sz="4" w:space="0"/>
                    <w:right w:val="nil"/>
                  </w:tcBorders>
                  <w:vAlign w:val="center"/>
                </w:tcPr>
                <w:p w14:paraId="70BD4CBC">
                  <w:pPr>
                    <w:jc w:val="center"/>
                    <w:rPr>
                      <w:color w:val="auto"/>
                      <w:szCs w:val="21"/>
                    </w:rPr>
                  </w:pPr>
                  <w:r>
                    <w:rPr>
                      <w:color w:val="auto"/>
                      <w:szCs w:val="21"/>
                    </w:rPr>
                    <w:t>《大气污染物综合排放标准》（GB16297-1996）表2中二级标准排放速率要求及浓度限值</w:t>
                  </w:r>
                </w:p>
              </w:tc>
            </w:tr>
            <w:tr w14:paraId="24F57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66" w:type="dxa"/>
                  <w:tcBorders>
                    <w:top w:val="single" w:color="000000" w:sz="4" w:space="0"/>
                    <w:left w:val="nil"/>
                    <w:bottom w:val="single" w:color="000000" w:sz="4" w:space="0"/>
                    <w:right w:val="single" w:color="000000" w:sz="4" w:space="0"/>
                  </w:tcBorders>
                  <w:vAlign w:val="center"/>
                </w:tcPr>
                <w:p w14:paraId="63D7BC92">
                  <w:pPr>
                    <w:jc w:val="center"/>
                    <w:rPr>
                      <w:rFonts w:hint="eastAsia"/>
                      <w:color w:val="auto"/>
                      <w:szCs w:val="21"/>
                    </w:rPr>
                  </w:pPr>
                  <w:r>
                    <w:rPr>
                      <w:rFonts w:hint="eastAsia"/>
                      <w:color w:val="auto"/>
                      <w:szCs w:val="21"/>
                    </w:rPr>
                    <w:t>添加溶剂（</w:t>
                  </w:r>
                  <w:r>
                    <w:rPr>
                      <w:rFonts w:hint="eastAsia"/>
                      <w:color w:val="auto"/>
                      <w:szCs w:val="21"/>
                      <w:lang w:eastAsia="zh-CN"/>
                    </w:rPr>
                    <w:t>正己烷</w:t>
                  </w:r>
                  <w:r>
                    <w:rPr>
                      <w:rFonts w:hint="eastAsia"/>
                      <w:color w:val="auto"/>
                      <w:szCs w:val="21"/>
                    </w:rPr>
                    <w:t>）</w:t>
                  </w:r>
                  <w:r>
                    <w:rPr>
                      <w:rFonts w:hint="eastAsia"/>
                      <w:color w:val="auto"/>
                      <w:szCs w:val="21"/>
                      <w:lang w:eastAsia="zh-CN"/>
                    </w:rPr>
                    <w:t>和湿粕蒸脱工段</w:t>
                  </w:r>
                </w:p>
              </w:tc>
              <w:tc>
                <w:tcPr>
                  <w:tcW w:w="2105" w:type="dxa"/>
                  <w:tcBorders>
                    <w:top w:val="single" w:color="000000" w:sz="4" w:space="0"/>
                    <w:left w:val="single" w:color="000000" w:sz="4" w:space="0"/>
                    <w:bottom w:val="single" w:color="000000" w:sz="4" w:space="0"/>
                    <w:right w:val="single" w:color="000000" w:sz="4" w:space="0"/>
                  </w:tcBorders>
                  <w:vAlign w:val="center"/>
                </w:tcPr>
                <w:p w14:paraId="182E0685">
                  <w:pPr>
                    <w:jc w:val="center"/>
                    <w:rPr>
                      <w:rFonts w:hint="default" w:eastAsia="宋体"/>
                      <w:color w:val="auto"/>
                      <w:szCs w:val="21"/>
                      <w:lang w:val="en-US" w:eastAsia="zh-CN"/>
                    </w:rPr>
                  </w:pPr>
                  <w:r>
                    <w:rPr>
                      <w:rFonts w:hint="eastAsia"/>
                      <w:color w:val="auto"/>
                      <w:szCs w:val="21"/>
                    </w:rPr>
                    <w:t>有机废气</w:t>
                  </w:r>
                </w:p>
              </w:tc>
              <w:tc>
                <w:tcPr>
                  <w:tcW w:w="1513" w:type="dxa"/>
                  <w:tcBorders>
                    <w:top w:val="single" w:color="000000" w:sz="4" w:space="0"/>
                    <w:left w:val="single" w:color="000000" w:sz="4" w:space="0"/>
                    <w:bottom w:val="single" w:color="000000" w:sz="4" w:space="0"/>
                    <w:right w:val="single" w:color="000000" w:sz="4" w:space="0"/>
                  </w:tcBorders>
                  <w:vAlign w:val="center"/>
                </w:tcPr>
                <w:p w14:paraId="4690E4A7">
                  <w:pPr>
                    <w:jc w:val="center"/>
                    <w:rPr>
                      <w:rFonts w:hint="eastAsia" w:eastAsia="宋体"/>
                      <w:color w:val="auto"/>
                      <w:szCs w:val="21"/>
                      <w:lang w:eastAsia="zh-CN"/>
                    </w:rPr>
                  </w:pPr>
                  <w:r>
                    <w:rPr>
                      <w:color w:val="auto"/>
                      <w:szCs w:val="21"/>
                    </w:rPr>
                    <w:t>1次/</w:t>
                  </w:r>
                  <w:r>
                    <w:rPr>
                      <w:rFonts w:hint="eastAsia"/>
                      <w:color w:val="auto"/>
                      <w:szCs w:val="21"/>
                      <w:lang w:val="en-US" w:eastAsia="zh-CN"/>
                    </w:rPr>
                    <w:t>季度</w:t>
                  </w:r>
                </w:p>
              </w:tc>
              <w:tc>
                <w:tcPr>
                  <w:tcW w:w="3337" w:type="dxa"/>
                  <w:tcBorders>
                    <w:top w:val="single" w:color="000000" w:sz="4" w:space="0"/>
                    <w:left w:val="single" w:color="000000" w:sz="4" w:space="0"/>
                    <w:bottom w:val="single" w:color="000000" w:sz="4" w:space="0"/>
                    <w:right w:val="nil"/>
                  </w:tcBorders>
                  <w:vAlign w:val="center"/>
                </w:tcPr>
                <w:p w14:paraId="1D7941D8">
                  <w:pPr>
                    <w:jc w:val="center"/>
                    <w:rPr>
                      <w:color w:val="auto"/>
                      <w:szCs w:val="21"/>
                    </w:rPr>
                  </w:pPr>
                  <w:r>
                    <w:rPr>
                      <w:color w:val="auto"/>
                      <w:szCs w:val="21"/>
                    </w:rPr>
                    <w:t>《大气污染物综合排放标准》（GB16297-1996）二级标准</w:t>
                  </w:r>
                  <w:r>
                    <w:rPr>
                      <w:rFonts w:hint="eastAsia"/>
                      <w:color w:val="auto"/>
                      <w:szCs w:val="21"/>
                    </w:rPr>
                    <w:t>、</w:t>
                  </w:r>
                  <w:r>
                    <w:rPr>
                      <w:color w:val="auto"/>
                      <w:szCs w:val="21"/>
                    </w:rPr>
                    <w:t>《挥发性有机物无组织排放控制标准》</w:t>
                  </w:r>
                </w:p>
              </w:tc>
            </w:tr>
            <w:tr w14:paraId="3738A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66" w:type="dxa"/>
                  <w:tcBorders>
                    <w:top w:val="single" w:color="000000" w:sz="4" w:space="0"/>
                    <w:left w:val="nil"/>
                    <w:bottom w:val="single" w:color="000000" w:sz="4" w:space="0"/>
                    <w:right w:val="single" w:color="000000" w:sz="4" w:space="0"/>
                  </w:tcBorders>
                  <w:vAlign w:val="center"/>
                </w:tcPr>
                <w:p w14:paraId="083113F6">
                  <w:pPr>
                    <w:jc w:val="center"/>
                    <w:rPr>
                      <w:rFonts w:hint="eastAsia" w:eastAsia="宋体"/>
                      <w:color w:val="auto"/>
                      <w:szCs w:val="21"/>
                      <w:lang w:val="en-US" w:eastAsia="zh-CN"/>
                    </w:rPr>
                  </w:pPr>
                  <w:r>
                    <w:rPr>
                      <w:rFonts w:hint="eastAsia"/>
                      <w:color w:val="auto"/>
                      <w:szCs w:val="21"/>
                      <w:lang w:val="en-US" w:eastAsia="zh-CN"/>
                    </w:rPr>
                    <w:t>污水处理站</w:t>
                  </w:r>
                </w:p>
              </w:tc>
              <w:tc>
                <w:tcPr>
                  <w:tcW w:w="2105" w:type="dxa"/>
                  <w:tcBorders>
                    <w:top w:val="single" w:color="000000" w:sz="4" w:space="0"/>
                    <w:left w:val="single" w:color="000000" w:sz="4" w:space="0"/>
                    <w:bottom w:val="single" w:color="000000" w:sz="4" w:space="0"/>
                    <w:right w:val="single" w:color="000000" w:sz="4" w:space="0"/>
                  </w:tcBorders>
                  <w:vAlign w:val="center"/>
                </w:tcPr>
                <w:p w14:paraId="19555C62">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硫化氢</w:t>
                  </w:r>
                </w:p>
                <w:p w14:paraId="67D68288">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rPr>
                    <w:t>氨</w:t>
                  </w:r>
                  <w:r>
                    <w:rPr>
                      <w:rFonts w:hint="eastAsia" w:ascii="Times New Roman" w:hAnsi="Times New Roman" w:eastAsia="宋体" w:cs="Times New Roman"/>
                      <w:color w:val="auto"/>
                      <w:szCs w:val="21"/>
                      <w:lang w:eastAsia="zh-CN"/>
                    </w:rPr>
                    <w:t>气</w:t>
                  </w:r>
                </w:p>
                <w:p w14:paraId="209F5F24">
                  <w:pPr>
                    <w:jc w:val="center"/>
                    <w:rPr>
                      <w:color w:val="auto"/>
                      <w:szCs w:val="21"/>
                    </w:rPr>
                  </w:pPr>
                  <w:r>
                    <w:rPr>
                      <w:rFonts w:hint="eastAsia" w:ascii="Times New Roman" w:hAnsi="Times New Roman" w:eastAsia="宋体" w:cs="Times New Roman"/>
                      <w:color w:val="auto"/>
                      <w:szCs w:val="21"/>
                    </w:rPr>
                    <w:t>臭气浓度</w:t>
                  </w:r>
                </w:p>
              </w:tc>
              <w:tc>
                <w:tcPr>
                  <w:tcW w:w="1513" w:type="dxa"/>
                  <w:tcBorders>
                    <w:top w:val="single" w:color="000000" w:sz="4" w:space="0"/>
                    <w:left w:val="single" w:color="000000" w:sz="4" w:space="0"/>
                    <w:bottom w:val="single" w:color="000000" w:sz="4" w:space="0"/>
                    <w:right w:val="single" w:color="000000" w:sz="4" w:space="0"/>
                  </w:tcBorders>
                  <w:vAlign w:val="center"/>
                </w:tcPr>
                <w:p w14:paraId="3387CDA7">
                  <w:pPr>
                    <w:jc w:val="center"/>
                    <w:rPr>
                      <w:color w:val="auto"/>
                      <w:szCs w:val="21"/>
                    </w:rPr>
                  </w:pPr>
                  <w:r>
                    <w:rPr>
                      <w:color w:val="auto"/>
                      <w:szCs w:val="21"/>
                      <w:highlight w:val="none"/>
                    </w:rPr>
                    <w:t>1次/半年</w:t>
                  </w:r>
                </w:p>
              </w:tc>
              <w:tc>
                <w:tcPr>
                  <w:tcW w:w="3337" w:type="dxa"/>
                  <w:tcBorders>
                    <w:top w:val="single" w:color="000000" w:sz="4" w:space="0"/>
                    <w:left w:val="single" w:color="000000" w:sz="4" w:space="0"/>
                    <w:bottom w:val="single" w:color="000000" w:sz="4" w:space="0"/>
                    <w:right w:val="nil"/>
                  </w:tcBorders>
                  <w:vAlign w:val="center"/>
                </w:tcPr>
                <w:p w14:paraId="07BC81D8">
                  <w:pPr>
                    <w:jc w:val="center"/>
                    <w:rPr>
                      <w:color w:val="auto"/>
                      <w:szCs w:val="21"/>
                    </w:rPr>
                  </w:pPr>
                  <w:r>
                    <w:rPr>
                      <w:color w:val="auto"/>
                      <w:kern w:val="0"/>
                      <w:szCs w:val="21"/>
                    </w:rPr>
                    <w:t>《恶臭污染物排放标准》（GB14554-93）</w:t>
                  </w:r>
                </w:p>
              </w:tc>
            </w:tr>
          </w:tbl>
          <w:p w14:paraId="4DAD5A28">
            <w:pPr>
              <w:pStyle w:val="160"/>
              <w:spacing w:line="360" w:lineRule="auto"/>
              <w:rPr>
                <w:rFonts w:hint="eastAsia" w:ascii="Times New Roman" w:hAnsi="Times New Roman" w:cs="Times New Roman"/>
                <w:color w:val="auto"/>
                <w:sz w:val="24"/>
              </w:rPr>
            </w:pPr>
            <w:r>
              <w:rPr>
                <w:rFonts w:hint="eastAsia" w:ascii="Times New Roman" w:hAnsi="Times New Roman" w:cs="Times New Roman"/>
                <w:color w:val="auto"/>
                <w:sz w:val="24"/>
              </w:rPr>
              <w:t>表4-</w:t>
            </w:r>
            <w:r>
              <w:rPr>
                <w:rFonts w:hint="eastAsia" w:ascii="Times New Roman" w:hAnsi="Times New Roman" w:cs="Times New Roman"/>
                <w:color w:val="auto"/>
                <w:sz w:val="24"/>
                <w:lang w:val="en-US" w:eastAsia="zh-CN"/>
              </w:rPr>
              <w:t>7</w:t>
            </w:r>
            <w:r>
              <w:rPr>
                <w:rFonts w:hint="eastAsia" w:ascii="Times New Roman" w:hAnsi="Times New Roman" w:cs="Times New Roman"/>
                <w:color w:val="auto"/>
                <w:sz w:val="24"/>
              </w:rPr>
              <w:t xml:space="preserve"> 本项目营运期无组织废气监测计划表</w:t>
            </w:r>
          </w:p>
          <w:tbl>
            <w:tblPr>
              <w:tblStyle w:val="3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0"/>
              <w:gridCol w:w="1768"/>
              <w:gridCol w:w="1751"/>
              <w:gridCol w:w="3611"/>
            </w:tblGrid>
            <w:tr w14:paraId="4D714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1" w:type="dxa"/>
                  <w:tcBorders>
                    <w:top w:val="single" w:color="auto" w:sz="12" w:space="0"/>
                  </w:tcBorders>
                  <w:vAlign w:val="center"/>
                </w:tcPr>
                <w:p w14:paraId="3EA7CE15">
                  <w:pPr>
                    <w:jc w:val="center"/>
                    <w:rPr>
                      <w:rFonts w:ascii="宋体" w:hAnsi="宋体" w:cs="宋体"/>
                      <w:color w:val="auto"/>
                      <w:szCs w:val="21"/>
                    </w:rPr>
                  </w:pPr>
                  <w:r>
                    <w:rPr>
                      <w:rFonts w:hint="eastAsia" w:ascii="宋体" w:hAnsi="宋体" w:cs="宋体"/>
                      <w:color w:val="auto"/>
                      <w:szCs w:val="21"/>
                    </w:rPr>
                    <w:t>监测点位</w:t>
                  </w:r>
                </w:p>
              </w:tc>
              <w:tc>
                <w:tcPr>
                  <w:tcW w:w="1769" w:type="dxa"/>
                  <w:tcBorders>
                    <w:top w:val="single" w:color="auto" w:sz="12" w:space="0"/>
                  </w:tcBorders>
                  <w:vAlign w:val="center"/>
                </w:tcPr>
                <w:p w14:paraId="380C2BE0">
                  <w:pPr>
                    <w:jc w:val="center"/>
                    <w:rPr>
                      <w:rFonts w:ascii="宋体" w:hAnsi="宋体" w:cs="宋体"/>
                      <w:color w:val="auto"/>
                      <w:szCs w:val="21"/>
                    </w:rPr>
                  </w:pPr>
                  <w:r>
                    <w:rPr>
                      <w:rFonts w:hint="eastAsia" w:ascii="宋体" w:hAnsi="宋体" w:cs="宋体"/>
                      <w:color w:val="auto"/>
                      <w:szCs w:val="21"/>
                    </w:rPr>
                    <w:t>监测指标</w:t>
                  </w:r>
                </w:p>
              </w:tc>
              <w:tc>
                <w:tcPr>
                  <w:tcW w:w="1752" w:type="dxa"/>
                  <w:tcBorders>
                    <w:top w:val="single" w:color="auto" w:sz="12" w:space="0"/>
                  </w:tcBorders>
                  <w:vAlign w:val="center"/>
                </w:tcPr>
                <w:p w14:paraId="27B0B9E0">
                  <w:pPr>
                    <w:jc w:val="center"/>
                    <w:rPr>
                      <w:rFonts w:ascii="宋体" w:hAnsi="宋体" w:cs="宋体"/>
                      <w:color w:val="auto"/>
                      <w:szCs w:val="21"/>
                    </w:rPr>
                  </w:pPr>
                  <w:r>
                    <w:rPr>
                      <w:rFonts w:hint="eastAsia" w:ascii="宋体" w:hAnsi="宋体" w:cs="宋体"/>
                      <w:color w:val="auto"/>
                      <w:szCs w:val="21"/>
                    </w:rPr>
                    <w:t>监测频次</w:t>
                  </w:r>
                </w:p>
              </w:tc>
              <w:tc>
                <w:tcPr>
                  <w:tcW w:w="3613" w:type="dxa"/>
                  <w:tcBorders>
                    <w:top w:val="single" w:color="auto" w:sz="12" w:space="0"/>
                    <w:right w:val="nil"/>
                  </w:tcBorders>
                  <w:vAlign w:val="center"/>
                </w:tcPr>
                <w:p w14:paraId="536CBC68">
                  <w:pPr>
                    <w:jc w:val="center"/>
                    <w:rPr>
                      <w:rFonts w:ascii="宋体" w:hAnsi="宋体" w:cs="宋体"/>
                      <w:color w:val="auto"/>
                      <w:szCs w:val="21"/>
                    </w:rPr>
                  </w:pPr>
                  <w:r>
                    <w:rPr>
                      <w:rFonts w:hint="eastAsia" w:ascii="宋体" w:hAnsi="宋体" w:cs="宋体"/>
                      <w:color w:val="auto"/>
                      <w:szCs w:val="21"/>
                    </w:rPr>
                    <w:t>执行排放标准</w:t>
                  </w:r>
                </w:p>
              </w:tc>
            </w:tr>
            <w:tr w14:paraId="27E2F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1" w:type="dxa"/>
                  <w:vMerge w:val="restart"/>
                  <w:tcBorders>
                    <w:left w:val="nil"/>
                  </w:tcBorders>
                  <w:vAlign w:val="center"/>
                </w:tcPr>
                <w:p w14:paraId="4871E5BB">
                  <w:pPr>
                    <w:jc w:val="center"/>
                    <w:rPr>
                      <w:color w:val="auto"/>
                      <w:szCs w:val="21"/>
                    </w:rPr>
                  </w:pPr>
                  <w:r>
                    <w:rPr>
                      <w:rFonts w:hint="eastAsia"/>
                      <w:color w:val="auto"/>
                      <w:szCs w:val="21"/>
                    </w:rPr>
                    <w:t>厂界</w:t>
                  </w:r>
                </w:p>
              </w:tc>
              <w:tc>
                <w:tcPr>
                  <w:tcW w:w="1769" w:type="dxa"/>
                  <w:vAlign w:val="center"/>
                </w:tcPr>
                <w:p w14:paraId="6DF3B96D">
                  <w:pPr>
                    <w:jc w:val="center"/>
                    <w:rPr>
                      <w:color w:val="auto"/>
                      <w:szCs w:val="21"/>
                    </w:rPr>
                  </w:pPr>
                  <w:r>
                    <w:rPr>
                      <w:rFonts w:hint="eastAsia" w:hAnsi="宋体"/>
                      <w:color w:val="auto"/>
                      <w:szCs w:val="21"/>
                    </w:rPr>
                    <w:t>颗粒物</w:t>
                  </w:r>
                </w:p>
              </w:tc>
              <w:tc>
                <w:tcPr>
                  <w:tcW w:w="1752" w:type="dxa"/>
                  <w:vAlign w:val="center"/>
                </w:tcPr>
                <w:p w14:paraId="1F382BC8">
                  <w:pPr>
                    <w:jc w:val="center"/>
                    <w:rPr>
                      <w:color w:val="auto"/>
                      <w:szCs w:val="21"/>
                    </w:rPr>
                  </w:pPr>
                  <w:r>
                    <w:rPr>
                      <w:rFonts w:hint="eastAsia"/>
                      <w:color w:val="auto"/>
                      <w:szCs w:val="21"/>
                    </w:rPr>
                    <w:t>1</w:t>
                  </w:r>
                  <w:r>
                    <w:rPr>
                      <w:color w:val="auto"/>
                      <w:szCs w:val="21"/>
                    </w:rPr>
                    <w:t>次</w:t>
                  </w:r>
                  <w:r>
                    <w:rPr>
                      <w:rFonts w:hint="eastAsia"/>
                      <w:color w:val="auto"/>
                      <w:szCs w:val="21"/>
                    </w:rPr>
                    <w:t>/季度</w:t>
                  </w:r>
                </w:p>
              </w:tc>
              <w:tc>
                <w:tcPr>
                  <w:tcW w:w="3613" w:type="dxa"/>
                  <w:tcBorders>
                    <w:right w:val="nil"/>
                  </w:tcBorders>
                  <w:vAlign w:val="center"/>
                </w:tcPr>
                <w:p w14:paraId="76FD4013">
                  <w:pPr>
                    <w:jc w:val="center"/>
                    <w:rPr>
                      <w:color w:val="auto"/>
                      <w:szCs w:val="21"/>
                    </w:rPr>
                  </w:pPr>
                  <w:r>
                    <w:rPr>
                      <w:rFonts w:hint="eastAsia"/>
                      <w:color w:val="auto"/>
                      <w:szCs w:val="21"/>
                    </w:rPr>
                    <w:t>《大气污染物综合排放标准》（GB16297-1996）周界外浓度最高点无组织排放监控浓度限值</w:t>
                  </w:r>
                </w:p>
              </w:tc>
            </w:tr>
            <w:tr w14:paraId="642C9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1" w:type="dxa"/>
                  <w:vMerge w:val="continue"/>
                  <w:tcBorders>
                    <w:left w:val="nil"/>
                  </w:tcBorders>
                  <w:vAlign w:val="center"/>
                </w:tcPr>
                <w:p w14:paraId="7CCE71A6">
                  <w:pPr>
                    <w:jc w:val="center"/>
                    <w:rPr>
                      <w:color w:val="auto"/>
                      <w:szCs w:val="21"/>
                    </w:rPr>
                  </w:pPr>
                </w:p>
              </w:tc>
              <w:tc>
                <w:tcPr>
                  <w:tcW w:w="1769" w:type="dxa"/>
                  <w:vAlign w:val="center"/>
                </w:tcPr>
                <w:p w14:paraId="147A7B45">
                  <w:pPr>
                    <w:jc w:val="center"/>
                    <w:rPr>
                      <w:color w:val="auto"/>
                      <w:szCs w:val="21"/>
                    </w:rPr>
                  </w:pPr>
                  <w:r>
                    <w:rPr>
                      <w:rFonts w:hint="eastAsia"/>
                      <w:color w:val="auto"/>
                      <w:szCs w:val="21"/>
                    </w:rPr>
                    <w:t>VOCs</w:t>
                  </w:r>
                </w:p>
              </w:tc>
              <w:tc>
                <w:tcPr>
                  <w:tcW w:w="1752" w:type="dxa"/>
                  <w:vAlign w:val="center"/>
                </w:tcPr>
                <w:p w14:paraId="376B903F">
                  <w:pPr>
                    <w:jc w:val="center"/>
                    <w:rPr>
                      <w:color w:val="auto"/>
                      <w:szCs w:val="21"/>
                    </w:rPr>
                  </w:pPr>
                  <w:r>
                    <w:rPr>
                      <w:rFonts w:hint="eastAsia"/>
                      <w:color w:val="auto"/>
                      <w:szCs w:val="21"/>
                    </w:rPr>
                    <w:t>1</w:t>
                  </w:r>
                  <w:r>
                    <w:rPr>
                      <w:color w:val="auto"/>
                      <w:szCs w:val="21"/>
                    </w:rPr>
                    <w:t>次</w:t>
                  </w:r>
                  <w:r>
                    <w:rPr>
                      <w:rFonts w:hint="eastAsia"/>
                      <w:color w:val="auto"/>
                      <w:szCs w:val="21"/>
                    </w:rPr>
                    <w:t>/半年</w:t>
                  </w:r>
                </w:p>
              </w:tc>
              <w:tc>
                <w:tcPr>
                  <w:tcW w:w="3613" w:type="dxa"/>
                  <w:tcBorders>
                    <w:right w:val="nil"/>
                  </w:tcBorders>
                  <w:vAlign w:val="center"/>
                </w:tcPr>
                <w:p w14:paraId="243745CA">
                  <w:pPr>
                    <w:jc w:val="center"/>
                    <w:rPr>
                      <w:color w:val="auto"/>
                      <w:szCs w:val="21"/>
                    </w:rPr>
                  </w:pPr>
                  <w:r>
                    <w:rPr>
                      <w:rFonts w:hint="eastAsia"/>
                      <w:color w:val="auto"/>
                      <w:szCs w:val="21"/>
                    </w:rPr>
                    <w:t>《挥发性有机物无组织排放标准》（GB 37822-2019）中表A.1标准限值要求</w:t>
                  </w:r>
                </w:p>
              </w:tc>
            </w:tr>
            <w:tr w14:paraId="5064E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1" w:type="dxa"/>
                  <w:tcBorders>
                    <w:left w:val="nil"/>
                  </w:tcBorders>
                  <w:vAlign w:val="center"/>
                </w:tcPr>
                <w:p w14:paraId="25BD9401">
                  <w:pPr>
                    <w:widowControl/>
                    <w:jc w:val="center"/>
                    <w:textAlignment w:val="center"/>
                    <w:rPr>
                      <w:color w:val="auto"/>
                      <w:szCs w:val="21"/>
                    </w:rPr>
                  </w:pPr>
                  <w:r>
                    <w:rPr>
                      <w:rFonts w:hint="eastAsia"/>
                      <w:bCs/>
                      <w:color w:val="auto"/>
                      <w:szCs w:val="21"/>
                    </w:rPr>
                    <w:t>浸出车间周</w:t>
                  </w:r>
                  <w:r>
                    <w:rPr>
                      <w:rFonts w:hint="eastAsia"/>
                      <w:color w:val="auto"/>
                      <w:szCs w:val="21"/>
                    </w:rPr>
                    <w:t>界</w:t>
                  </w:r>
                </w:p>
              </w:tc>
              <w:tc>
                <w:tcPr>
                  <w:tcW w:w="1769" w:type="dxa"/>
                  <w:vAlign w:val="center"/>
                </w:tcPr>
                <w:p w14:paraId="4F8F576F">
                  <w:pPr>
                    <w:jc w:val="center"/>
                    <w:textAlignment w:val="center"/>
                    <w:rPr>
                      <w:color w:val="auto"/>
                      <w:szCs w:val="21"/>
                    </w:rPr>
                  </w:pPr>
                  <w:r>
                    <w:rPr>
                      <w:rFonts w:hint="eastAsia"/>
                      <w:color w:val="auto"/>
                      <w:szCs w:val="21"/>
                    </w:rPr>
                    <w:t>非甲烷总烃</w:t>
                  </w:r>
                </w:p>
              </w:tc>
              <w:tc>
                <w:tcPr>
                  <w:tcW w:w="1752" w:type="dxa"/>
                  <w:vAlign w:val="center"/>
                </w:tcPr>
                <w:p w14:paraId="1F5B958F">
                  <w:pPr>
                    <w:jc w:val="center"/>
                    <w:textAlignment w:val="center"/>
                    <w:rPr>
                      <w:color w:val="auto"/>
                      <w:szCs w:val="21"/>
                    </w:rPr>
                  </w:pPr>
                  <w:r>
                    <w:rPr>
                      <w:rFonts w:hint="eastAsia"/>
                      <w:color w:val="auto"/>
                      <w:szCs w:val="21"/>
                    </w:rPr>
                    <w:t>半年</w:t>
                  </w:r>
                </w:p>
              </w:tc>
              <w:tc>
                <w:tcPr>
                  <w:tcW w:w="3613" w:type="dxa"/>
                  <w:tcBorders>
                    <w:right w:val="nil"/>
                  </w:tcBorders>
                  <w:vAlign w:val="center"/>
                </w:tcPr>
                <w:p w14:paraId="49271A75">
                  <w:pPr>
                    <w:pStyle w:val="70"/>
                    <w:rPr>
                      <w:color w:val="auto"/>
                      <w:szCs w:val="21"/>
                    </w:rPr>
                  </w:pPr>
                  <w:r>
                    <w:rPr>
                      <w:rFonts w:hint="eastAsia"/>
                      <w:color w:val="auto"/>
                      <w:szCs w:val="21"/>
                    </w:rPr>
                    <w:t>《挥发性有机物无组织排放控制标准》（GB 37822-2019）附录A限值</w:t>
                  </w:r>
                </w:p>
              </w:tc>
            </w:tr>
            <w:tr w14:paraId="2658A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1" w:type="dxa"/>
                  <w:tcBorders>
                    <w:left w:val="nil"/>
                    <w:bottom w:val="single" w:color="auto" w:sz="12" w:space="0"/>
                  </w:tcBorders>
                  <w:vAlign w:val="center"/>
                </w:tcPr>
                <w:p w14:paraId="0A59D1EB">
                  <w:pPr>
                    <w:widowControl/>
                    <w:jc w:val="center"/>
                    <w:textAlignment w:val="center"/>
                    <w:rPr>
                      <w:rFonts w:hint="eastAsia"/>
                      <w:bCs/>
                      <w:color w:val="auto"/>
                      <w:szCs w:val="21"/>
                    </w:rPr>
                  </w:pPr>
                  <w:r>
                    <w:rPr>
                      <w:rFonts w:hint="eastAsia"/>
                      <w:bCs/>
                      <w:color w:val="auto"/>
                      <w:szCs w:val="21"/>
                    </w:rPr>
                    <w:t>污水处理设施周边厂界下风向侧或有臭气方位的边界线上</w:t>
                  </w:r>
                </w:p>
              </w:tc>
              <w:tc>
                <w:tcPr>
                  <w:tcW w:w="1769" w:type="dxa"/>
                  <w:tcBorders>
                    <w:bottom w:val="single" w:color="auto" w:sz="12" w:space="0"/>
                  </w:tcBorders>
                  <w:vAlign w:val="center"/>
                </w:tcPr>
                <w:p w14:paraId="1A12C13A">
                  <w:pPr>
                    <w:jc w:val="center"/>
                    <w:textAlignment w:val="center"/>
                    <w:rPr>
                      <w:rFonts w:hint="eastAsia"/>
                      <w:color w:val="auto"/>
                      <w:szCs w:val="21"/>
                    </w:rPr>
                  </w:pPr>
                  <w:r>
                    <w:rPr>
                      <w:rFonts w:hint="eastAsia"/>
                      <w:color w:val="auto"/>
                      <w:szCs w:val="21"/>
                    </w:rPr>
                    <w:t>臭气浓度、氨、硫化氢</w:t>
                  </w:r>
                </w:p>
              </w:tc>
              <w:tc>
                <w:tcPr>
                  <w:tcW w:w="1752" w:type="dxa"/>
                  <w:tcBorders>
                    <w:bottom w:val="single" w:color="auto" w:sz="12" w:space="0"/>
                  </w:tcBorders>
                  <w:vAlign w:val="center"/>
                </w:tcPr>
                <w:p w14:paraId="44D9E366">
                  <w:pPr>
                    <w:jc w:val="center"/>
                    <w:textAlignment w:val="center"/>
                    <w:rPr>
                      <w:rFonts w:hint="eastAsia"/>
                      <w:color w:val="auto"/>
                      <w:szCs w:val="21"/>
                    </w:rPr>
                  </w:pPr>
                  <w:r>
                    <w:rPr>
                      <w:rFonts w:hint="eastAsia"/>
                      <w:color w:val="auto"/>
                      <w:szCs w:val="21"/>
                    </w:rPr>
                    <w:t>1</w:t>
                  </w:r>
                  <w:r>
                    <w:rPr>
                      <w:color w:val="auto"/>
                      <w:szCs w:val="21"/>
                    </w:rPr>
                    <w:t>次</w:t>
                  </w:r>
                  <w:r>
                    <w:rPr>
                      <w:rFonts w:hint="eastAsia"/>
                      <w:color w:val="auto"/>
                      <w:szCs w:val="21"/>
                    </w:rPr>
                    <w:t>/半年</w:t>
                  </w:r>
                </w:p>
              </w:tc>
              <w:tc>
                <w:tcPr>
                  <w:tcW w:w="3613" w:type="dxa"/>
                  <w:tcBorders>
                    <w:bottom w:val="single" w:color="auto" w:sz="12" w:space="0"/>
                    <w:right w:val="nil"/>
                  </w:tcBorders>
                  <w:vAlign w:val="center"/>
                </w:tcPr>
                <w:p w14:paraId="5A7401D8">
                  <w:pPr>
                    <w:pStyle w:val="70"/>
                    <w:rPr>
                      <w:rFonts w:hint="eastAsia"/>
                      <w:color w:val="auto"/>
                      <w:szCs w:val="21"/>
                    </w:rPr>
                  </w:pPr>
                  <w:r>
                    <w:rPr>
                      <w:color w:val="auto"/>
                      <w:kern w:val="0"/>
                      <w:szCs w:val="21"/>
                    </w:rPr>
                    <w:t>《恶臭污染物排放标准》（GB14554-93）</w:t>
                  </w:r>
                </w:p>
              </w:tc>
            </w:tr>
          </w:tbl>
          <w:p w14:paraId="508577BB">
            <w:pPr>
              <w:spacing w:line="360" w:lineRule="auto"/>
              <w:jc w:val="left"/>
              <w:rPr>
                <w:rFonts w:eastAsia="黑体"/>
                <w:bCs/>
                <w:color w:val="auto"/>
                <w:sz w:val="28"/>
                <w:szCs w:val="28"/>
              </w:rPr>
            </w:pPr>
            <w:r>
              <w:rPr>
                <w:rFonts w:eastAsia="黑体"/>
                <w:bCs/>
                <w:color w:val="auto"/>
                <w:sz w:val="28"/>
                <w:szCs w:val="28"/>
              </w:rPr>
              <w:t>二、废水</w:t>
            </w:r>
          </w:p>
          <w:p w14:paraId="6182A2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color w:val="auto"/>
                <w:sz w:val="24"/>
                <w:szCs w:val="24"/>
                <w:lang w:eastAsia="zh-CN"/>
              </w:rPr>
            </w:pPr>
            <w:r>
              <w:rPr>
                <w:rFonts w:hint="eastAsia"/>
                <w:color w:val="auto"/>
                <w:sz w:val="24"/>
                <w:szCs w:val="24"/>
                <w:lang w:eastAsia="zh-CN"/>
              </w:rPr>
              <w:t>①生产废水</w:t>
            </w:r>
          </w:p>
          <w:p w14:paraId="21EF5A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szCs w:val="24"/>
                <w:lang w:eastAsia="zh-CN"/>
              </w:rPr>
            </w:pPr>
            <w:r>
              <w:rPr>
                <w:rFonts w:hint="eastAsia" w:cs="Times New Roman"/>
                <w:color w:val="0000FF"/>
                <w:sz w:val="24"/>
                <w:szCs w:val="24"/>
                <w:lang w:val="en-US" w:eastAsia="zh-CN"/>
              </w:rPr>
              <w:t>本项目生产废水包括锅炉排污水、设备清洗水、浸出废水。</w:t>
            </w:r>
            <w:r>
              <w:rPr>
                <w:rFonts w:hint="default" w:ascii="Times New Roman" w:hAnsi="Times New Roman" w:eastAsia="宋体" w:cs="Times New Roman"/>
                <w:color w:val="auto"/>
                <w:sz w:val="24"/>
                <w:szCs w:val="24"/>
                <w:lang w:val="en-US" w:eastAsia="zh-CN"/>
              </w:rPr>
              <w:t>本项目</w:t>
            </w:r>
            <w:r>
              <w:rPr>
                <w:rFonts w:hint="default" w:ascii="Times New Roman" w:hAnsi="Times New Roman" w:eastAsia="宋体" w:cs="Times New Roman"/>
                <w:color w:val="auto"/>
                <w:sz w:val="24"/>
                <w:szCs w:val="24"/>
                <w:lang w:eastAsia="zh-CN"/>
              </w:rPr>
              <w:t>浸出</w:t>
            </w:r>
            <w:r>
              <w:rPr>
                <w:rFonts w:hint="default" w:ascii="Times New Roman" w:hAnsi="Times New Roman" w:eastAsia="宋体" w:cs="Times New Roman"/>
                <w:color w:val="auto"/>
                <w:sz w:val="24"/>
                <w:szCs w:val="24"/>
                <w:lang w:val="en-US" w:eastAsia="zh-CN"/>
              </w:rPr>
              <w:t>工艺环节所用蒸汽由厂内</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lang w:val="en-US" w:eastAsia="zh-CN"/>
              </w:rPr>
              <w:t>t/h生物质锅炉提供，</w:t>
            </w:r>
            <w:r>
              <w:rPr>
                <w:rFonts w:hint="default" w:ascii="Times New Roman" w:hAnsi="Times New Roman" w:eastAsia="宋体" w:cs="Times New Roman"/>
                <w:color w:val="auto"/>
                <w:sz w:val="24"/>
                <w:szCs w:val="24"/>
                <w:lang w:eastAsia="zh-CN"/>
              </w:rPr>
              <w:t>总用蒸汽量</w:t>
            </w:r>
            <w:r>
              <w:rPr>
                <w:rFonts w:hint="default" w:ascii="Times New Roman" w:hAnsi="Times New Roman" w:eastAsia="宋体" w:cs="Times New Roman"/>
                <w:color w:val="auto"/>
                <w:sz w:val="24"/>
                <w:szCs w:val="24"/>
                <w:lang w:val="en-US" w:eastAsia="zh-CN"/>
              </w:rPr>
              <w:t>按</w:t>
            </w:r>
            <w:r>
              <w:rPr>
                <w:rFonts w:hint="eastAsia"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lang w:eastAsia="zh-CN"/>
              </w:rPr>
              <w:t>t/h（</w:t>
            </w:r>
            <w:r>
              <w:rPr>
                <w:rFonts w:hint="eastAsia" w:ascii="Times New Roman" w:hAnsi="Times New Roman" w:eastAsia="宋体" w:cs="Times New Roman"/>
                <w:color w:val="auto"/>
                <w:sz w:val="24"/>
                <w:szCs w:val="24"/>
                <w:lang w:val="en-US" w:eastAsia="zh-CN"/>
              </w:rPr>
              <w:t>432</w:t>
            </w:r>
            <w:r>
              <w:rPr>
                <w:rFonts w:hint="default" w:ascii="Times New Roman" w:hAnsi="Times New Roman" w:eastAsia="宋体" w:cs="Times New Roman"/>
                <w:color w:val="auto"/>
                <w:sz w:val="24"/>
                <w:szCs w:val="24"/>
                <w:lang w:eastAsia="zh-CN"/>
              </w:rPr>
              <w:t>t/d）</w:t>
            </w:r>
            <w:r>
              <w:rPr>
                <w:rFonts w:hint="default" w:ascii="Times New Roman" w:hAnsi="Times New Roman" w:eastAsia="宋体" w:cs="Times New Roman"/>
                <w:color w:val="auto"/>
                <w:sz w:val="24"/>
                <w:szCs w:val="24"/>
                <w:lang w:val="en-US" w:eastAsia="zh-CN"/>
              </w:rPr>
              <w:t>计</w:t>
            </w:r>
            <w:r>
              <w:rPr>
                <w:rFonts w:hint="default" w:ascii="Times New Roman" w:hAnsi="Times New Roman" w:eastAsia="宋体" w:cs="Times New Roman"/>
                <w:color w:val="auto"/>
                <w:sz w:val="24"/>
                <w:szCs w:val="24"/>
                <w:lang w:eastAsia="zh-CN"/>
              </w:rPr>
              <w:t>，其中</w:t>
            </w:r>
            <w:r>
              <w:rPr>
                <w:rFonts w:hint="eastAsia" w:ascii="Times New Roman" w:hAnsi="Times New Roman" w:eastAsia="宋体" w:cs="Times New Roman"/>
                <w:color w:val="auto"/>
                <w:sz w:val="24"/>
                <w:szCs w:val="24"/>
                <w:lang w:eastAsia="zh-CN"/>
              </w:rPr>
              <w:t>大豆软化、</w:t>
            </w:r>
            <w:r>
              <w:rPr>
                <w:rFonts w:hint="default" w:ascii="Times New Roman" w:hAnsi="Times New Roman" w:eastAsia="宋体" w:cs="Times New Roman"/>
                <w:color w:val="auto"/>
                <w:sz w:val="24"/>
                <w:szCs w:val="24"/>
                <w:lang w:eastAsia="zh-CN"/>
              </w:rPr>
              <w:t>湿粕脱溶、混合油汽提、含溶废水蒸煮等工艺操作过程喷入的直接蒸汽，经冷凝器冷凝后产生部分废水。使用</w:t>
            </w:r>
            <w:r>
              <w:rPr>
                <w:rFonts w:hint="eastAsia" w:ascii="Times New Roman" w:hAnsi="Times New Roman" w:eastAsia="宋体" w:cs="Times New Roman"/>
                <w:color w:val="auto"/>
                <w:sz w:val="24"/>
                <w:szCs w:val="24"/>
                <w:lang w:eastAsia="zh-CN"/>
              </w:rPr>
              <w:t>过程</w:t>
            </w:r>
            <w:r>
              <w:rPr>
                <w:rFonts w:hint="default" w:ascii="Times New Roman" w:hAnsi="Times New Roman" w:eastAsia="宋体" w:cs="Times New Roman"/>
                <w:color w:val="auto"/>
                <w:sz w:val="24"/>
                <w:szCs w:val="24"/>
                <w:lang w:eastAsia="zh-CN"/>
              </w:rPr>
              <w:t>蒸发</w:t>
            </w:r>
            <w:r>
              <w:rPr>
                <w:rFonts w:hint="eastAsia" w:ascii="Times New Roman" w:hAnsi="Times New Roman" w:eastAsia="宋体" w:cs="Times New Roman"/>
                <w:color w:val="auto"/>
                <w:sz w:val="24"/>
                <w:szCs w:val="24"/>
                <w:lang w:eastAsia="zh-CN"/>
              </w:rPr>
              <w:t>损失和跑冒滴漏</w:t>
            </w:r>
            <w:r>
              <w:rPr>
                <w:rFonts w:hint="default" w:ascii="Times New Roman" w:hAnsi="Times New Roman" w:eastAsia="宋体" w:cs="Times New Roman"/>
                <w:color w:val="auto"/>
                <w:sz w:val="24"/>
                <w:szCs w:val="24"/>
                <w:lang w:eastAsia="zh-CN"/>
              </w:rPr>
              <w:t>约</w:t>
            </w:r>
            <w:r>
              <w:rPr>
                <w:rFonts w:hint="eastAsia" w:ascii="Times New Roman" w:hAnsi="Times New Roman" w:eastAsia="宋体" w:cs="Times New Roman"/>
                <w:color w:val="auto"/>
                <w:sz w:val="24"/>
                <w:szCs w:val="24"/>
                <w:lang w:val="en-US" w:eastAsia="zh-CN"/>
              </w:rPr>
              <w:t>5.4</w:t>
            </w:r>
            <w:r>
              <w:rPr>
                <w:rFonts w:hint="default" w:ascii="Times New Roman" w:hAnsi="Times New Roman" w:eastAsia="宋体" w:cs="Times New Roman"/>
                <w:color w:val="auto"/>
                <w:sz w:val="24"/>
                <w:szCs w:val="24"/>
                <w:lang w:eastAsia="zh-CN"/>
              </w:rPr>
              <w:t>t/h（</w:t>
            </w:r>
            <w:r>
              <w:rPr>
                <w:rFonts w:hint="eastAsia" w:ascii="Times New Roman" w:hAnsi="Times New Roman" w:eastAsia="宋体" w:cs="Times New Roman"/>
                <w:color w:val="auto"/>
                <w:sz w:val="24"/>
                <w:szCs w:val="24"/>
                <w:lang w:val="en-US" w:eastAsia="zh-CN"/>
              </w:rPr>
              <w:t>38880t/d</w:t>
            </w:r>
            <w:r>
              <w:rPr>
                <w:rFonts w:hint="default" w:ascii="Times New Roman" w:hAnsi="Times New Roman" w:eastAsia="宋体" w:cs="Times New Roman"/>
                <w:color w:val="auto"/>
                <w:sz w:val="24"/>
                <w:szCs w:val="24"/>
                <w:lang w:eastAsia="zh-CN"/>
              </w:rPr>
              <w:t>），约占</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锅炉排水主要包括锅炉排污水和软化处理废水，根据《排放源统计调查产排污核算和系数手册（2021）》，</w:t>
            </w:r>
            <w:r>
              <w:rPr>
                <w:rFonts w:hint="eastAsia" w:ascii="Times New Roman" w:hAnsi="Times New Roman" w:eastAsia="宋体" w:cs="Times New Roman"/>
                <w:color w:val="auto"/>
                <w:sz w:val="24"/>
                <w:szCs w:val="24"/>
                <w:lang w:val="en-US" w:eastAsia="zh-CN"/>
              </w:rPr>
              <w:t>1331</w:t>
            </w:r>
            <w:r>
              <w:rPr>
                <w:rFonts w:hint="default" w:ascii="Times New Roman" w:hAnsi="Times New Roman" w:eastAsia="宋体" w:cs="Times New Roman"/>
                <w:color w:val="auto"/>
                <w:sz w:val="24"/>
                <w:szCs w:val="24"/>
                <w:lang w:eastAsia="zh-CN"/>
              </w:rPr>
              <w:t>工业锅炉（热力生产和供应）产排污系数表-工业废水量和化学需氧量，生物质锅炉的锅炉排污水+软化处理废水的产污系数为0.356吨/吨-原料，COD产生系数为30克/吨-原料。生物质成型燃料使用量为</w:t>
            </w:r>
            <w:r>
              <w:rPr>
                <w:rFonts w:hint="default" w:ascii="Times New Roman" w:hAnsi="Times New Roman" w:eastAsia="宋体" w:cs="Times New Roman"/>
                <w:color w:val="auto"/>
                <w:sz w:val="24"/>
                <w:szCs w:val="24"/>
                <w:lang w:val="en-US" w:eastAsia="zh-CN"/>
              </w:rPr>
              <w:t>33226.68</w:t>
            </w:r>
            <w:r>
              <w:rPr>
                <w:rFonts w:hint="default" w:ascii="Times New Roman" w:hAnsi="Times New Roman" w:eastAsia="宋体" w:cs="Times New Roman"/>
                <w:color w:val="auto"/>
                <w:sz w:val="24"/>
                <w:szCs w:val="24"/>
                <w:lang w:eastAsia="zh-CN"/>
              </w:rPr>
              <w:t>t/a，则锅炉排污水和软化处理废水总的产生量为</w:t>
            </w:r>
            <w:r>
              <w:rPr>
                <w:rFonts w:hint="eastAsia" w:ascii="Times New Roman" w:hAnsi="Times New Roman" w:eastAsia="宋体" w:cs="Times New Roman"/>
                <w:color w:val="auto"/>
                <w:sz w:val="24"/>
                <w:szCs w:val="24"/>
                <w:lang w:val="en-US" w:eastAsia="zh-CN"/>
              </w:rPr>
              <w:t>11828.7</w:t>
            </w:r>
            <w:r>
              <w:rPr>
                <w:rFonts w:hint="default" w:ascii="Times New Roman" w:hAnsi="Times New Roman" w:eastAsia="宋体" w:cs="Times New Roman"/>
                <w:color w:val="auto"/>
                <w:sz w:val="24"/>
                <w:szCs w:val="24"/>
                <w:lang w:eastAsia="zh-CN"/>
              </w:rPr>
              <w:t>t/a</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34.27</w:t>
            </w:r>
            <w:r>
              <w:rPr>
                <w:rFonts w:hint="default" w:ascii="Times New Roman" w:hAnsi="Times New Roman" w:eastAsia="宋体" w:cs="Times New Roman"/>
                <w:color w:val="auto"/>
                <w:sz w:val="24"/>
                <w:szCs w:val="24"/>
                <w:lang w:eastAsia="zh-CN"/>
              </w:rPr>
              <w:t>t/</w:t>
            </w:r>
            <w:r>
              <w:rPr>
                <w:rFonts w:hint="eastAsia" w:ascii="Times New Roman" w:hAnsi="Times New Roman" w:eastAsia="宋体" w:cs="Times New Roman"/>
                <w:color w:val="auto"/>
                <w:sz w:val="24"/>
                <w:szCs w:val="24"/>
                <w:lang w:val="en-US" w:eastAsia="zh-CN"/>
              </w:rPr>
              <w:t>d，其中1548.49</w:t>
            </w:r>
            <w:r>
              <w:rPr>
                <w:rFonts w:hint="default" w:ascii="Times New Roman" w:hAnsi="Times New Roman" w:eastAsia="宋体" w:cs="Times New Roman"/>
                <w:color w:val="auto"/>
                <w:sz w:val="24"/>
                <w:szCs w:val="24"/>
                <w:lang w:eastAsia="zh-CN"/>
              </w:rPr>
              <w:t>t/a</w:t>
            </w:r>
            <w:r>
              <w:rPr>
                <w:rFonts w:hint="eastAsia" w:ascii="Times New Roman" w:hAnsi="Times New Roman" w:eastAsia="宋体" w:cs="Times New Roman"/>
                <w:color w:val="auto"/>
                <w:sz w:val="24"/>
                <w:szCs w:val="24"/>
                <w:lang w:val="en-US" w:eastAsia="zh-CN"/>
              </w:rPr>
              <w:t>用于</w:t>
            </w:r>
            <w:r>
              <w:rPr>
                <w:rFonts w:hint="eastAsia" w:ascii="Times New Roman" w:hAnsi="Times New Roman" w:eastAsia="宋体" w:cs="Times New Roman"/>
                <w:color w:val="auto"/>
                <w:sz w:val="24"/>
                <w:szCs w:val="24"/>
                <w:lang w:eastAsia="zh-CN"/>
              </w:rPr>
              <w:t>洒水降尘和冲渣</w:t>
            </w:r>
            <w:r>
              <w:rPr>
                <w:rFonts w:hint="eastAsia" w:ascii="Times New Roman" w:hAnsi="Times New Roman" w:eastAsia="宋体" w:cs="Times New Roman"/>
                <w:color w:val="auto"/>
                <w:sz w:val="24"/>
                <w:szCs w:val="24"/>
                <w:lang w:val="en-US" w:eastAsia="zh-CN"/>
              </w:rPr>
              <w:t>于，剩余10280.21</w:t>
            </w:r>
            <w:r>
              <w:rPr>
                <w:rFonts w:hint="default" w:ascii="Times New Roman" w:hAnsi="Times New Roman" w:eastAsia="宋体" w:cs="Times New Roman"/>
                <w:color w:val="auto"/>
                <w:sz w:val="24"/>
                <w:szCs w:val="24"/>
                <w:lang w:eastAsia="zh-CN"/>
              </w:rPr>
              <w:t>t/a</w:t>
            </w:r>
            <w:r>
              <w:rPr>
                <w:rFonts w:hint="eastAsia" w:ascii="Times New Roman" w:hAnsi="Times New Roman" w:eastAsia="宋体" w:cs="Times New Roman"/>
                <w:color w:val="auto"/>
                <w:sz w:val="24"/>
                <w:szCs w:val="24"/>
                <w:lang w:val="en-US" w:eastAsia="zh-CN"/>
              </w:rPr>
              <w:t>排入厂内污水处理站</w:t>
            </w:r>
            <w:r>
              <w:rPr>
                <w:rFonts w:hint="eastAsia" w:ascii="Times New Roman" w:hAnsi="Times New Roman" w:eastAsia="宋体" w:cs="Times New Roman"/>
                <w:color w:val="auto"/>
                <w:sz w:val="24"/>
                <w:szCs w:val="24"/>
                <w:lang w:eastAsia="zh-CN"/>
              </w:rPr>
              <w:t>；冷凝装置冷凝水循环使用，不外排</w:t>
            </w:r>
            <w:r>
              <w:rPr>
                <w:rFonts w:hint="eastAsia" w:ascii="Times New Roman" w:hAnsi="Times New Roman" w:eastAsia="宋体" w:cs="Times New Roman"/>
                <w:color w:val="auto"/>
                <w:sz w:val="24"/>
                <w:szCs w:val="24"/>
                <w:lang w:val="en-US" w:eastAsia="zh-CN"/>
              </w:rPr>
              <w:t>。设备清洗水为0.045</w:t>
            </w:r>
            <w:r>
              <w:rPr>
                <w:rFonts w:hint="default" w:ascii="Times New Roman" w:hAnsi="Times New Roman" w:eastAsia="宋体" w:cs="Times New Roman"/>
                <w:color w:val="auto"/>
                <w:sz w:val="24"/>
                <w:szCs w:val="24"/>
                <w:lang w:eastAsia="zh-CN"/>
              </w:rPr>
              <w:t>t/</w:t>
            </w:r>
            <w:r>
              <w:rPr>
                <w:rFonts w:hint="eastAsia" w:ascii="Times New Roman" w:hAnsi="Times New Roman" w:eastAsia="宋体" w:cs="Times New Roman"/>
                <w:color w:val="auto"/>
                <w:sz w:val="24"/>
                <w:szCs w:val="24"/>
                <w:lang w:val="en-US" w:eastAsia="zh-CN"/>
              </w:rPr>
              <w:t>d，13.5</w:t>
            </w:r>
            <w:r>
              <w:rPr>
                <w:rFonts w:hint="default" w:ascii="Times New Roman" w:hAnsi="Times New Roman" w:eastAsia="宋体" w:cs="Times New Roman"/>
                <w:color w:val="auto"/>
                <w:sz w:val="24"/>
                <w:szCs w:val="24"/>
                <w:lang w:eastAsia="zh-CN"/>
              </w:rPr>
              <w:t>t/a</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lang w:eastAsia="zh-CN"/>
              </w:rPr>
              <w:t>《排放源统计调查产排污核算和系数手册（2021）》，</w:t>
            </w:r>
            <w:r>
              <w:rPr>
                <w:rFonts w:hint="eastAsia" w:ascii="Times New Roman" w:hAnsi="Times New Roman" w:eastAsia="宋体" w:cs="Times New Roman"/>
                <w:color w:val="auto"/>
                <w:sz w:val="24"/>
                <w:szCs w:val="24"/>
                <w:lang w:val="en-US" w:eastAsia="zh-CN"/>
              </w:rPr>
              <w:t xml:space="preserve">1331 食用植物油加工行业系数手册中表7中产物系数，浸出工艺废水产物系数为0.12吨/吨-原料，本项目大豆和米糠原料共用150000t，废水产生量为18000t/a、60t/d，废水排入厂内污水处理站。 </w:t>
            </w:r>
          </w:p>
          <w:p w14:paraId="73357E3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olor w:val="auto"/>
                <w:sz w:val="24"/>
                <w:szCs w:val="24"/>
                <w:lang w:val="en-US" w:eastAsia="zh-CN"/>
              </w:rPr>
            </w:pPr>
            <w:r>
              <w:rPr>
                <w:rFonts w:hint="default" w:ascii="Times New Roman" w:hAnsi="Times New Roman" w:eastAsia="宋体" w:cs="Times New Roman"/>
                <w:color w:val="auto"/>
                <w:sz w:val="24"/>
                <w:szCs w:val="24"/>
                <w:lang w:eastAsia="zh-CN"/>
              </w:rPr>
              <w:t>本项目总</w:t>
            </w:r>
            <w:r>
              <w:rPr>
                <w:rFonts w:hint="eastAsia" w:ascii="Times New Roman" w:hAnsi="Times New Roman" w:eastAsia="宋体" w:cs="Times New Roman"/>
                <w:color w:val="auto"/>
                <w:sz w:val="24"/>
                <w:szCs w:val="24"/>
                <w:lang w:eastAsia="zh-CN"/>
              </w:rPr>
              <w:t>生产</w:t>
            </w:r>
            <w:r>
              <w:rPr>
                <w:rFonts w:hint="default" w:ascii="Times New Roman" w:hAnsi="Times New Roman" w:eastAsia="宋体" w:cs="Times New Roman"/>
                <w:color w:val="auto"/>
                <w:sz w:val="24"/>
                <w:szCs w:val="24"/>
                <w:lang w:eastAsia="zh-CN"/>
              </w:rPr>
              <w:t>废水量为</w:t>
            </w:r>
            <w:r>
              <w:rPr>
                <w:rFonts w:hint="eastAsia" w:ascii="Times New Roman" w:hAnsi="Times New Roman" w:eastAsia="宋体" w:cs="Times New Roman"/>
                <w:color w:val="auto"/>
                <w:sz w:val="24"/>
                <w:szCs w:val="24"/>
                <w:lang w:val="en-US" w:eastAsia="zh-CN"/>
              </w:rPr>
              <w:t>28293.71t</w:t>
            </w:r>
            <w:r>
              <w:rPr>
                <w:rFonts w:hint="default" w:ascii="Times New Roman" w:hAnsi="Times New Roman" w:eastAsia="宋体" w:cs="Times New Roman"/>
                <w:color w:val="auto"/>
                <w:sz w:val="24"/>
                <w:szCs w:val="24"/>
                <w:lang w:eastAsia="zh-CN"/>
              </w:rPr>
              <w:t>/a</w:t>
            </w:r>
            <w:r>
              <w:rPr>
                <w:rFonts w:hint="eastAsia" w:ascii="Times New Roman" w:hAnsi="Times New Roman" w:eastAsia="宋体" w:cs="Times New Roman"/>
                <w:color w:val="auto"/>
                <w:sz w:val="24"/>
                <w:szCs w:val="24"/>
                <w:lang w:eastAsia="zh-CN"/>
              </w:rPr>
              <w:t>，本项目</w:t>
            </w:r>
            <w:r>
              <w:rPr>
                <w:rFonts w:hint="eastAsia" w:ascii="Times New Roman" w:hAnsi="Times New Roman" w:eastAsia="宋体" w:cs="Times New Roman"/>
                <w:color w:val="auto"/>
                <w:sz w:val="24"/>
                <w:szCs w:val="24"/>
                <w:lang w:val="en-US" w:eastAsia="zh-CN"/>
              </w:rPr>
              <w:t>工艺废水</w:t>
            </w:r>
            <w:r>
              <w:rPr>
                <w:rFonts w:hint="eastAsia" w:ascii="Times New Roman" w:hAnsi="Times New Roman" w:eastAsia="宋体" w:cs="Times New Roman"/>
                <w:color w:val="auto"/>
                <w:sz w:val="24"/>
                <w:szCs w:val="24"/>
                <w:lang w:eastAsia="zh-CN"/>
              </w:rPr>
              <w:t>进水浓度参照</w:t>
            </w:r>
            <w:r>
              <w:rPr>
                <w:rFonts w:hint="eastAsia" w:ascii="Times New Roman" w:hAnsi="Times New Roman" w:eastAsia="宋体" w:cs="Times New Roman"/>
                <w:color w:val="auto"/>
                <w:sz w:val="24"/>
                <w:szCs w:val="24"/>
                <w:lang w:val="en-US" w:eastAsia="zh-CN"/>
              </w:rPr>
              <w:t>东鲁花浓香花生油有限公司</w:t>
            </w:r>
            <w:r>
              <w:rPr>
                <w:rFonts w:hint="eastAsia" w:ascii="Times New Roman" w:hAnsi="Times New Roman" w:eastAsia="宋体" w:cs="Times New Roman"/>
                <w:color w:val="auto"/>
                <w:sz w:val="24"/>
                <w:szCs w:val="24"/>
                <w:lang w:eastAsia="zh-CN"/>
              </w:rPr>
              <w:t>建设的《</w:t>
            </w:r>
            <w:r>
              <w:rPr>
                <w:rFonts w:hint="eastAsia" w:ascii="Times New Roman" w:hAnsi="Times New Roman" w:eastAsia="宋体" w:cs="Times New Roman"/>
                <w:color w:val="auto"/>
                <w:sz w:val="24"/>
                <w:szCs w:val="24"/>
                <w:lang w:val="en-US" w:eastAsia="zh-CN"/>
              </w:rPr>
              <w:t>花生饼干浸出生产线改造项目</w:t>
            </w:r>
            <w:r>
              <w:rPr>
                <w:rFonts w:hint="eastAsia" w:ascii="Times New Roman" w:hAnsi="Times New Roman" w:eastAsia="宋体" w:cs="Times New Roman"/>
                <w:color w:val="auto"/>
                <w:sz w:val="24"/>
                <w:szCs w:val="24"/>
                <w:lang w:eastAsia="zh-CN"/>
              </w:rPr>
              <w:t>》项目竣工验收环境保护验收监测报告，</w:t>
            </w:r>
            <w:r>
              <w:rPr>
                <w:rFonts w:hint="eastAsia" w:ascii="Times New Roman" w:hAnsi="Times New Roman" w:eastAsia="宋体" w:cs="Times New Roman"/>
                <w:color w:val="auto"/>
                <w:sz w:val="24"/>
                <w:szCs w:val="24"/>
                <w:lang w:val="en-US" w:eastAsia="zh-CN"/>
              </w:rPr>
              <w:t>本项目产品为花生油，使用工艺为浸出榨油，排放废水为设备清洗水、浸出废水。污水治理</w:t>
            </w:r>
            <w:r>
              <w:rPr>
                <w:rFonts w:hint="eastAsia" w:cs="Times New Roman"/>
                <w:color w:val="auto"/>
                <w:sz w:val="24"/>
                <w:szCs w:val="24"/>
                <w:lang w:val="en-US" w:eastAsia="zh-CN"/>
              </w:rPr>
              <w:t>后</w:t>
            </w:r>
            <w:r>
              <w:rPr>
                <w:rFonts w:hint="eastAsia" w:ascii="Times New Roman" w:hAnsi="Times New Roman" w:eastAsia="宋体" w:cs="Times New Roman"/>
                <w:color w:val="auto"/>
                <w:sz w:val="24"/>
                <w:szCs w:val="24"/>
                <w:lang w:val="en-US" w:eastAsia="zh-CN"/>
              </w:rPr>
              <w:t>主要水质指标混合浓度为</w:t>
            </w:r>
            <w:r>
              <w:rPr>
                <w:rFonts w:hint="default" w:ascii="Times New Roman" w:hAnsi="Times New Roman" w:eastAsia="宋体" w:cs="Times New Roman"/>
                <w:color w:val="auto"/>
                <w:sz w:val="24"/>
                <w:szCs w:val="24"/>
                <w:lang w:val="en-US" w:eastAsia="zh-CN"/>
              </w:rPr>
              <w:t>pH</w:t>
            </w:r>
            <w:r>
              <w:rPr>
                <w:rFonts w:hint="eastAsia" w:cs="Times New Roman"/>
                <w:color w:val="auto"/>
                <w:sz w:val="24"/>
                <w:szCs w:val="24"/>
                <w:lang w:val="en-US" w:eastAsia="zh-CN"/>
              </w:rPr>
              <w:t>6.2</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6.7</w:t>
            </w:r>
            <w:r>
              <w:rPr>
                <w:rFonts w:hint="default" w:ascii="Times New Roman" w:hAnsi="Times New Roman" w:eastAsia="宋体" w:cs="Times New Roman"/>
                <w:color w:val="auto"/>
                <w:sz w:val="24"/>
                <w:szCs w:val="24"/>
                <w:lang w:val="en-US" w:eastAsia="zh-CN"/>
              </w:rPr>
              <w:t>、色度</w:t>
            </w:r>
            <w:r>
              <w:rPr>
                <w:rFonts w:hint="eastAsia" w:cs="Times New Roman"/>
                <w:color w:val="auto"/>
                <w:sz w:val="24"/>
                <w:szCs w:val="24"/>
                <w:lang w:val="en-US" w:eastAsia="zh-CN"/>
              </w:rPr>
              <w:t>200</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300</w:t>
            </w:r>
            <w:r>
              <w:rPr>
                <w:rFonts w:hint="default" w:ascii="Times New Roman" w:hAnsi="Times New Roman" w:eastAsia="宋体" w:cs="Times New Roman"/>
                <w:color w:val="auto"/>
                <w:sz w:val="24"/>
                <w:szCs w:val="24"/>
                <w:lang w:val="en-US" w:eastAsia="zh-CN"/>
              </w:rPr>
              <w:t>倍、化学需氧量2.75×10</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～3.33×10</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mg/L、五日生化需氧量</w:t>
            </w:r>
            <w:r>
              <w:rPr>
                <w:rFonts w:hint="eastAsia" w:cs="Times New Roman"/>
                <w:color w:val="auto"/>
                <w:sz w:val="24"/>
                <w:szCs w:val="24"/>
                <w:lang w:val="en-US" w:eastAsia="zh-CN"/>
              </w:rPr>
              <w:t>478</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626</w:t>
            </w:r>
            <w:r>
              <w:rPr>
                <w:rFonts w:hint="default" w:ascii="Times New Roman" w:hAnsi="Times New Roman" w:eastAsia="宋体" w:cs="Times New Roman"/>
                <w:color w:val="auto"/>
                <w:sz w:val="24"/>
                <w:szCs w:val="24"/>
                <w:lang w:val="en-US" w:eastAsia="zh-CN"/>
              </w:rPr>
              <w:t>mg/L、悬浮物</w:t>
            </w:r>
            <w:r>
              <w:rPr>
                <w:rFonts w:hint="eastAsia" w:cs="Times New Roman"/>
                <w:color w:val="auto"/>
                <w:sz w:val="24"/>
                <w:szCs w:val="24"/>
                <w:lang w:val="en-US" w:eastAsia="zh-CN"/>
              </w:rPr>
              <w:t>630</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751</w:t>
            </w:r>
            <w:r>
              <w:rPr>
                <w:rFonts w:hint="default" w:ascii="Times New Roman" w:hAnsi="Times New Roman" w:eastAsia="宋体" w:cs="Times New Roman"/>
                <w:color w:val="auto"/>
                <w:sz w:val="24"/>
                <w:szCs w:val="24"/>
                <w:lang w:val="en-US" w:eastAsia="zh-CN"/>
              </w:rPr>
              <w:t>mg/L、氨氮</w:t>
            </w:r>
            <w:r>
              <w:rPr>
                <w:rFonts w:hint="eastAsia" w:cs="Times New Roman"/>
                <w:color w:val="auto"/>
                <w:sz w:val="24"/>
                <w:szCs w:val="24"/>
                <w:lang w:val="en-US" w:eastAsia="zh-CN"/>
              </w:rPr>
              <w:t>96.8</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107</w:t>
            </w:r>
            <w:r>
              <w:rPr>
                <w:rFonts w:hint="default" w:ascii="Times New Roman" w:hAnsi="Times New Roman" w:eastAsia="宋体" w:cs="Times New Roman"/>
                <w:color w:val="auto"/>
                <w:sz w:val="24"/>
                <w:szCs w:val="24"/>
                <w:lang w:val="en-US" w:eastAsia="zh-CN"/>
              </w:rPr>
              <w:t>mg/L、动植物油未检出、总磷</w:t>
            </w:r>
            <w:r>
              <w:rPr>
                <w:rFonts w:hint="eastAsia" w:cs="Times New Roman"/>
                <w:color w:val="auto"/>
                <w:sz w:val="24"/>
                <w:szCs w:val="24"/>
                <w:lang w:val="en-US" w:eastAsia="zh-CN"/>
              </w:rPr>
              <w:t>62.5</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66.5</w:t>
            </w:r>
            <w:r>
              <w:rPr>
                <w:rFonts w:hint="default" w:ascii="Times New Roman" w:hAnsi="Times New Roman" w:eastAsia="宋体" w:cs="Times New Roman"/>
                <w:color w:val="auto"/>
                <w:sz w:val="24"/>
                <w:szCs w:val="24"/>
                <w:lang w:val="en-US" w:eastAsia="zh-CN"/>
              </w:rPr>
              <w:t>mg/L</w:t>
            </w:r>
            <w:r>
              <w:rPr>
                <w:rFonts w:hint="eastAsia"/>
                <w:color w:val="auto"/>
                <w:sz w:val="24"/>
                <w:szCs w:val="24"/>
                <w:lang w:val="en-US" w:eastAsia="zh-CN"/>
              </w:rPr>
              <w:t>。</w:t>
            </w:r>
          </w:p>
          <w:p w14:paraId="19E875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olor w:val="auto"/>
                <w:sz w:val="24"/>
                <w:szCs w:val="24"/>
                <w:lang w:eastAsia="zh-CN"/>
              </w:rPr>
            </w:pPr>
            <w:r>
              <w:rPr>
                <w:rFonts w:hint="eastAsia"/>
                <w:color w:val="auto"/>
                <w:sz w:val="24"/>
                <w:szCs w:val="24"/>
                <w:lang w:eastAsia="zh-CN"/>
              </w:rPr>
              <w:t>②</w:t>
            </w:r>
            <w:r>
              <w:rPr>
                <w:rFonts w:hint="eastAsia" w:ascii="Times New Roman" w:hAnsi="Times New Roman" w:eastAsia="宋体"/>
                <w:color w:val="auto"/>
                <w:sz w:val="24"/>
                <w:szCs w:val="24"/>
                <w:lang w:eastAsia="zh-CN"/>
              </w:rPr>
              <w:t>生活污水</w:t>
            </w:r>
          </w:p>
          <w:p w14:paraId="0C83A4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lang w:eastAsia="zh-CN"/>
              </w:rPr>
              <w:t>本项目生活污水产生量为</w:t>
            </w:r>
            <w:r>
              <w:rPr>
                <w:rFonts w:hint="eastAsia"/>
                <w:color w:val="auto"/>
                <w:sz w:val="24"/>
                <w:szCs w:val="24"/>
                <w:lang w:val="en-US" w:eastAsia="zh-CN"/>
              </w:rPr>
              <w:t>6.53</w:t>
            </w:r>
            <w:r>
              <w:rPr>
                <w:rFonts w:hint="eastAsia" w:ascii="Times New Roman" w:hAnsi="Times New Roman" w:eastAsia="宋体"/>
                <w:color w:val="auto"/>
                <w:sz w:val="24"/>
                <w:szCs w:val="24"/>
                <w:lang w:eastAsia="zh-CN"/>
              </w:rPr>
              <w:t>m</w:t>
            </w:r>
            <w:r>
              <w:rPr>
                <w:rFonts w:hint="eastAsia" w:ascii="Times New Roman" w:hAnsi="Times New Roman" w:eastAsia="宋体"/>
                <w:color w:val="auto"/>
                <w:sz w:val="24"/>
                <w:szCs w:val="24"/>
                <w:vertAlign w:val="superscript"/>
                <w:lang w:eastAsia="zh-CN"/>
              </w:rPr>
              <w:t>3</w:t>
            </w:r>
            <w:r>
              <w:rPr>
                <w:rFonts w:hint="eastAsia" w:ascii="Times New Roman" w:hAnsi="Times New Roman" w:eastAsia="宋体"/>
                <w:color w:val="auto"/>
                <w:sz w:val="24"/>
                <w:szCs w:val="24"/>
                <w:lang w:eastAsia="zh-CN"/>
              </w:rPr>
              <w:t>/d，</w:t>
            </w:r>
            <w:r>
              <w:rPr>
                <w:rFonts w:hint="eastAsia"/>
                <w:color w:val="auto"/>
                <w:sz w:val="24"/>
                <w:szCs w:val="24"/>
                <w:lang w:val="en-US" w:eastAsia="zh-CN"/>
              </w:rPr>
              <w:t>1958.4</w:t>
            </w:r>
            <w:r>
              <w:rPr>
                <w:rFonts w:hint="eastAsia" w:ascii="Times New Roman" w:hAnsi="Times New Roman" w:eastAsia="宋体"/>
                <w:color w:val="auto"/>
                <w:sz w:val="24"/>
                <w:szCs w:val="24"/>
                <w:lang w:eastAsia="zh-CN"/>
              </w:rPr>
              <w:t>m</w:t>
            </w:r>
            <w:r>
              <w:rPr>
                <w:rFonts w:hint="eastAsia" w:ascii="Times New Roman" w:hAnsi="Times New Roman" w:eastAsia="宋体"/>
                <w:color w:val="auto"/>
                <w:sz w:val="24"/>
                <w:szCs w:val="24"/>
                <w:vertAlign w:val="superscript"/>
                <w:lang w:eastAsia="zh-CN"/>
              </w:rPr>
              <w:t>3</w:t>
            </w:r>
            <w:r>
              <w:rPr>
                <w:rFonts w:hint="eastAsia" w:ascii="Times New Roman" w:hAnsi="Times New Roman" w:eastAsia="宋体"/>
                <w:color w:val="auto"/>
                <w:sz w:val="24"/>
                <w:szCs w:val="24"/>
                <w:lang w:eastAsia="zh-CN"/>
              </w:rPr>
              <w:t>/a，污水中主要污染物为COD、BOD</w:t>
            </w:r>
            <w:r>
              <w:rPr>
                <w:rFonts w:hint="eastAsia" w:ascii="Times New Roman" w:hAnsi="Times New Roman" w:eastAsia="宋体"/>
                <w:color w:val="auto"/>
                <w:sz w:val="24"/>
                <w:szCs w:val="24"/>
                <w:vertAlign w:val="subscript"/>
                <w:lang w:eastAsia="zh-CN"/>
              </w:rPr>
              <w:t>5</w:t>
            </w:r>
            <w:r>
              <w:rPr>
                <w:rFonts w:hint="eastAsia" w:ascii="Times New Roman" w:hAnsi="Times New Roman" w:eastAsia="宋体"/>
                <w:color w:val="auto"/>
                <w:sz w:val="24"/>
                <w:szCs w:val="24"/>
                <w:lang w:eastAsia="zh-CN"/>
              </w:rPr>
              <w:t>、SS、氨氮，产生浓度及产生量分别为COD：300mg/L、</w:t>
            </w:r>
            <w:r>
              <w:rPr>
                <w:rFonts w:hint="eastAsia"/>
                <w:color w:val="auto"/>
                <w:sz w:val="24"/>
                <w:szCs w:val="24"/>
                <w:lang w:val="en-US" w:eastAsia="zh-CN"/>
              </w:rPr>
              <w:t>0.59</w:t>
            </w:r>
            <w:r>
              <w:rPr>
                <w:rFonts w:hint="eastAsia" w:ascii="Times New Roman" w:hAnsi="Times New Roman" w:eastAsia="宋体"/>
                <w:color w:val="auto"/>
                <w:sz w:val="24"/>
                <w:szCs w:val="24"/>
                <w:lang w:eastAsia="zh-CN"/>
              </w:rPr>
              <w:t>t/a，BOD</w:t>
            </w:r>
            <w:r>
              <w:rPr>
                <w:rFonts w:hint="eastAsia" w:ascii="Times New Roman" w:hAnsi="Times New Roman" w:eastAsia="宋体"/>
                <w:color w:val="auto"/>
                <w:sz w:val="24"/>
                <w:szCs w:val="24"/>
                <w:vertAlign w:val="subscript"/>
                <w:lang w:eastAsia="zh-CN"/>
              </w:rPr>
              <w:t>5</w:t>
            </w:r>
            <w:r>
              <w:rPr>
                <w:rFonts w:hint="eastAsia" w:ascii="Times New Roman" w:hAnsi="Times New Roman" w:eastAsia="宋体"/>
                <w:color w:val="auto"/>
                <w:sz w:val="24"/>
                <w:szCs w:val="24"/>
                <w:lang w:eastAsia="zh-CN"/>
              </w:rPr>
              <w:t>：150mg/L、</w:t>
            </w:r>
            <w:r>
              <w:rPr>
                <w:rFonts w:hint="eastAsia"/>
                <w:color w:val="auto"/>
                <w:sz w:val="24"/>
                <w:szCs w:val="24"/>
                <w:lang w:val="en-US" w:eastAsia="zh-CN"/>
              </w:rPr>
              <w:t>0.29</w:t>
            </w:r>
            <w:r>
              <w:rPr>
                <w:rFonts w:hint="eastAsia" w:ascii="Times New Roman" w:hAnsi="Times New Roman" w:eastAsia="宋体"/>
                <w:color w:val="auto"/>
                <w:sz w:val="24"/>
                <w:szCs w:val="24"/>
                <w:lang w:eastAsia="zh-CN"/>
              </w:rPr>
              <w:t>t/a，SS：200mg/L、</w:t>
            </w:r>
            <w:r>
              <w:rPr>
                <w:rFonts w:hint="eastAsia"/>
                <w:color w:val="auto"/>
                <w:sz w:val="24"/>
                <w:szCs w:val="24"/>
                <w:lang w:val="en-US" w:eastAsia="zh-CN"/>
              </w:rPr>
              <w:t>0.399</w:t>
            </w:r>
            <w:r>
              <w:rPr>
                <w:rFonts w:hint="eastAsia" w:ascii="Times New Roman" w:hAnsi="Times New Roman" w:eastAsia="宋体"/>
                <w:color w:val="auto"/>
                <w:sz w:val="24"/>
                <w:szCs w:val="24"/>
                <w:lang w:eastAsia="zh-CN"/>
              </w:rPr>
              <w:t>t/a，氨氮：30mg/L、</w:t>
            </w:r>
            <w:r>
              <w:rPr>
                <w:rFonts w:hint="eastAsia"/>
                <w:color w:val="auto"/>
                <w:sz w:val="24"/>
                <w:szCs w:val="24"/>
                <w:lang w:val="en-US" w:eastAsia="zh-CN"/>
              </w:rPr>
              <w:t>0.06</w:t>
            </w:r>
            <w:r>
              <w:rPr>
                <w:rFonts w:hint="eastAsia" w:ascii="Times New Roman" w:hAnsi="Times New Roman" w:eastAsia="宋体"/>
                <w:color w:val="auto"/>
                <w:sz w:val="24"/>
                <w:szCs w:val="24"/>
                <w:lang w:eastAsia="zh-CN"/>
              </w:rPr>
              <w:t>t/a</w:t>
            </w:r>
            <w:r>
              <w:rPr>
                <w:rFonts w:hint="eastAsia" w:ascii="Times New Roman" w:hAnsi="Times New Roman" w:eastAsia="宋体"/>
                <w:color w:val="auto"/>
                <w:sz w:val="24"/>
                <w:szCs w:val="24"/>
                <w:lang w:val="en-US" w:eastAsia="zh-CN"/>
              </w:rPr>
              <w:t>。</w:t>
            </w:r>
          </w:p>
          <w:p w14:paraId="47F4A7EC">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400" w:lineRule="exact"/>
              <w:ind w:left="0" w:right="0" w:firstLine="420" w:firstLineChars="200"/>
              <w:jc w:val="center"/>
              <w:textAlignment w:val="auto"/>
              <w:rPr>
                <w:rFonts w:hint="default" w:ascii="Times New Roman" w:hAnsi="Times New Roman" w:eastAsia="宋体" w:cs="Times New Roman"/>
                <w:b/>
                <w:color w:val="auto"/>
                <w:szCs w:val="21"/>
                <w:lang w:bidi="ar"/>
              </w:rPr>
            </w:pPr>
            <w:r>
              <w:rPr>
                <w:rFonts w:hint="default" w:ascii="Times New Roman" w:hAnsi="Times New Roman" w:eastAsia="宋体" w:cs="Times New Roman"/>
                <w:b/>
                <w:color w:val="auto"/>
                <w:szCs w:val="21"/>
                <w:lang w:bidi="ar"/>
              </w:rPr>
              <w:t>表4-</w:t>
            </w:r>
            <w:r>
              <w:rPr>
                <w:rFonts w:hint="eastAsia" w:ascii="Times New Roman" w:hAnsi="Times New Roman" w:eastAsia="宋体" w:cs="Times New Roman"/>
                <w:b/>
                <w:color w:val="auto"/>
                <w:szCs w:val="21"/>
                <w:lang w:val="en-US" w:eastAsia="zh-CN" w:bidi="ar"/>
              </w:rPr>
              <w:t>8</w:t>
            </w:r>
            <w:r>
              <w:rPr>
                <w:rFonts w:hint="default" w:ascii="Times New Roman" w:hAnsi="Times New Roman" w:eastAsia="宋体" w:cs="Times New Roman"/>
                <w:b/>
                <w:color w:val="auto"/>
                <w:szCs w:val="21"/>
                <w:lang w:bidi="ar"/>
              </w:rPr>
              <w:t xml:space="preserve"> 废水产污节点及污染治理设施</w:t>
            </w:r>
            <w:r>
              <w:rPr>
                <w:rFonts w:hint="default" w:ascii="Times New Roman" w:hAnsi="Times New Roman" w:eastAsia="宋体" w:cs="Times New Roman"/>
                <w:b/>
                <w:color w:val="auto"/>
              </w:rPr>
              <w:t>一览</w:t>
            </w:r>
            <w:r>
              <w:rPr>
                <w:rFonts w:hint="default" w:ascii="Times New Roman" w:hAnsi="Times New Roman" w:eastAsia="宋体" w:cs="Times New Roman"/>
                <w:b/>
                <w:color w:val="auto"/>
                <w:szCs w:val="21"/>
                <w:lang w:bidi="ar"/>
              </w:rPr>
              <w:t>表</w:t>
            </w:r>
          </w:p>
          <w:tbl>
            <w:tblPr>
              <w:tblStyle w:val="3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4"/>
              <w:gridCol w:w="1182"/>
              <w:gridCol w:w="1376"/>
              <w:gridCol w:w="1042"/>
              <w:gridCol w:w="1042"/>
              <w:gridCol w:w="1042"/>
              <w:gridCol w:w="1042"/>
              <w:gridCol w:w="1051"/>
            </w:tblGrid>
            <w:tr w14:paraId="25071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restart"/>
                  <w:noWrap w:val="0"/>
                  <w:vAlign w:val="center"/>
                </w:tcPr>
                <w:p w14:paraId="61CE19B7">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产污环节</w:t>
                  </w:r>
                </w:p>
              </w:tc>
              <w:tc>
                <w:tcPr>
                  <w:tcW w:w="666" w:type="pct"/>
                  <w:vMerge w:val="restart"/>
                  <w:noWrap w:val="0"/>
                  <w:vAlign w:val="center"/>
                </w:tcPr>
                <w:p w14:paraId="4E754D85">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污染物种类</w:t>
                  </w:r>
                </w:p>
              </w:tc>
              <w:tc>
                <w:tcPr>
                  <w:tcW w:w="775" w:type="pct"/>
                  <w:vMerge w:val="restart"/>
                  <w:noWrap w:val="0"/>
                  <w:vAlign w:val="center"/>
                </w:tcPr>
                <w:p w14:paraId="10988BBC">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排放方式</w:t>
                  </w:r>
                </w:p>
              </w:tc>
              <w:tc>
                <w:tcPr>
                  <w:tcW w:w="2941" w:type="pct"/>
                  <w:gridSpan w:val="5"/>
                  <w:noWrap w:val="0"/>
                  <w:vAlign w:val="center"/>
                </w:tcPr>
                <w:p w14:paraId="142EB47A">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污染防治设施</w:t>
                  </w:r>
                </w:p>
              </w:tc>
            </w:tr>
            <w:tr w14:paraId="0EADB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continue"/>
                  <w:noWrap w:val="0"/>
                  <w:vAlign w:val="center"/>
                </w:tcPr>
                <w:p w14:paraId="210276EE">
                  <w:pPr>
                    <w:keepNext w:val="0"/>
                    <w:keepLines w:val="0"/>
                    <w:suppressLineNumbers w:val="0"/>
                    <w:spacing w:before="0" w:beforeAutospacing="0" w:after="0" w:afterAutospacing="0" w:line="240" w:lineRule="auto"/>
                    <w:ind w:left="0" w:right="0"/>
                    <w:jc w:val="center"/>
                    <w:rPr>
                      <w:rFonts w:hint="default"/>
                      <w:color w:val="auto"/>
                      <w:sz w:val="21"/>
                      <w:szCs w:val="21"/>
                    </w:rPr>
                  </w:pPr>
                </w:p>
              </w:tc>
              <w:tc>
                <w:tcPr>
                  <w:tcW w:w="666" w:type="pct"/>
                  <w:vMerge w:val="continue"/>
                  <w:noWrap w:val="0"/>
                  <w:vAlign w:val="center"/>
                </w:tcPr>
                <w:p w14:paraId="35A9F52D">
                  <w:pPr>
                    <w:keepNext w:val="0"/>
                    <w:keepLines w:val="0"/>
                    <w:suppressLineNumbers w:val="0"/>
                    <w:spacing w:before="0" w:beforeAutospacing="0" w:after="0" w:afterAutospacing="0" w:line="240" w:lineRule="auto"/>
                    <w:ind w:left="0" w:right="0"/>
                    <w:jc w:val="center"/>
                    <w:rPr>
                      <w:rFonts w:hint="default"/>
                      <w:color w:val="auto"/>
                      <w:sz w:val="21"/>
                      <w:szCs w:val="21"/>
                    </w:rPr>
                  </w:pPr>
                </w:p>
              </w:tc>
              <w:tc>
                <w:tcPr>
                  <w:tcW w:w="775" w:type="pct"/>
                  <w:vMerge w:val="continue"/>
                  <w:noWrap w:val="0"/>
                  <w:vAlign w:val="center"/>
                </w:tcPr>
                <w:p w14:paraId="1D788F0A">
                  <w:pPr>
                    <w:keepNext w:val="0"/>
                    <w:keepLines w:val="0"/>
                    <w:suppressLineNumbers w:val="0"/>
                    <w:spacing w:before="0" w:beforeAutospacing="0" w:after="0" w:afterAutospacing="0" w:line="240" w:lineRule="auto"/>
                    <w:ind w:left="0" w:right="0"/>
                    <w:jc w:val="center"/>
                    <w:rPr>
                      <w:rFonts w:hint="default"/>
                      <w:color w:val="auto"/>
                      <w:sz w:val="21"/>
                      <w:szCs w:val="21"/>
                    </w:rPr>
                  </w:pPr>
                </w:p>
              </w:tc>
              <w:tc>
                <w:tcPr>
                  <w:tcW w:w="587" w:type="pct"/>
                  <w:noWrap w:val="0"/>
                  <w:vAlign w:val="center"/>
                </w:tcPr>
                <w:p w14:paraId="2D6B7864">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污染防治设施名称</w:t>
                  </w:r>
                </w:p>
              </w:tc>
              <w:tc>
                <w:tcPr>
                  <w:tcW w:w="587" w:type="pct"/>
                  <w:noWrap w:val="0"/>
                  <w:vAlign w:val="center"/>
                </w:tcPr>
                <w:p w14:paraId="27F7CEBD">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处理能力</w:t>
                  </w:r>
                </w:p>
              </w:tc>
              <w:tc>
                <w:tcPr>
                  <w:tcW w:w="587" w:type="pct"/>
                  <w:noWrap w:val="0"/>
                  <w:vAlign w:val="center"/>
                </w:tcPr>
                <w:p w14:paraId="0AD4E134">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治理工艺</w:t>
                  </w:r>
                </w:p>
              </w:tc>
              <w:tc>
                <w:tcPr>
                  <w:tcW w:w="587" w:type="pct"/>
                  <w:noWrap w:val="0"/>
                  <w:vAlign w:val="center"/>
                </w:tcPr>
                <w:p w14:paraId="2CA4EC78">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治理效率</w:t>
                  </w:r>
                  <w:r>
                    <w:rPr>
                      <w:rFonts w:hint="eastAsia"/>
                      <w:color w:val="auto"/>
                      <w:sz w:val="21"/>
                      <w:szCs w:val="21"/>
                    </w:rPr>
                    <w:t>%</w:t>
                  </w:r>
                </w:p>
              </w:tc>
              <w:tc>
                <w:tcPr>
                  <w:tcW w:w="592" w:type="pct"/>
                  <w:noWrap w:val="0"/>
                  <w:vAlign w:val="center"/>
                </w:tcPr>
                <w:p w14:paraId="6AFF9525">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是否为可行技术</w:t>
                  </w:r>
                </w:p>
              </w:tc>
            </w:tr>
            <w:tr w14:paraId="537339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restart"/>
                  <w:noWrap w:val="0"/>
                  <w:vAlign w:val="center"/>
                </w:tcPr>
                <w:p w14:paraId="152B900E">
                  <w:pPr>
                    <w:keepNext w:val="0"/>
                    <w:keepLines w:val="0"/>
                    <w:suppressLineNumbers w:val="0"/>
                    <w:spacing w:before="0" w:beforeAutospacing="0" w:after="0" w:afterAutospacing="0" w:line="240" w:lineRule="auto"/>
                    <w:ind w:left="0" w:right="0"/>
                    <w:jc w:val="center"/>
                    <w:rPr>
                      <w:rFonts w:hint="eastAsia"/>
                      <w:color w:val="auto"/>
                      <w:sz w:val="21"/>
                      <w:szCs w:val="21"/>
                      <w:lang w:val="en-US" w:eastAsia="zh-CN"/>
                    </w:rPr>
                  </w:pPr>
                  <w:r>
                    <w:rPr>
                      <w:rFonts w:hint="eastAsia" w:ascii="Times New Roman" w:hAnsi="Times New Roman" w:cs="Times New Roman"/>
                      <w:color w:val="auto"/>
                      <w:szCs w:val="21"/>
                      <w:lang w:val="en-US" w:eastAsia="zh-CN"/>
                    </w:rPr>
                    <w:t>生产废水</w:t>
                  </w:r>
                </w:p>
              </w:tc>
              <w:tc>
                <w:tcPr>
                  <w:tcW w:w="666" w:type="pct"/>
                  <w:noWrap w:val="0"/>
                  <w:vAlign w:val="center"/>
                </w:tcPr>
                <w:p w14:paraId="14CD3CE9">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ascii="Times New Roman" w:hAnsi="Times New Roman" w:cs="Times New Roman"/>
                      <w:color w:val="auto"/>
                      <w:szCs w:val="21"/>
                      <w:lang w:val="en-US" w:eastAsia="zh-CN"/>
                    </w:rPr>
                    <w:t>COD</w:t>
                  </w:r>
                </w:p>
              </w:tc>
              <w:tc>
                <w:tcPr>
                  <w:tcW w:w="775" w:type="pct"/>
                  <w:noWrap w:val="0"/>
                  <w:vAlign w:val="center"/>
                </w:tcPr>
                <w:p w14:paraId="46151A48">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vMerge w:val="restart"/>
                  <w:noWrap w:val="0"/>
                  <w:vAlign w:val="center"/>
                </w:tcPr>
                <w:p w14:paraId="52B77F8F">
                  <w:pPr>
                    <w:keepNext w:val="0"/>
                    <w:keepLines w:val="0"/>
                    <w:suppressLineNumbers w:val="0"/>
                    <w:spacing w:before="0" w:beforeAutospacing="0" w:after="0" w:afterAutospacing="0" w:line="240" w:lineRule="auto"/>
                    <w:ind w:left="0" w:right="0"/>
                    <w:jc w:val="center"/>
                    <w:rPr>
                      <w:rFonts w:hint="eastAsia" w:eastAsia="宋体"/>
                      <w:color w:val="auto"/>
                      <w:sz w:val="21"/>
                      <w:szCs w:val="21"/>
                      <w:lang w:val="en-US" w:eastAsia="zh-CN"/>
                    </w:rPr>
                  </w:pPr>
                  <w:r>
                    <w:rPr>
                      <w:rFonts w:hint="eastAsia" w:ascii="Times New Roman" w:eastAsia="宋体"/>
                      <w:color w:val="auto"/>
                      <w:sz w:val="21"/>
                      <w:szCs w:val="21"/>
                      <w:lang w:val="en-US" w:eastAsia="zh-CN"/>
                    </w:rPr>
                    <w:t>污水处理站</w:t>
                  </w:r>
                </w:p>
              </w:tc>
              <w:tc>
                <w:tcPr>
                  <w:tcW w:w="587" w:type="pct"/>
                  <w:vMerge w:val="restart"/>
                  <w:noWrap w:val="0"/>
                  <w:vAlign w:val="center"/>
                </w:tcPr>
                <w:p w14:paraId="7016C3B9">
                  <w:pPr>
                    <w:keepNext w:val="0"/>
                    <w:keepLines w:val="0"/>
                    <w:suppressLineNumbers w:val="0"/>
                    <w:spacing w:before="0" w:beforeAutospacing="0" w:after="0" w:afterAutospacing="0" w:line="240" w:lineRule="auto"/>
                    <w:ind w:left="0" w:right="0"/>
                    <w:jc w:val="center"/>
                    <w:rPr>
                      <w:rFonts w:hint="default" w:eastAsia="宋体"/>
                      <w:color w:val="auto"/>
                      <w:sz w:val="21"/>
                      <w:szCs w:val="21"/>
                      <w:vertAlign w:val="baseline"/>
                      <w:lang w:val="en-US" w:eastAsia="zh-CN"/>
                    </w:rPr>
                  </w:pPr>
                  <w:r>
                    <w:rPr>
                      <w:rFonts w:hint="eastAsia"/>
                      <w:color w:val="auto"/>
                      <w:sz w:val="21"/>
                      <w:szCs w:val="21"/>
                      <w:lang w:val="en-US" w:eastAsia="zh-CN"/>
                    </w:rPr>
                    <w:t>100</w:t>
                  </w:r>
                  <w:r>
                    <w:rPr>
                      <w:rFonts w:hint="eastAsia" w:ascii="Times New Roman" w:eastAsia="宋体"/>
                      <w:color w:val="auto"/>
                      <w:sz w:val="21"/>
                      <w:szCs w:val="21"/>
                      <w:lang w:val="en-US" w:eastAsia="zh-CN"/>
                    </w:rPr>
                    <w:t>m</w:t>
                  </w:r>
                  <w:r>
                    <w:rPr>
                      <w:rFonts w:hint="eastAsia" w:ascii="Times New Roman" w:eastAsia="宋体"/>
                      <w:color w:val="auto"/>
                      <w:sz w:val="21"/>
                      <w:szCs w:val="21"/>
                      <w:vertAlign w:val="superscript"/>
                      <w:lang w:val="en-US" w:eastAsia="zh-CN"/>
                    </w:rPr>
                    <w:t>3</w:t>
                  </w:r>
                  <w:r>
                    <w:rPr>
                      <w:rFonts w:hint="eastAsia" w:ascii="Times New Roman" w:eastAsia="宋体"/>
                      <w:color w:val="auto"/>
                      <w:sz w:val="21"/>
                      <w:szCs w:val="21"/>
                      <w:vertAlign w:val="baseline"/>
                      <w:lang w:val="en-US" w:eastAsia="zh-CN"/>
                    </w:rPr>
                    <w:t>/d</w:t>
                  </w:r>
                </w:p>
              </w:tc>
              <w:tc>
                <w:tcPr>
                  <w:tcW w:w="587" w:type="pct"/>
                  <w:vMerge w:val="restart"/>
                  <w:noWrap w:val="0"/>
                  <w:vAlign w:val="center"/>
                </w:tcPr>
                <w:p w14:paraId="7A46168B">
                  <w:pPr>
                    <w:keepNext w:val="0"/>
                    <w:keepLines w:val="0"/>
                    <w:suppressLineNumbers w:val="0"/>
                    <w:spacing w:before="0" w:beforeAutospacing="0" w:after="0" w:afterAutospacing="0" w:line="240" w:lineRule="auto"/>
                    <w:ind w:left="0" w:right="0"/>
                    <w:jc w:val="center"/>
                    <w:rPr>
                      <w:rFonts w:hint="eastAsia"/>
                      <w:color w:val="auto"/>
                      <w:sz w:val="21"/>
                      <w:szCs w:val="21"/>
                    </w:rPr>
                  </w:pPr>
                  <w:r>
                    <w:rPr>
                      <w:rFonts w:hint="eastAsia" w:ascii="Times New Roman" w:hAnsi="Times New Roman" w:eastAsia="宋体" w:cs="Times New Roman"/>
                      <w:color w:val="auto"/>
                      <w:kern w:val="2"/>
                      <w:sz w:val="21"/>
                      <w:szCs w:val="21"/>
                      <w:highlight w:val="none"/>
                      <w:lang w:val="en-US" w:eastAsia="zh-CN"/>
                    </w:rPr>
                    <w:t>隔油池+调节池+气浮+水解+UASB+兼氧池+SBR</w:t>
                  </w:r>
                </w:p>
              </w:tc>
              <w:tc>
                <w:tcPr>
                  <w:tcW w:w="1042" w:type="dxa"/>
                  <w:noWrap w:val="0"/>
                  <w:vAlign w:val="center"/>
                </w:tcPr>
                <w:p w14:paraId="49E6EDE7">
                  <w:pPr>
                    <w:keepNext w:val="0"/>
                    <w:keepLines w:val="0"/>
                    <w:suppressLineNumbers w:val="0"/>
                    <w:spacing w:before="0" w:beforeAutospacing="0" w:after="0" w:afterAutospacing="0"/>
                    <w:ind w:left="0" w:leftChars="0" w:right="0" w:rightChars="0"/>
                    <w:jc w:val="center"/>
                    <w:rPr>
                      <w:rFonts w:hint="eastAsia"/>
                      <w:color w:val="auto"/>
                      <w:sz w:val="21"/>
                      <w:szCs w:val="21"/>
                    </w:rPr>
                  </w:pPr>
                  <w:r>
                    <w:rPr>
                      <w:rFonts w:hint="eastAsia"/>
                      <w:color w:val="auto"/>
                      <w:kern w:val="0"/>
                      <w:sz w:val="21"/>
                      <w:szCs w:val="21"/>
                      <w:lang w:val="en-US" w:eastAsia="zh-CN"/>
                    </w:rPr>
                    <w:t>95.5</w:t>
                  </w:r>
                </w:p>
              </w:tc>
              <w:tc>
                <w:tcPr>
                  <w:tcW w:w="592" w:type="pct"/>
                  <w:vMerge w:val="restart"/>
                  <w:noWrap w:val="0"/>
                  <w:vAlign w:val="center"/>
                </w:tcPr>
                <w:p w14:paraId="4097C617">
                  <w:pPr>
                    <w:keepNext w:val="0"/>
                    <w:keepLines w:val="0"/>
                    <w:suppressLineNumbers w:val="0"/>
                    <w:spacing w:before="0" w:beforeAutospacing="0" w:after="0" w:afterAutospacing="0" w:line="240" w:lineRule="auto"/>
                    <w:ind w:left="0" w:right="0"/>
                    <w:jc w:val="center"/>
                    <w:rPr>
                      <w:rFonts w:hint="eastAsia" w:eastAsia="宋体"/>
                      <w:color w:val="auto"/>
                      <w:sz w:val="21"/>
                      <w:szCs w:val="21"/>
                      <w:lang w:val="en-US" w:eastAsia="zh-CN"/>
                    </w:rPr>
                  </w:pPr>
                  <w:r>
                    <w:rPr>
                      <w:rFonts w:hint="eastAsia" w:ascii="Times New Roman" w:eastAsia="宋体"/>
                      <w:color w:val="auto"/>
                      <w:sz w:val="21"/>
                      <w:szCs w:val="21"/>
                      <w:lang w:val="en-US" w:eastAsia="zh-CN"/>
                    </w:rPr>
                    <w:t>是</w:t>
                  </w:r>
                </w:p>
              </w:tc>
            </w:tr>
            <w:tr w14:paraId="3F7F63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continue"/>
                  <w:noWrap w:val="0"/>
                  <w:vAlign w:val="center"/>
                </w:tcPr>
                <w:p w14:paraId="06081297">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Cs w:val="21"/>
                      <w:lang w:val="en-US" w:eastAsia="zh-CN"/>
                    </w:rPr>
                  </w:pPr>
                </w:p>
              </w:tc>
              <w:tc>
                <w:tcPr>
                  <w:tcW w:w="666" w:type="pct"/>
                  <w:noWrap w:val="0"/>
                  <w:vAlign w:val="center"/>
                </w:tcPr>
                <w:p w14:paraId="7A2446B6">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ascii="Times New Roman" w:hAnsi="Times New Roman" w:eastAsia="宋体" w:cs="Times New Roman"/>
                      <w:bCs/>
                      <w:color w:val="auto"/>
                      <w:szCs w:val="21"/>
                      <w:lang w:bidi="ar"/>
                    </w:rPr>
                    <w:t>NH</w:t>
                  </w:r>
                  <w:r>
                    <w:rPr>
                      <w:rFonts w:hint="default" w:ascii="Times New Roman" w:hAnsi="Times New Roman" w:eastAsia="宋体" w:cs="Times New Roman"/>
                      <w:bCs/>
                      <w:color w:val="auto"/>
                      <w:szCs w:val="21"/>
                      <w:vertAlign w:val="subscript"/>
                      <w:lang w:bidi="ar"/>
                    </w:rPr>
                    <w:t>3</w:t>
                  </w:r>
                  <w:r>
                    <w:rPr>
                      <w:rFonts w:hint="default" w:ascii="Times New Roman" w:hAnsi="Times New Roman" w:eastAsia="宋体" w:cs="Times New Roman"/>
                      <w:bCs/>
                      <w:color w:val="auto"/>
                      <w:szCs w:val="21"/>
                      <w:lang w:bidi="ar"/>
                    </w:rPr>
                    <w:t>-N</w:t>
                  </w:r>
                </w:p>
              </w:tc>
              <w:tc>
                <w:tcPr>
                  <w:tcW w:w="775" w:type="pct"/>
                  <w:noWrap w:val="0"/>
                  <w:vAlign w:val="center"/>
                </w:tcPr>
                <w:p w14:paraId="7A6F5606">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vMerge w:val="continue"/>
                  <w:noWrap w:val="0"/>
                  <w:vAlign w:val="center"/>
                </w:tcPr>
                <w:p w14:paraId="50233259">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1276553F">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204F30E4">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1042" w:type="dxa"/>
                  <w:noWrap w:val="0"/>
                  <w:vAlign w:val="center"/>
                </w:tcPr>
                <w:p w14:paraId="1671B33D">
                  <w:pPr>
                    <w:keepNext w:val="0"/>
                    <w:keepLines w:val="0"/>
                    <w:suppressLineNumbers w:val="0"/>
                    <w:spacing w:before="0" w:beforeAutospacing="0" w:after="0" w:afterAutospacing="0"/>
                    <w:ind w:left="0" w:leftChars="0" w:right="0" w:rightChars="0"/>
                    <w:jc w:val="center"/>
                    <w:rPr>
                      <w:rFonts w:hint="eastAsia"/>
                      <w:color w:val="auto"/>
                      <w:sz w:val="21"/>
                      <w:szCs w:val="21"/>
                    </w:rPr>
                  </w:pPr>
                  <w:r>
                    <w:rPr>
                      <w:rFonts w:hint="eastAsia" w:ascii="Times New Roman" w:eastAsia="宋体"/>
                      <w:color w:val="auto"/>
                      <w:kern w:val="0"/>
                      <w:sz w:val="21"/>
                      <w:szCs w:val="21"/>
                      <w:lang w:val="en-US" w:eastAsia="zh-CN"/>
                    </w:rPr>
                    <w:t>92.2</w:t>
                  </w:r>
                </w:p>
              </w:tc>
              <w:tc>
                <w:tcPr>
                  <w:tcW w:w="592" w:type="pct"/>
                  <w:vMerge w:val="continue"/>
                  <w:noWrap w:val="0"/>
                  <w:vAlign w:val="center"/>
                </w:tcPr>
                <w:p w14:paraId="40F769BB">
                  <w:pPr>
                    <w:keepNext w:val="0"/>
                    <w:keepLines w:val="0"/>
                    <w:suppressLineNumbers w:val="0"/>
                    <w:spacing w:before="0" w:beforeAutospacing="0" w:after="0" w:afterAutospacing="0" w:line="240" w:lineRule="auto"/>
                    <w:ind w:left="0" w:right="0"/>
                    <w:jc w:val="center"/>
                    <w:rPr>
                      <w:rFonts w:hint="eastAsia"/>
                      <w:color w:val="auto"/>
                      <w:sz w:val="21"/>
                      <w:szCs w:val="21"/>
                      <w:lang w:val="en-US" w:eastAsia="zh-CN"/>
                    </w:rPr>
                  </w:pPr>
                </w:p>
              </w:tc>
            </w:tr>
            <w:tr w14:paraId="2BD94D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continue"/>
                  <w:noWrap w:val="0"/>
                  <w:vAlign w:val="center"/>
                </w:tcPr>
                <w:p w14:paraId="1ECA0D52">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Cs w:val="21"/>
                      <w:lang w:val="en-US" w:eastAsia="zh-CN"/>
                    </w:rPr>
                  </w:pPr>
                </w:p>
              </w:tc>
              <w:tc>
                <w:tcPr>
                  <w:tcW w:w="666" w:type="pct"/>
                  <w:noWrap w:val="0"/>
                  <w:vAlign w:val="center"/>
                </w:tcPr>
                <w:p w14:paraId="3B2EA0F4">
                  <w:pPr>
                    <w:keepNext w:val="0"/>
                    <w:keepLines w:val="0"/>
                    <w:suppressLineNumbers w:val="0"/>
                    <w:spacing w:before="0" w:beforeAutospacing="0" w:after="0" w:afterAutospacing="0" w:line="240" w:lineRule="auto"/>
                    <w:ind w:left="0" w:right="0"/>
                    <w:jc w:val="center"/>
                    <w:rPr>
                      <w:rFonts w:hint="default" w:eastAsia="宋体"/>
                      <w:color w:val="auto"/>
                      <w:sz w:val="21"/>
                      <w:szCs w:val="21"/>
                      <w:lang w:val="en-US" w:eastAsia="zh-CN"/>
                    </w:rPr>
                  </w:pPr>
                  <w:r>
                    <w:rPr>
                      <w:rFonts w:hint="eastAsia" w:ascii="Times New Roman" w:eastAsia="宋体"/>
                      <w:color w:val="auto"/>
                      <w:sz w:val="21"/>
                      <w:szCs w:val="21"/>
                      <w:lang w:val="en-US" w:eastAsia="zh-CN"/>
                    </w:rPr>
                    <w:t>BOD</w:t>
                  </w:r>
                  <w:r>
                    <w:rPr>
                      <w:rFonts w:hint="eastAsia" w:ascii="Times New Roman" w:eastAsia="宋体"/>
                      <w:color w:val="auto"/>
                      <w:sz w:val="21"/>
                      <w:szCs w:val="21"/>
                      <w:vertAlign w:val="subscript"/>
                      <w:lang w:val="en-US" w:eastAsia="zh-CN"/>
                    </w:rPr>
                    <w:t>5</w:t>
                  </w:r>
                </w:p>
              </w:tc>
              <w:tc>
                <w:tcPr>
                  <w:tcW w:w="775" w:type="pct"/>
                  <w:noWrap w:val="0"/>
                  <w:vAlign w:val="center"/>
                </w:tcPr>
                <w:p w14:paraId="35561F90">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vMerge w:val="continue"/>
                  <w:noWrap w:val="0"/>
                  <w:vAlign w:val="center"/>
                </w:tcPr>
                <w:p w14:paraId="039FECDB">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54E41B2E">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678AE835">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1042" w:type="dxa"/>
                  <w:noWrap w:val="0"/>
                  <w:vAlign w:val="center"/>
                </w:tcPr>
                <w:p w14:paraId="540D881A">
                  <w:pPr>
                    <w:keepNext w:val="0"/>
                    <w:keepLines w:val="0"/>
                    <w:suppressLineNumbers w:val="0"/>
                    <w:spacing w:before="0" w:beforeAutospacing="0" w:after="0" w:afterAutospacing="0"/>
                    <w:ind w:left="0" w:leftChars="0" w:right="0" w:rightChars="0"/>
                    <w:jc w:val="center"/>
                    <w:rPr>
                      <w:rFonts w:hint="eastAsia"/>
                      <w:color w:val="auto"/>
                      <w:sz w:val="21"/>
                      <w:szCs w:val="21"/>
                    </w:rPr>
                  </w:pPr>
                  <w:r>
                    <w:rPr>
                      <w:rFonts w:hint="eastAsia" w:ascii="Times New Roman" w:eastAsia="宋体"/>
                      <w:color w:val="auto"/>
                      <w:kern w:val="0"/>
                      <w:sz w:val="21"/>
                      <w:szCs w:val="21"/>
                      <w:lang w:val="en-US" w:eastAsia="zh-CN"/>
                    </w:rPr>
                    <w:t>92.1</w:t>
                  </w:r>
                </w:p>
              </w:tc>
              <w:tc>
                <w:tcPr>
                  <w:tcW w:w="592" w:type="pct"/>
                  <w:vMerge w:val="continue"/>
                  <w:noWrap w:val="0"/>
                  <w:vAlign w:val="center"/>
                </w:tcPr>
                <w:p w14:paraId="4820F626">
                  <w:pPr>
                    <w:keepNext w:val="0"/>
                    <w:keepLines w:val="0"/>
                    <w:suppressLineNumbers w:val="0"/>
                    <w:spacing w:before="0" w:beforeAutospacing="0" w:after="0" w:afterAutospacing="0" w:line="240" w:lineRule="auto"/>
                    <w:ind w:left="0" w:right="0"/>
                    <w:jc w:val="center"/>
                    <w:rPr>
                      <w:rFonts w:hint="eastAsia"/>
                      <w:color w:val="auto"/>
                      <w:sz w:val="21"/>
                      <w:szCs w:val="21"/>
                      <w:lang w:val="en-US" w:eastAsia="zh-CN"/>
                    </w:rPr>
                  </w:pPr>
                </w:p>
              </w:tc>
            </w:tr>
            <w:tr w14:paraId="0A301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continue"/>
                  <w:noWrap w:val="0"/>
                  <w:vAlign w:val="center"/>
                </w:tcPr>
                <w:p w14:paraId="5353207F">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Cs w:val="21"/>
                      <w:lang w:val="en-US" w:eastAsia="zh-CN"/>
                    </w:rPr>
                  </w:pPr>
                </w:p>
              </w:tc>
              <w:tc>
                <w:tcPr>
                  <w:tcW w:w="666" w:type="pct"/>
                  <w:noWrap w:val="0"/>
                  <w:vAlign w:val="center"/>
                </w:tcPr>
                <w:p w14:paraId="04337A10">
                  <w:pPr>
                    <w:keepNext w:val="0"/>
                    <w:keepLines w:val="0"/>
                    <w:suppressLineNumbers w:val="0"/>
                    <w:spacing w:before="0" w:beforeAutospacing="0" w:after="0" w:afterAutospacing="0" w:line="240" w:lineRule="auto"/>
                    <w:ind w:left="0" w:right="0"/>
                    <w:jc w:val="center"/>
                    <w:rPr>
                      <w:rFonts w:hint="default" w:eastAsia="宋体"/>
                      <w:color w:val="auto"/>
                      <w:sz w:val="21"/>
                      <w:szCs w:val="21"/>
                      <w:lang w:val="en-US" w:eastAsia="zh-CN"/>
                    </w:rPr>
                  </w:pPr>
                  <w:r>
                    <w:rPr>
                      <w:rFonts w:hint="eastAsia" w:ascii="Times New Roman" w:eastAsia="宋体"/>
                      <w:color w:val="auto"/>
                      <w:sz w:val="21"/>
                      <w:szCs w:val="21"/>
                      <w:lang w:val="en-US" w:eastAsia="zh-CN"/>
                    </w:rPr>
                    <w:t>SS</w:t>
                  </w:r>
                </w:p>
              </w:tc>
              <w:tc>
                <w:tcPr>
                  <w:tcW w:w="775" w:type="pct"/>
                  <w:noWrap w:val="0"/>
                  <w:vAlign w:val="center"/>
                </w:tcPr>
                <w:p w14:paraId="37166C9F">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vMerge w:val="continue"/>
                  <w:noWrap w:val="0"/>
                  <w:vAlign w:val="center"/>
                </w:tcPr>
                <w:p w14:paraId="523CB55E">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104BF460">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2F0E6888">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1042" w:type="dxa"/>
                  <w:noWrap w:val="0"/>
                  <w:vAlign w:val="center"/>
                </w:tcPr>
                <w:p w14:paraId="1A17688B">
                  <w:pPr>
                    <w:keepNext w:val="0"/>
                    <w:keepLines w:val="0"/>
                    <w:suppressLineNumbers w:val="0"/>
                    <w:spacing w:before="0" w:beforeAutospacing="0" w:after="0" w:afterAutospacing="0"/>
                    <w:ind w:left="0" w:leftChars="0" w:right="0" w:rightChars="0"/>
                    <w:jc w:val="center"/>
                    <w:rPr>
                      <w:rFonts w:hint="eastAsia"/>
                      <w:color w:val="auto"/>
                      <w:sz w:val="21"/>
                      <w:szCs w:val="21"/>
                    </w:rPr>
                  </w:pPr>
                  <w:r>
                    <w:rPr>
                      <w:rFonts w:hint="eastAsia"/>
                      <w:color w:val="auto"/>
                      <w:kern w:val="0"/>
                      <w:sz w:val="21"/>
                      <w:szCs w:val="21"/>
                      <w:lang w:val="en-US" w:eastAsia="zh-CN"/>
                    </w:rPr>
                    <w:t>95</w:t>
                  </w:r>
                </w:p>
              </w:tc>
              <w:tc>
                <w:tcPr>
                  <w:tcW w:w="592" w:type="pct"/>
                  <w:vMerge w:val="continue"/>
                  <w:noWrap w:val="0"/>
                  <w:vAlign w:val="center"/>
                </w:tcPr>
                <w:p w14:paraId="6ADACDD8">
                  <w:pPr>
                    <w:keepNext w:val="0"/>
                    <w:keepLines w:val="0"/>
                    <w:suppressLineNumbers w:val="0"/>
                    <w:spacing w:before="0" w:beforeAutospacing="0" w:after="0" w:afterAutospacing="0" w:line="240" w:lineRule="auto"/>
                    <w:ind w:left="0" w:right="0"/>
                    <w:jc w:val="center"/>
                    <w:rPr>
                      <w:rFonts w:hint="eastAsia"/>
                      <w:color w:val="auto"/>
                      <w:sz w:val="21"/>
                      <w:szCs w:val="21"/>
                      <w:lang w:val="en-US" w:eastAsia="zh-CN"/>
                    </w:rPr>
                  </w:pPr>
                </w:p>
              </w:tc>
            </w:tr>
            <w:tr w14:paraId="5C2D1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vMerge w:val="continue"/>
                  <w:noWrap w:val="0"/>
                  <w:vAlign w:val="center"/>
                </w:tcPr>
                <w:p w14:paraId="63153E66">
                  <w:pPr>
                    <w:keepNext w:val="0"/>
                    <w:keepLines w:val="0"/>
                    <w:suppressLineNumbers w:val="0"/>
                    <w:spacing w:before="0" w:beforeAutospacing="0" w:after="0" w:afterAutospacing="0" w:line="240" w:lineRule="auto"/>
                    <w:ind w:left="0" w:right="0"/>
                    <w:jc w:val="center"/>
                    <w:rPr>
                      <w:rFonts w:hint="eastAsia" w:ascii="Times New Roman" w:hAnsi="Times New Roman" w:cs="Times New Roman"/>
                      <w:color w:val="auto"/>
                      <w:szCs w:val="21"/>
                      <w:lang w:val="en-US" w:eastAsia="zh-CN"/>
                    </w:rPr>
                  </w:pPr>
                </w:p>
              </w:tc>
              <w:tc>
                <w:tcPr>
                  <w:tcW w:w="666" w:type="pct"/>
                  <w:noWrap w:val="0"/>
                  <w:vAlign w:val="center"/>
                </w:tcPr>
                <w:p w14:paraId="50A60039">
                  <w:pPr>
                    <w:keepNext w:val="0"/>
                    <w:keepLines w:val="0"/>
                    <w:suppressLineNumbers w:val="0"/>
                    <w:spacing w:before="0" w:beforeAutospacing="0" w:after="0" w:afterAutospacing="0" w:line="240" w:lineRule="auto"/>
                    <w:ind w:left="0" w:right="0"/>
                    <w:jc w:val="center"/>
                    <w:rPr>
                      <w:rFonts w:hint="eastAsia" w:eastAsia="宋体"/>
                      <w:color w:val="auto"/>
                      <w:sz w:val="21"/>
                      <w:szCs w:val="21"/>
                      <w:lang w:val="en-US" w:eastAsia="zh-CN"/>
                    </w:rPr>
                  </w:pPr>
                  <w:r>
                    <w:rPr>
                      <w:rFonts w:hint="eastAsia" w:ascii="Times New Roman" w:eastAsia="宋体"/>
                      <w:color w:val="auto"/>
                      <w:sz w:val="21"/>
                      <w:szCs w:val="21"/>
                      <w:lang w:val="en-US" w:eastAsia="zh-CN"/>
                    </w:rPr>
                    <w:t>动植物油</w:t>
                  </w:r>
                </w:p>
              </w:tc>
              <w:tc>
                <w:tcPr>
                  <w:tcW w:w="775" w:type="pct"/>
                  <w:noWrap w:val="0"/>
                  <w:vAlign w:val="center"/>
                </w:tcPr>
                <w:p w14:paraId="2297DB3D">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vMerge w:val="continue"/>
                  <w:noWrap w:val="0"/>
                  <w:vAlign w:val="center"/>
                </w:tcPr>
                <w:p w14:paraId="3BE93D9A">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3119FA07">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587" w:type="pct"/>
                  <w:vMerge w:val="continue"/>
                  <w:noWrap w:val="0"/>
                  <w:vAlign w:val="center"/>
                </w:tcPr>
                <w:p w14:paraId="587556D2">
                  <w:pPr>
                    <w:keepNext w:val="0"/>
                    <w:keepLines w:val="0"/>
                    <w:suppressLineNumbers w:val="0"/>
                    <w:spacing w:before="0" w:beforeAutospacing="0" w:after="0" w:afterAutospacing="0" w:line="240" w:lineRule="auto"/>
                    <w:ind w:left="0" w:right="0"/>
                    <w:jc w:val="center"/>
                    <w:rPr>
                      <w:rFonts w:hint="eastAsia"/>
                      <w:color w:val="auto"/>
                      <w:sz w:val="21"/>
                      <w:szCs w:val="21"/>
                    </w:rPr>
                  </w:pPr>
                </w:p>
              </w:tc>
              <w:tc>
                <w:tcPr>
                  <w:tcW w:w="1042" w:type="dxa"/>
                  <w:noWrap w:val="0"/>
                  <w:vAlign w:val="center"/>
                </w:tcPr>
                <w:p w14:paraId="38C17CA6">
                  <w:pPr>
                    <w:keepNext w:val="0"/>
                    <w:keepLines w:val="0"/>
                    <w:suppressLineNumbers w:val="0"/>
                    <w:spacing w:before="0" w:beforeAutospacing="0" w:after="0" w:afterAutospacing="0"/>
                    <w:ind w:left="0" w:leftChars="0" w:right="0" w:rightChars="0"/>
                    <w:jc w:val="center"/>
                    <w:rPr>
                      <w:rFonts w:hint="eastAsia"/>
                      <w:color w:val="auto"/>
                      <w:sz w:val="21"/>
                      <w:szCs w:val="21"/>
                    </w:rPr>
                  </w:pPr>
                  <w:r>
                    <w:rPr>
                      <w:rFonts w:hint="eastAsia" w:ascii="Times New Roman" w:eastAsia="宋体"/>
                      <w:color w:val="auto"/>
                      <w:kern w:val="0"/>
                      <w:sz w:val="21"/>
                      <w:szCs w:val="21"/>
                      <w:lang w:val="en-US" w:eastAsia="zh-CN"/>
                    </w:rPr>
                    <w:t>99.8</w:t>
                  </w:r>
                </w:p>
              </w:tc>
              <w:tc>
                <w:tcPr>
                  <w:tcW w:w="592" w:type="pct"/>
                  <w:vMerge w:val="continue"/>
                  <w:noWrap w:val="0"/>
                  <w:vAlign w:val="center"/>
                </w:tcPr>
                <w:p w14:paraId="5A830297">
                  <w:pPr>
                    <w:keepNext w:val="0"/>
                    <w:keepLines w:val="0"/>
                    <w:suppressLineNumbers w:val="0"/>
                    <w:spacing w:before="0" w:beforeAutospacing="0" w:after="0" w:afterAutospacing="0" w:line="240" w:lineRule="auto"/>
                    <w:ind w:left="0" w:right="0"/>
                    <w:jc w:val="center"/>
                    <w:rPr>
                      <w:rFonts w:hint="eastAsia"/>
                      <w:color w:val="auto"/>
                      <w:sz w:val="21"/>
                      <w:szCs w:val="21"/>
                      <w:lang w:val="en-US" w:eastAsia="zh-CN"/>
                    </w:rPr>
                  </w:pPr>
                </w:p>
              </w:tc>
            </w:tr>
            <w:tr w14:paraId="6F99E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616" w:type="pct"/>
                  <w:noWrap w:val="0"/>
                  <w:vAlign w:val="center"/>
                </w:tcPr>
                <w:p w14:paraId="2D343B7C">
                  <w:pPr>
                    <w:keepNext w:val="0"/>
                    <w:keepLines w:val="0"/>
                    <w:suppressLineNumbers w:val="0"/>
                    <w:spacing w:before="0" w:beforeAutospacing="0" w:after="0" w:afterAutospacing="0" w:line="240" w:lineRule="auto"/>
                    <w:ind w:left="0" w:right="0"/>
                    <w:jc w:val="center"/>
                    <w:rPr>
                      <w:rFonts w:hint="eastAsia" w:eastAsia="宋体"/>
                      <w:color w:val="auto"/>
                      <w:sz w:val="21"/>
                      <w:szCs w:val="21"/>
                      <w:lang w:eastAsia="zh-CN"/>
                    </w:rPr>
                  </w:pPr>
                  <w:r>
                    <w:rPr>
                      <w:rFonts w:hint="eastAsia" w:ascii="Times New Roman" w:eastAsia="宋体"/>
                      <w:color w:val="auto"/>
                      <w:sz w:val="21"/>
                      <w:szCs w:val="21"/>
                      <w:lang w:val="en-US" w:eastAsia="zh-CN"/>
                    </w:rPr>
                    <w:t>生活污水</w:t>
                  </w:r>
                </w:p>
              </w:tc>
              <w:tc>
                <w:tcPr>
                  <w:tcW w:w="666" w:type="pct"/>
                  <w:noWrap w:val="0"/>
                  <w:vAlign w:val="center"/>
                </w:tcPr>
                <w:p w14:paraId="5EABFF27">
                  <w:pPr>
                    <w:keepNext w:val="0"/>
                    <w:keepLines w:val="0"/>
                    <w:suppressLineNumbers w:val="0"/>
                    <w:spacing w:before="0" w:beforeAutospacing="0" w:after="0" w:afterAutospacing="0" w:line="240" w:lineRule="auto"/>
                    <w:ind w:left="0" w:right="0"/>
                    <w:jc w:val="center"/>
                    <w:rPr>
                      <w:rFonts w:hint="eastAsia" w:eastAsia="宋体"/>
                      <w:color w:val="auto"/>
                      <w:sz w:val="21"/>
                      <w:szCs w:val="21"/>
                      <w:lang w:eastAsia="zh-CN"/>
                    </w:rPr>
                  </w:pPr>
                  <w:r>
                    <w:rPr>
                      <w:rFonts w:hint="default"/>
                      <w:color w:val="auto"/>
                      <w:sz w:val="21"/>
                      <w:szCs w:val="21"/>
                    </w:rPr>
                    <w:t>COD</w:t>
                  </w:r>
                  <w:r>
                    <w:rPr>
                      <w:rFonts w:hint="eastAsia" w:eastAsia="宋体"/>
                      <w:color w:val="auto"/>
                      <w:sz w:val="21"/>
                      <w:szCs w:val="21"/>
                      <w:lang w:eastAsia="zh-CN"/>
                    </w:rPr>
                    <w:t>、</w:t>
                  </w:r>
                  <w:r>
                    <w:rPr>
                      <w:rFonts w:hint="default" w:ascii="Times New Roman" w:hAnsi="Times New Roman" w:eastAsia="宋体" w:cs="Times New Roman"/>
                      <w:bCs/>
                      <w:color w:val="auto"/>
                      <w:szCs w:val="21"/>
                      <w:lang w:bidi="ar"/>
                    </w:rPr>
                    <w:t>NH</w:t>
                  </w:r>
                  <w:r>
                    <w:rPr>
                      <w:rFonts w:hint="default" w:ascii="Times New Roman" w:hAnsi="Times New Roman" w:eastAsia="宋体" w:cs="Times New Roman"/>
                      <w:bCs/>
                      <w:color w:val="auto"/>
                      <w:szCs w:val="21"/>
                      <w:vertAlign w:val="subscript"/>
                      <w:lang w:bidi="ar"/>
                    </w:rPr>
                    <w:t>3</w:t>
                  </w:r>
                  <w:r>
                    <w:rPr>
                      <w:rFonts w:hint="default" w:ascii="Times New Roman" w:hAnsi="Times New Roman" w:eastAsia="宋体" w:cs="Times New Roman"/>
                      <w:bCs/>
                      <w:color w:val="auto"/>
                      <w:szCs w:val="21"/>
                      <w:lang w:bidi="ar"/>
                    </w:rPr>
                    <w:t>-N</w:t>
                  </w:r>
                </w:p>
              </w:tc>
              <w:tc>
                <w:tcPr>
                  <w:tcW w:w="775" w:type="pct"/>
                  <w:noWrap w:val="0"/>
                  <w:vAlign w:val="center"/>
                </w:tcPr>
                <w:p w14:paraId="5A54EDAC">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default"/>
                      <w:color w:val="auto"/>
                      <w:sz w:val="21"/>
                      <w:szCs w:val="21"/>
                    </w:rPr>
                    <w:t>间接排放</w:t>
                  </w:r>
                </w:p>
              </w:tc>
              <w:tc>
                <w:tcPr>
                  <w:tcW w:w="587" w:type="pct"/>
                  <w:noWrap w:val="0"/>
                  <w:vAlign w:val="center"/>
                </w:tcPr>
                <w:p w14:paraId="583618C8">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w:t>
                  </w:r>
                </w:p>
              </w:tc>
              <w:tc>
                <w:tcPr>
                  <w:tcW w:w="587" w:type="pct"/>
                  <w:noWrap w:val="0"/>
                  <w:vAlign w:val="center"/>
                </w:tcPr>
                <w:p w14:paraId="3C23E288">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w:t>
                  </w:r>
                </w:p>
              </w:tc>
              <w:tc>
                <w:tcPr>
                  <w:tcW w:w="587" w:type="pct"/>
                  <w:noWrap w:val="0"/>
                  <w:vAlign w:val="center"/>
                </w:tcPr>
                <w:p w14:paraId="6EF99123">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w:t>
                  </w:r>
                </w:p>
              </w:tc>
              <w:tc>
                <w:tcPr>
                  <w:tcW w:w="587" w:type="pct"/>
                  <w:noWrap w:val="0"/>
                  <w:vAlign w:val="center"/>
                </w:tcPr>
                <w:p w14:paraId="24879B9C">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w:t>
                  </w:r>
                </w:p>
              </w:tc>
              <w:tc>
                <w:tcPr>
                  <w:tcW w:w="592" w:type="pct"/>
                  <w:noWrap w:val="0"/>
                  <w:vAlign w:val="center"/>
                </w:tcPr>
                <w:p w14:paraId="636C977A">
                  <w:pPr>
                    <w:keepNext w:val="0"/>
                    <w:keepLines w:val="0"/>
                    <w:suppressLineNumbers w:val="0"/>
                    <w:spacing w:before="0" w:beforeAutospacing="0" w:after="0" w:afterAutospacing="0" w:line="240" w:lineRule="auto"/>
                    <w:ind w:left="0" w:right="0"/>
                    <w:jc w:val="center"/>
                    <w:rPr>
                      <w:rFonts w:hint="default"/>
                      <w:color w:val="auto"/>
                      <w:sz w:val="21"/>
                      <w:szCs w:val="21"/>
                    </w:rPr>
                  </w:pPr>
                  <w:r>
                    <w:rPr>
                      <w:rFonts w:hint="eastAsia"/>
                      <w:color w:val="auto"/>
                      <w:sz w:val="21"/>
                      <w:szCs w:val="21"/>
                    </w:rPr>
                    <w:t>——</w:t>
                  </w:r>
                </w:p>
              </w:tc>
            </w:tr>
          </w:tbl>
          <w:p w14:paraId="3A28FE73">
            <w:pPr>
              <w:keepNext w:val="0"/>
              <w:keepLines w:val="0"/>
              <w:suppressLineNumbers w:val="0"/>
              <w:spacing w:before="0" w:beforeAutospacing="0" w:after="0" w:afterAutospacing="0" w:line="360" w:lineRule="auto"/>
              <w:ind w:left="0" w:right="0" w:firstLine="480" w:firstLineChars="200"/>
              <w:rPr>
                <w:rFonts w:hint="default" w:eastAsia="宋体" w:cs="Times New Roman"/>
                <w:color w:val="auto"/>
                <w:sz w:val="24"/>
                <w:szCs w:val="24"/>
                <w:lang w:val="en-US" w:eastAsia="zh-CN"/>
              </w:rPr>
            </w:pPr>
            <w:r>
              <w:rPr>
                <w:rFonts w:hint="default" w:eastAsia="宋体" w:cs="Times New Roman"/>
                <w:color w:val="auto"/>
                <w:sz w:val="24"/>
                <w:szCs w:val="24"/>
                <w:lang w:val="en-US" w:eastAsia="zh-CN"/>
              </w:rPr>
              <w:t>废水源强详见表4-</w:t>
            </w:r>
            <w:r>
              <w:rPr>
                <w:rFonts w:hint="eastAsia" w:eastAsia="宋体" w:cs="Times New Roman"/>
                <w:color w:val="auto"/>
                <w:sz w:val="24"/>
                <w:szCs w:val="24"/>
                <w:lang w:val="en-US" w:eastAsia="zh-CN"/>
              </w:rPr>
              <w:t>9</w:t>
            </w:r>
            <w:r>
              <w:rPr>
                <w:rFonts w:hint="default" w:eastAsia="宋体" w:cs="Times New Roman"/>
                <w:color w:val="auto"/>
                <w:sz w:val="24"/>
                <w:szCs w:val="24"/>
                <w:lang w:val="en-US" w:eastAsia="zh-CN"/>
              </w:rPr>
              <w:t>。</w:t>
            </w:r>
          </w:p>
          <w:p w14:paraId="681505CB">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00" w:lineRule="exact"/>
              <w:ind w:left="0" w:right="0" w:firstLine="0"/>
              <w:jc w:val="center"/>
              <w:textAlignment w:val="baseline"/>
              <w:rPr>
                <w:rFonts w:hint="default" w:ascii="Times New Roman" w:hAnsi="Times New Roman" w:eastAsia="宋体" w:cs="Times New Roman"/>
                <w:b/>
                <w:color w:val="auto"/>
                <w:kern w:val="24"/>
                <w:sz w:val="21"/>
                <w:szCs w:val="20"/>
                <w:lang w:val="en-US" w:eastAsia="zh-CN" w:bidi="ar-SA"/>
              </w:rPr>
            </w:pPr>
            <w:r>
              <w:rPr>
                <w:rFonts w:hint="default" w:ascii="Times New Roman" w:hAnsi="Times New Roman" w:eastAsia="宋体" w:cs="Times New Roman"/>
                <w:b/>
                <w:color w:val="auto"/>
                <w:kern w:val="24"/>
                <w:sz w:val="21"/>
                <w:szCs w:val="20"/>
                <w:lang w:val="en-US" w:eastAsia="zh-CN" w:bidi="ar-SA"/>
              </w:rPr>
              <w:t>表</w:t>
            </w:r>
            <w:r>
              <w:rPr>
                <w:rFonts w:hint="eastAsia" w:ascii="Times New Roman" w:hAnsi="Times New Roman" w:eastAsia="宋体" w:cs="Times New Roman"/>
                <w:b/>
                <w:color w:val="auto"/>
                <w:kern w:val="24"/>
                <w:sz w:val="21"/>
                <w:szCs w:val="20"/>
                <w:lang w:val="en-US" w:eastAsia="zh-CN" w:bidi="ar-SA"/>
              </w:rPr>
              <w:t>4-9</w:t>
            </w:r>
            <w:r>
              <w:rPr>
                <w:rFonts w:hint="default" w:ascii="Times New Roman" w:hAnsi="Times New Roman" w:eastAsia="宋体" w:cs="Times New Roman"/>
                <w:b/>
                <w:color w:val="auto"/>
                <w:kern w:val="24"/>
                <w:sz w:val="21"/>
                <w:szCs w:val="20"/>
                <w:lang w:val="en-US" w:eastAsia="zh-CN" w:bidi="ar-SA"/>
              </w:rPr>
              <w:t xml:space="preserve"> 废水污染源强核算一览</w:t>
            </w:r>
            <w:r>
              <w:rPr>
                <w:rFonts w:hint="default" w:ascii="Times New Roman" w:hAnsi="Times New Roman" w:eastAsia="宋体" w:cs="Times New Roman"/>
                <w:b/>
                <w:color w:val="auto"/>
                <w:kern w:val="24"/>
                <w:sz w:val="21"/>
                <w:szCs w:val="21"/>
                <w:lang w:val="en-US" w:eastAsia="zh-CN" w:bidi="ar"/>
              </w:rPr>
              <w:t>表</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25"/>
              <w:gridCol w:w="807"/>
              <w:gridCol w:w="425"/>
              <w:gridCol w:w="1053"/>
              <w:gridCol w:w="687"/>
              <w:gridCol w:w="624"/>
              <w:gridCol w:w="807"/>
              <w:gridCol w:w="600"/>
              <w:gridCol w:w="549"/>
              <w:gridCol w:w="680"/>
              <w:gridCol w:w="687"/>
              <w:gridCol w:w="1072"/>
              <w:gridCol w:w="459"/>
            </w:tblGrid>
            <w:tr w14:paraId="59643DD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restart"/>
                  <w:noWrap w:val="0"/>
                  <w:vAlign w:val="center"/>
                </w:tcPr>
                <w:p w14:paraId="5E23C6A2">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排放源</w:t>
                  </w:r>
                </w:p>
              </w:tc>
              <w:tc>
                <w:tcPr>
                  <w:tcW w:w="807" w:type="dxa"/>
                  <w:vMerge w:val="restart"/>
                  <w:noWrap w:val="0"/>
                  <w:vAlign w:val="center"/>
                </w:tcPr>
                <w:p w14:paraId="6E4B7D0F">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污染物</w:t>
                  </w:r>
                </w:p>
              </w:tc>
              <w:tc>
                <w:tcPr>
                  <w:tcW w:w="2789" w:type="dxa"/>
                  <w:gridSpan w:val="4"/>
                  <w:noWrap w:val="0"/>
                  <w:vAlign w:val="center"/>
                </w:tcPr>
                <w:p w14:paraId="59088821">
                  <w:pPr>
                    <w:keepNext w:val="0"/>
                    <w:keepLines w:val="0"/>
                    <w:suppressLineNumbers w:val="0"/>
                    <w:spacing w:before="0" w:beforeAutospacing="0" w:after="0" w:afterAutospacing="0"/>
                    <w:ind w:left="0" w:right="0" w:firstLine="420"/>
                    <w:jc w:val="center"/>
                    <w:rPr>
                      <w:rFonts w:hint="default"/>
                      <w:color w:val="auto"/>
                      <w:kern w:val="0"/>
                      <w:sz w:val="21"/>
                      <w:szCs w:val="21"/>
                    </w:rPr>
                  </w:pPr>
                  <w:r>
                    <w:rPr>
                      <w:rFonts w:hint="default"/>
                      <w:color w:val="auto"/>
                      <w:kern w:val="0"/>
                      <w:sz w:val="21"/>
                      <w:szCs w:val="21"/>
                    </w:rPr>
                    <w:t>污染物产生</w:t>
                  </w:r>
                </w:p>
              </w:tc>
              <w:tc>
                <w:tcPr>
                  <w:tcW w:w="1407" w:type="dxa"/>
                  <w:gridSpan w:val="2"/>
                  <w:noWrap w:val="0"/>
                  <w:vAlign w:val="center"/>
                </w:tcPr>
                <w:p w14:paraId="38BE8F4A">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治理措施</w:t>
                  </w:r>
                </w:p>
              </w:tc>
              <w:tc>
                <w:tcPr>
                  <w:tcW w:w="2988" w:type="dxa"/>
                  <w:gridSpan w:val="4"/>
                  <w:noWrap w:val="0"/>
                  <w:vAlign w:val="center"/>
                </w:tcPr>
                <w:p w14:paraId="4C162A2B">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污染物排放</w:t>
                  </w:r>
                </w:p>
              </w:tc>
              <w:tc>
                <w:tcPr>
                  <w:tcW w:w="459" w:type="dxa"/>
                  <w:vMerge w:val="restart"/>
                  <w:noWrap w:val="0"/>
                  <w:vAlign w:val="center"/>
                </w:tcPr>
                <w:p w14:paraId="188779D9">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排放时间</w:t>
                  </w:r>
                </w:p>
                <w:p w14:paraId="6F6F2E75">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h</w:t>
                  </w:r>
                </w:p>
              </w:tc>
            </w:tr>
            <w:tr w14:paraId="11826DC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34CF4AF2">
                  <w:pPr>
                    <w:keepNext w:val="0"/>
                    <w:keepLines w:val="0"/>
                    <w:suppressLineNumbers w:val="0"/>
                    <w:spacing w:before="0" w:beforeAutospacing="0" w:after="0" w:afterAutospacing="0"/>
                    <w:ind w:left="0" w:right="0"/>
                    <w:jc w:val="center"/>
                    <w:rPr>
                      <w:rFonts w:hint="default"/>
                      <w:color w:val="auto"/>
                      <w:sz w:val="21"/>
                      <w:szCs w:val="21"/>
                    </w:rPr>
                  </w:pPr>
                </w:p>
              </w:tc>
              <w:tc>
                <w:tcPr>
                  <w:tcW w:w="807" w:type="dxa"/>
                  <w:vMerge w:val="continue"/>
                  <w:noWrap w:val="0"/>
                  <w:vAlign w:val="center"/>
                </w:tcPr>
                <w:p w14:paraId="7F23CCDE">
                  <w:pPr>
                    <w:keepNext w:val="0"/>
                    <w:keepLines w:val="0"/>
                    <w:suppressLineNumbers w:val="0"/>
                    <w:spacing w:before="0" w:beforeAutospacing="0" w:after="0" w:afterAutospacing="0"/>
                    <w:ind w:left="0" w:right="0"/>
                    <w:jc w:val="center"/>
                    <w:rPr>
                      <w:rFonts w:hint="default"/>
                      <w:color w:val="auto"/>
                      <w:kern w:val="0"/>
                      <w:sz w:val="21"/>
                      <w:szCs w:val="21"/>
                    </w:rPr>
                  </w:pPr>
                </w:p>
              </w:tc>
              <w:tc>
                <w:tcPr>
                  <w:tcW w:w="425" w:type="dxa"/>
                  <w:noWrap w:val="0"/>
                  <w:vAlign w:val="center"/>
                </w:tcPr>
                <w:p w14:paraId="22AFBCD2">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核算方法</w:t>
                  </w:r>
                </w:p>
              </w:tc>
              <w:tc>
                <w:tcPr>
                  <w:tcW w:w="1053" w:type="dxa"/>
                  <w:noWrap w:val="0"/>
                  <w:vAlign w:val="center"/>
                </w:tcPr>
                <w:p w14:paraId="786DD238">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产生废水量m</w:t>
                  </w:r>
                  <w:r>
                    <w:rPr>
                      <w:rFonts w:hint="default"/>
                      <w:color w:val="auto"/>
                      <w:kern w:val="0"/>
                      <w:sz w:val="21"/>
                      <w:szCs w:val="21"/>
                      <w:vertAlign w:val="superscript"/>
                    </w:rPr>
                    <w:t>3</w:t>
                  </w:r>
                  <w:r>
                    <w:rPr>
                      <w:rFonts w:hint="default"/>
                      <w:color w:val="auto"/>
                      <w:kern w:val="0"/>
                      <w:sz w:val="21"/>
                      <w:szCs w:val="21"/>
                    </w:rPr>
                    <w:t>/a</w:t>
                  </w:r>
                </w:p>
              </w:tc>
              <w:tc>
                <w:tcPr>
                  <w:tcW w:w="687" w:type="dxa"/>
                  <w:noWrap w:val="0"/>
                  <w:vAlign w:val="center"/>
                </w:tcPr>
                <w:p w14:paraId="02746DFF">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产生浓度mg/L</w:t>
                  </w:r>
                </w:p>
              </w:tc>
              <w:tc>
                <w:tcPr>
                  <w:tcW w:w="624" w:type="dxa"/>
                  <w:noWrap w:val="0"/>
                  <w:vAlign w:val="center"/>
                </w:tcPr>
                <w:p w14:paraId="555E190E">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产生量t/a</w:t>
                  </w:r>
                </w:p>
              </w:tc>
              <w:tc>
                <w:tcPr>
                  <w:tcW w:w="807" w:type="dxa"/>
                  <w:noWrap w:val="0"/>
                  <w:vAlign w:val="center"/>
                </w:tcPr>
                <w:p w14:paraId="23B09A0D">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工艺</w:t>
                  </w:r>
                </w:p>
              </w:tc>
              <w:tc>
                <w:tcPr>
                  <w:tcW w:w="600" w:type="dxa"/>
                  <w:noWrap w:val="0"/>
                  <w:vAlign w:val="center"/>
                </w:tcPr>
                <w:p w14:paraId="482696D3">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效率</w:t>
                  </w:r>
                </w:p>
                <w:p w14:paraId="38B1BA3C">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w:t>
                  </w:r>
                </w:p>
              </w:tc>
              <w:tc>
                <w:tcPr>
                  <w:tcW w:w="549" w:type="dxa"/>
                  <w:noWrap w:val="0"/>
                  <w:vAlign w:val="center"/>
                </w:tcPr>
                <w:p w14:paraId="72611EBA">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核算方法</w:t>
                  </w:r>
                </w:p>
              </w:tc>
              <w:tc>
                <w:tcPr>
                  <w:tcW w:w="680" w:type="dxa"/>
                  <w:noWrap w:val="0"/>
                  <w:vAlign w:val="center"/>
                </w:tcPr>
                <w:p w14:paraId="499A6DA0">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排放废水量m</w:t>
                  </w:r>
                  <w:r>
                    <w:rPr>
                      <w:rFonts w:hint="default"/>
                      <w:color w:val="auto"/>
                      <w:kern w:val="0"/>
                      <w:sz w:val="21"/>
                      <w:szCs w:val="21"/>
                      <w:vertAlign w:val="superscript"/>
                    </w:rPr>
                    <w:t>3</w:t>
                  </w:r>
                  <w:r>
                    <w:rPr>
                      <w:rFonts w:hint="default"/>
                      <w:color w:val="auto"/>
                      <w:kern w:val="0"/>
                      <w:sz w:val="21"/>
                      <w:szCs w:val="21"/>
                    </w:rPr>
                    <w:t>/a</w:t>
                  </w:r>
                </w:p>
              </w:tc>
              <w:tc>
                <w:tcPr>
                  <w:tcW w:w="687" w:type="dxa"/>
                  <w:noWrap w:val="0"/>
                  <w:vAlign w:val="center"/>
                </w:tcPr>
                <w:p w14:paraId="0DAD3272">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排放浓度mg/L</w:t>
                  </w:r>
                </w:p>
              </w:tc>
              <w:tc>
                <w:tcPr>
                  <w:tcW w:w="1072" w:type="dxa"/>
                  <w:noWrap w:val="0"/>
                  <w:vAlign w:val="center"/>
                </w:tcPr>
                <w:p w14:paraId="3452FAC4">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排放量t/a</w:t>
                  </w:r>
                </w:p>
              </w:tc>
              <w:tc>
                <w:tcPr>
                  <w:tcW w:w="459" w:type="dxa"/>
                  <w:vMerge w:val="continue"/>
                  <w:noWrap w:val="0"/>
                  <w:vAlign w:val="center"/>
                </w:tcPr>
                <w:p w14:paraId="2CAEF0CB">
                  <w:pPr>
                    <w:keepNext w:val="0"/>
                    <w:keepLines w:val="0"/>
                    <w:suppressLineNumbers w:val="0"/>
                    <w:spacing w:before="0" w:beforeAutospacing="0" w:after="0" w:afterAutospacing="0"/>
                    <w:ind w:left="0" w:right="0"/>
                    <w:jc w:val="center"/>
                    <w:rPr>
                      <w:rFonts w:hint="default"/>
                      <w:color w:val="auto"/>
                      <w:kern w:val="0"/>
                      <w:sz w:val="21"/>
                      <w:szCs w:val="21"/>
                    </w:rPr>
                  </w:pPr>
                </w:p>
              </w:tc>
            </w:tr>
            <w:tr w14:paraId="2F8FBC7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restart"/>
                  <w:noWrap w:val="0"/>
                  <w:vAlign w:val="center"/>
                </w:tcPr>
                <w:p w14:paraId="32FDE42D">
                  <w:pPr>
                    <w:keepNext w:val="0"/>
                    <w:keepLines w:val="0"/>
                    <w:suppressLineNumbers w:val="0"/>
                    <w:spacing w:before="0" w:beforeAutospacing="0" w:after="0" w:afterAutospacing="0"/>
                    <w:ind w:left="0" w:right="0"/>
                    <w:jc w:val="center"/>
                    <w:rPr>
                      <w:rFonts w:hint="default"/>
                      <w:color w:val="auto"/>
                      <w:kern w:val="0"/>
                      <w:sz w:val="21"/>
                      <w:szCs w:val="21"/>
                    </w:rPr>
                  </w:pPr>
                  <w:r>
                    <w:rPr>
                      <w:rFonts w:hint="eastAsia" w:ascii="Times New Roman" w:eastAsia="宋体"/>
                      <w:color w:val="auto"/>
                      <w:kern w:val="0"/>
                      <w:sz w:val="21"/>
                      <w:szCs w:val="21"/>
                      <w:lang w:val="en-US" w:eastAsia="zh-CN"/>
                    </w:rPr>
                    <w:t>人员生活</w:t>
                  </w:r>
                </w:p>
              </w:tc>
              <w:tc>
                <w:tcPr>
                  <w:tcW w:w="807" w:type="dxa"/>
                  <w:noWrap w:val="0"/>
                  <w:vAlign w:val="center"/>
                </w:tcPr>
                <w:p w14:paraId="39BC24E4">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sz w:val="21"/>
                      <w:szCs w:val="21"/>
                    </w:rPr>
                    <w:t>COD</w:t>
                  </w:r>
                </w:p>
              </w:tc>
              <w:tc>
                <w:tcPr>
                  <w:tcW w:w="425" w:type="dxa"/>
                  <w:vMerge w:val="restart"/>
                  <w:noWrap w:val="0"/>
                  <w:vAlign w:val="center"/>
                </w:tcPr>
                <w:p w14:paraId="2625AFB3">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产污系数法</w:t>
                  </w:r>
                </w:p>
              </w:tc>
              <w:tc>
                <w:tcPr>
                  <w:tcW w:w="1053" w:type="dxa"/>
                  <w:vMerge w:val="restart"/>
                  <w:noWrap w:val="0"/>
                  <w:vAlign w:val="center"/>
                </w:tcPr>
                <w:p w14:paraId="74B4C61B">
                  <w:pPr>
                    <w:keepNext w:val="0"/>
                    <w:keepLines w:val="0"/>
                    <w:suppressLineNumbers w:val="0"/>
                    <w:spacing w:before="0" w:beforeAutospacing="0" w:after="0" w:afterAutospacing="0"/>
                    <w:ind w:left="0" w:right="0"/>
                    <w:jc w:val="center"/>
                    <w:rPr>
                      <w:rFonts w:hint="default" w:eastAsia="宋体"/>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1958.4</w:t>
                  </w:r>
                </w:p>
              </w:tc>
              <w:tc>
                <w:tcPr>
                  <w:tcW w:w="687" w:type="dxa"/>
                  <w:noWrap w:val="0"/>
                  <w:vAlign w:val="center"/>
                </w:tcPr>
                <w:p w14:paraId="470126FE">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ascii="Times New Roman" w:eastAsia="宋体"/>
                      <w:color w:val="auto"/>
                      <w:sz w:val="21"/>
                      <w:szCs w:val="21"/>
                      <w:lang w:val="en-US" w:eastAsia="zh-CN"/>
                    </w:rPr>
                    <w:t>300</w:t>
                  </w:r>
                </w:p>
              </w:tc>
              <w:tc>
                <w:tcPr>
                  <w:tcW w:w="624" w:type="dxa"/>
                  <w:noWrap w:val="0"/>
                  <w:vAlign w:val="center"/>
                </w:tcPr>
                <w:p w14:paraId="5A4C1275">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0.59</w:t>
                  </w:r>
                </w:p>
              </w:tc>
              <w:tc>
                <w:tcPr>
                  <w:tcW w:w="807" w:type="dxa"/>
                  <w:vMerge w:val="restart"/>
                  <w:noWrap w:val="0"/>
                  <w:vAlign w:val="center"/>
                </w:tcPr>
                <w:p w14:paraId="56998A20">
                  <w:pPr>
                    <w:keepNext w:val="0"/>
                    <w:keepLines w:val="0"/>
                    <w:suppressLineNumbers w:val="0"/>
                    <w:spacing w:before="0" w:beforeAutospacing="0" w:after="0" w:afterAutospacing="0"/>
                    <w:ind w:left="0" w:right="0"/>
                    <w:jc w:val="center"/>
                    <w:rPr>
                      <w:rFonts w:hint="default" w:eastAsia="宋体"/>
                      <w:color w:val="auto"/>
                      <w:kern w:val="0"/>
                      <w:sz w:val="21"/>
                      <w:szCs w:val="21"/>
                      <w:lang w:val="en-US" w:eastAsia="zh-CN"/>
                    </w:rPr>
                  </w:pPr>
                  <w:r>
                    <w:rPr>
                      <w:rFonts w:hint="eastAsia"/>
                      <w:color w:val="auto"/>
                      <w:sz w:val="21"/>
                      <w:szCs w:val="21"/>
                      <w:lang w:val="en-US" w:eastAsia="zh-CN"/>
                    </w:rPr>
                    <w:t>排入污水处理厂</w:t>
                  </w:r>
                </w:p>
              </w:tc>
              <w:tc>
                <w:tcPr>
                  <w:tcW w:w="600" w:type="dxa"/>
                  <w:vMerge w:val="restart"/>
                  <w:noWrap w:val="0"/>
                  <w:vAlign w:val="center"/>
                </w:tcPr>
                <w:p w14:paraId="65EB90E9">
                  <w:pPr>
                    <w:keepNext w:val="0"/>
                    <w:keepLines w:val="0"/>
                    <w:suppressLineNumbers w:val="0"/>
                    <w:spacing w:before="0" w:beforeAutospacing="0" w:after="0" w:afterAutospacing="0"/>
                    <w:ind w:left="0" w:right="0"/>
                    <w:jc w:val="center"/>
                    <w:rPr>
                      <w:rFonts w:hint="default" w:eastAsia="宋体"/>
                      <w:color w:val="auto"/>
                      <w:kern w:val="0"/>
                      <w:sz w:val="21"/>
                      <w:szCs w:val="21"/>
                      <w:lang w:val="en-US" w:eastAsia="zh-CN"/>
                    </w:rPr>
                  </w:pPr>
                  <w:r>
                    <w:rPr>
                      <w:rFonts w:hint="eastAsia"/>
                      <w:color w:val="auto"/>
                      <w:kern w:val="0"/>
                      <w:sz w:val="21"/>
                      <w:szCs w:val="21"/>
                      <w:lang w:val="en-US" w:eastAsia="zh-CN"/>
                    </w:rPr>
                    <w:t>/</w:t>
                  </w:r>
                </w:p>
              </w:tc>
              <w:tc>
                <w:tcPr>
                  <w:tcW w:w="549" w:type="dxa"/>
                  <w:vMerge w:val="restart"/>
                  <w:noWrap w:val="0"/>
                  <w:vAlign w:val="center"/>
                </w:tcPr>
                <w:p w14:paraId="4DCEDADE">
                  <w:pPr>
                    <w:keepNext w:val="0"/>
                    <w:keepLines w:val="0"/>
                    <w:suppressLineNumbers w:val="0"/>
                    <w:spacing w:before="0" w:beforeAutospacing="0" w:after="0" w:afterAutospacing="0"/>
                    <w:ind w:left="0" w:right="0"/>
                    <w:jc w:val="center"/>
                    <w:rPr>
                      <w:rFonts w:hint="default"/>
                      <w:color w:val="auto"/>
                      <w:kern w:val="0"/>
                      <w:sz w:val="21"/>
                      <w:szCs w:val="21"/>
                    </w:rPr>
                  </w:pPr>
                  <w:r>
                    <w:rPr>
                      <w:rFonts w:hint="default"/>
                      <w:color w:val="auto"/>
                      <w:kern w:val="0"/>
                      <w:sz w:val="21"/>
                      <w:szCs w:val="21"/>
                    </w:rPr>
                    <w:t>产污系数法</w:t>
                  </w:r>
                </w:p>
              </w:tc>
              <w:tc>
                <w:tcPr>
                  <w:tcW w:w="680" w:type="dxa"/>
                  <w:vMerge w:val="restart"/>
                  <w:noWrap w:val="0"/>
                  <w:vAlign w:val="center"/>
                </w:tcPr>
                <w:p w14:paraId="378880FA">
                  <w:pPr>
                    <w:keepNext w:val="0"/>
                    <w:keepLines w:val="0"/>
                    <w:suppressLineNumbers w:val="0"/>
                    <w:spacing w:before="0" w:beforeAutospacing="0" w:after="0" w:afterAutospacing="0"/>
                    <w:ind w:left="0" w:right="0"/>
                    <w:jc w:val="center"/>
                    <w:rPr>
                      <w:rFonts w:hint="default"/>
                      <w:color w:val="auto"/>
                      <w:kern w:val="0"/>
                      <w:sz w:val="21"/>
                      <w:szCs w:val="21"/>
                    </w:rPr>
                  </w:pPr>
                  <w:r>
                    <w:rPr>
                      <w:rFonts w:hint="eastAsia" w:ascii="Times New Roman" w:eastAsia="宋体"/>
                      <w:color w:val="auto"/>
                      <w:kern w:val="0"/>
                      <w:sz w:val="21"/>
                      <w:szCs w:val="21"/>
                      <w:lang w:val="en-US" w:eastAsia="zh-CN"/>
                    </w:rPr>
                    <w:t>1958.4</w:t>
                  </w:r>
                </w:p>
              </w:tc>
              <w:tc>
                <w:tcPr>
                  <w:tcW w:w="687" w:type="dxa"/>
                  <w:noWrap w:val="0"/>
                  <w:vAlign w:val="center"/>
                </w:tcPr>
                <w:p w14:paraId="7B039AFA">
                  <w:pPr>
                    <w:keepNext w:val="0"/>
                    <w:keepLines w:val="0"/>
                    <w:suppressLineNumbers w:val="0"/>
                    <w:spacing w:before="0" w:beforeAutospacing="0" w:after="0" w:afterAutospacing="0"/>
                    <w:ind w:left="0" w:right="0"/>
                    <w:jc w:val="center"/>
                    <w:rPr>
                      <w:rFonts w:hint="default"/>
                      <w:color w:val="auto"/>
                      <w:sz w:val="21"/>
                      <w:szCs w:val="21"/>
                    </w:rPr>
                  </w:pPr>
                  <w:r>
                    <w:rPr>
                      <w:rFonts w:hint="eastAsia" w:ascii="Times New Roman" w:eastAsia="宋体"/>
                      <w:color w:val="auto"/>
                      <w:sz w:val="21"/>
                      <w:szCs w:val="21"/>
                      <w:lang w:val="en-US" w:eastAsia="zh-CN"/>
                    </w:rPr>
                    <w:t>300</w:t>
                  </w:r>
                </w:p>
              </w:tc>
              <w:tc>
                <w:tcPr>
                  <w:tcW w:w="1072" w:type="dxa"/>
                  <w:noWrap w:val="0"/>
                  <w:vAlign w:val="center"/>
                </w:tcPr>
                <w:p w14:paraId="7FDC6C49">
                  <w:pPr>
                    <w:keepNext w:val="0"/>
                    <w:keepLines w:val="0"/>
                    <w:suppressLineNumbers w:val="0"/>
                    <w:spacing w:before="0" w:beforeAutospacing="0" w:after="0" w:afterAutospacing="0"/>
                    <w:ind w:left="0" w:leftChars="0" w:right="0" w:rightChars="0"/>
                    <w:jc w:val="center"/>
                    <w:rPr>
                      <w:rFonts w:hint="default"/>
                      <w:color w:val="auto"/>
                      <w:sz w:val="21"/>
                      <w:szCs w:val="21"/>
                    </w:rPr>
                  </w:pPr>
                  <w:r>
                    <w:rPr>
                      <w:rFonts w:hint="eastAsia"/>
                      <w:color w:val="auto"/>
                      <w:sz w:val="21"/>
                      <w:szCs w:val="21"/>
                      <w:lang w:val="en-US" w:eastAsia="zh-CN"/>
                    </w:rPr>
                    <w:t>0.59</w:t>
                  </w:r>
                </w:p>
              </w:tc>
              <w:tc>
                <w:tcPr>
                  <w:tcW w:w="459" w:type="dxa"/>
                  <w:vMerge w:val="restart"/>
                  <w:noWrap w:val="0"/>
                  <w:vAlign w:val="center"/>
                </w:tcPr>
                <w:p w14:paraId="3CDA36C6">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r>
                    <w:rPr>
                      <w:rFonts w:hint="eastAsia"/>
                      <w:color w:val="auto"/>
                      <w:kern w:val="0"/>
                      <w:sz w:val="21"/>
                      <w:szCs w:val="21"/>
                      <w:lang w:val="en-US" w:eastAsia="zh-CN"/>
                    </w:rPr>
                    <w:t>7200</w:t>
                  </w:r>
                </w:p>
                <w:p w14:paraId="494E0910">
                  <w:pPr>
                    <w:keepNext w:val="0"/>
                    <w:keepLines w:val="0"/>
                    <w:suppressLineNumbers w:val="0"/>
                    <w:spacing w:before="0" w:beforeAutospacing="0" w:after="0" w:afterAutospacing="0"/>
                    <w:ind w:left="0" w:right="0"/>
                    <w:jc w:val="center"/>
                    <w:rPr>
                      <w:rFonts w:hint="default"/>
                      <w:color w:val="auto"/>
                      <w:kern w:val="0"/>
                      <w:sz w:val="21"/>
                      <w:szCs w:val="21"/>
                      <w:lang w:val="en-US"/>
                    </w:rPr>
                  </w:pPr>
                </w:p>
              </w:tc>
            </w:tr>
            <w:tr w14:paraId="03EEE81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5C9A5B84">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2BBCE78F">
                  <w:pPr>
                    <w:keepNext w:val="0"/>
                    <w:keepLines w:val="0"/>
                    <w:suppressLineNumbers w:val="0"/>
                    <w:spacing w:before="0" w:beforeAutospacing="0" w:after="0" w:afterAutospacing="0"/>
                    <w:ind w:left="0" w:right="0"/>
                    <w:jc w:val="center"/>
                    <w:rPr>
                      <w:rFonts w:hint="default"/>
                      <w:color w:val="auto"/>
                      <w:sz w:val="21"/>
                      <w:szCs w:val="21"/>
                    </w:rPr>
                  </w:pPr>
                  <w:r>
                    <w:rPr>
                      <w:rFonts w:hint="default"/>
                      <w:color w:val="auto"/>
                      <w:kern w:val="0"/>
                      <w:szCs w:val="21"/>
                    </w:rPr>
                    <w:t>NH</w:t>
                  </w:r>
                  <w:r>
                    <w:rPr>
                      <w:rFonts w:hint="default"/>
                      <w:color w:val="auto"/>
                      <w:kern w:val="0"/>
                      <w:szCs w:val="21"/>
                      <w:vertAlign w:val="subscript"/>
                    </w:rPr>
                    <w:t>3</w:t>
                  </w:r>
                  <w:r>
                    <w:rPr>
                      <w:rFonts w:hint="default"/>
                      <w:color w:val="auto"/>
                      <w:kern w:val="0"/>
                      <w:szCs w:val="21"/>
                    </w:rPr>
                    <w:t>-N</w:t>
                  </w:r>
                </w:p>
              </w:tc>
              <w:tc>
                <w:tcPr>
                  <w:tcW w:w="425" w:type="dxa"/>
                  <w:vMerge w:val="continue"/>
                  <w:noWrap w:val="0"/>
                  <w:vAlign w:val="center"/>
                </w:tcPr>
                <w:p w14:paraId="0E5B67BF">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314E53F5">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6F4389B1">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ascii="Times New Roman" w:eastAsia="宋体"/>
                      <w:color w:val="auto"/>
                      <w:sz w:val="21"/>
                      <w:szCs w:val="21"/>
                      <w:lang w:val="en-US" w:eastAsia="zh-CN"/>
                    </w:rPr>
                    <w:t>30</w:t>
                  </w:r>
                </w:p>
              </w:tc>
              <w:tc>
                <w:tcPr>
                  <w:tcW w:w="624" w:type="dxa"/>
                  <w:noWrap w:val="0"/>
                  <w:vAlign w:val="center"/>
                </w:tcPr>
                <w:p w14:paraId="72186CCC">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eastAsia="宋体"/>
                      <w:color w:val="auto"/>
                      <w:sz w:val="21"/>
                      <w:szCs w:val="21"/>
                      <w:lang w:val="en-US" w:eastAsia="zh-CN"/>
                    </w:rPr>
                    <w:t>0.0</w:t>
                  </w:r>
                  <w:r>
                    <w:rPr>
                      <w:rFonts w:hint="eastAsia"/>
                      <w:color w:val="auto"/>
                      <w:sz w:val="21"/>
                      <w:szCs w:val="21"/>
                      <w:lang w:val="en-US" w:eastAsia="zh-CN"/>
                    </w:rPr>
                    <w:t>6</w:t>
                  </w:r>
                </w:p>
              </w:tc>
              <w:tc>
                <w:tcPr>
                  <w:tcW w:w="807" w:type="dxa"/>
                  <w:vMerge w:val="continue"/>
                  <w:noWrap w:val="0"/>
                  <w:vAlign w:val="center"/>
                </w:tcPr>
                <w:p w14:paraId="4F007574">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vMerge w:val="continue"/>
                  <w:noWrap w:val="0"/>
                  <w:vAlign w:val="center"/>
                </w:tcPr>
                <w:p w14:paraId="2A5275B4">
                  <w:pPr>
                    <w:keepNext w:val="0"/>
                    <w:keepLines w:val="0"/>
                    <w:suppressLineNumbers w:val="0"/>
                    <w:spacing w:before="0" w:beforeAutospacing="0" w:after="0" w:afterAutospacing="0"/>
                    <w:ind w:left="0" w:right="0"/>
                    <w:jc w:val="center"/>
                    <w:rPr>
                      <w:rFonts w:hint="eastAsia" w:eastAsia="宋体"/>
                      <w:color w:val="auto"/>
                      <w:kern w:val="0"/>
                      <w:sz w:val="21"/>
                      <w:szCs w:val="21"/>
                      <w:lang w:eastAsia="zh-CN"/>
                    </w:rPr>
                  </w:pPr>
                </w:p>
              </w:tc>
              <w:tc>
                <w:tcPr>
                  <w:tcW w:w="549" w:type="dxa"/>
                  <w:vMerge w:val="continue"/>
                  <w:noWrap w:val="0"/>
                  <w:vAlign w:val="center"/>
                </w:tcPr>
                <w:p w14:paraId="00F5FB47">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top"/>
                </w:tcPr>
                <w:p w14:paraId="176F6F40">
                  <w:pPr>
                    <w:keepNext w:val="0"/>
                    <w:keepLines w:val="0"/>
                    <w:suppressLineNumbers w:val="0"/>
                    <w:spacing w:before="0" w:beforeAutospacing="0" w:after="0" w:afterAutospacing="0"/>
                    <w:ind w:left="0" w:right="0"/>
                    <w:jc w:val="left"/>
                    <w:rPr>
                      <w:rFonts w:hint="default"/>
                      <w:color w:val="auto"/>
                      <w:kern w:val="0"/>
                      <w:sz w:val="21"/>
                      <w:szCs w:val="21"/>
                    </w:rPr>
                  </w:pPr>
                </w:p>
              </w:tc>
              <w:tc>
                <w:tcPr>
                  <w:tcW w:w="687" w:type="dxa"/>
                  <w:noWrap w:val="0"/>
                  <w:vAlign w:val="center"/>
                </w:tcPr>
                <w:p w14:paraId="2FAB902C">
                  <w:pPr>
                    <w:keepNext w:val="0"/>
                    <w:keepLines w:val="0"/>
                    <w:suppressLineNumbers w:val="0"/>
                    <w:spacing w:before="0" w:beforeAutospacing="0" w:after="0" w:afterAutospacing="0"/>
                    <w:ind w:left="0" w:right="0"/>
                    <w:jc w:val="center"/>
                    <w:rPr>
                      <w:rFonts w:hint="default"/>
                      <w:color w:val="auto"/>
                      <w:kern w:val="0"/>
                      <w:sz w:val="21"/>
                      <w:szCs w:val="21"/>
                    </w:rPr>
                  </w:pPr>
                  <w:r>
                    <w:rPr>
                      <w:rFonts w:hint="eastAsia" w:ascii="Times New Roman" w:eastAsia="宋体"/>
                      <w:color w:val="auto"/>
                      <w:sz w:val="21"/>
                      <w:szCs w:val="21"/>
                      <w:lang w:val="en-US" w:eastAsia="zh-CN"/>
                    </w:rPr>
                    <w:t>30</w:t>
                  </w:r>
                </w:p>
              </w:tc>
              <w:tc>
                <w:tcPr>
                  <w:tcW w:w="1072" w:type="dxa"/>
                  <w:noWrap w:val="0"/>
                  <w:vAlign w:val="center"/>
                </w:tcPr>
                <w:p w14:paraId="463CA246">
                  <w:pPr>
                    <w:keepNext w:val="0"/>
                    <w:keepLines w:val="0"/>
                    <w:suppressLineNumbers w:val="0"/>
                    <w:spacing w:before="0" w:beforeAutospacing="0" w:after="0" w:afterAutospacing="0"/>
                    <w:ind w:left="0" w:leftChars="0" w:right="0" w:rightChars="0"/>
                    <w:jc w:val="center"/>
                    <w:rPr>
                      <w:rFonts w:hint="default"/>
                      <w:color w:val="auto"/>
                      <w:kern w:val="0"/>
                      <w:sz w:val="21"/>
                      <w:szCs w:val="21"/>
                    </w:rPr>
                  </w:pPr>
                  <w:r>
                    <w:rPr>
                      <w:rFonts w:hint="eastAsia" w:eastAsia="宋体"/>
                      <w:color w:val="auto"/>
                      <w:sz w:val="21"/>
                      <w:szCs w:val="21"/>
                      <w:lang w:val="en-US" w:eastAsia="zh-CN"/>
                    </w:rPr>
                    <w:t>0.0</w:t>
                  </w:r>
                  <w:r>
                    <w:rPr>
                      <w:rFonts w:hint="eastAsia"/>
                      <w:color w:val="auto"/>
                      <w:sz w:val="21"/>
                      <w:szCs w:val="21"/>
                      <w:lang w:val="en-US" w:eastAsia="zh-CN"/>
                    </w:rPr>
                    <w:t>6</w:t>
                  </w:r>
                </w:p>
              </w:tc>
              <w:tc>
                <w:tcPr>
                  <w:tcW w:w="459" w:type="dxa"/>
                  <w:vMerge w:val="continue"/>
                  <w:noWrap w:val="0"/>
                  <w:vAlign w:val="center"/>
                </w:tcPr>
                <w:p w14:paraId="147F303A">
                  <w:pPr>
                    <w:keepNext w:val="0"/>
                    <w:keepLines w:val="0"/>
                    <w:suppressLineNumbers w:val="0"/>
                    <w:spacing w:before="0" w:beforeAutospacing="0" w:after="0" w:afterAutospacing="0"/>
                    <w:ind w:left="0" w:right="0"/>
                    <w:jc w:val="center"/>
                    <w:rPr>
                      <w:rFonts w:hint="default"/>
                      <w:color w:val="auto"/>
                      <w:kern w:val="0"/>
                      <w:sz w:val="21"/>
                      <w:szCs w:val="21"/>
                    </w:rPr>
                  </w:pPr>
                </w:p>
              </w:tc>
            </w:tr>
            <w:tr w14:paraId="40567B4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0" w:hRule="atLeast"/>
                <w:jc w:val="center"/>
              </w:trPr>
              <w:tc>
                <w:tcPr>
                  <w:tcW w:w="425" w:type="dxa"/>
                  <w:vMerge w:val="continue"/>
                  <w:noWrap w:val="0"/>
                  <w:vAlign w:val="center"/>
                </w:tcPr>
                <w:p w14:paraId="4CD6C7B6">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241D4F05">
                  <w:pPr>
                    <w:keepNext w:val="0"/>
                    <w:keepLines w:val="0"/>
                    <w:suppressLineNumbers w:val="0"/>
                    <w:spacing w:before="0" w:beforeAutospacing="0" w:after="0" w:afterAutospacing="0"/>
                    <w:ind w:left="0" w:right="0"/>
                    <w:jc w:val="center"/>
                    <w:rPr>
                      <w:rFonts w:hint="default"/>
                      <w:color w:val="auto"/>
                      <w:kern w:val="0"/>
                      <w:szCs w:val="21"/>
                    </w:rPr>
                  </w:pPr>
                  <w:r>
                    <w:rPr>
                      <w:rFonts w:hint="eastAsia" w:ascii="Times New Roman" w:hAnsi="Times New Roman" w:eastAsia="宋体"/>
                      <w:color w:val="auto"/>
                      <w:sz w:val="24"/>
                      <w:szCs w:val="24"/>
                      <w:lang w:eastAsia="zh-CN"/>
                    </w:rPr>
                    <w:t>BOD</w:t>
                  </w:r>
                  <w:r>
                    <w:rPr>
                      <w:rFonts w:hint="eastAsia" w:ascii="Times New Roman" w:hAnsi="Times New Roman" w:eastAsia="宋体"/>
                      <w:color w:val="auto"/>
                      <w:sz w:val="24"/>
                      <w:szCs w:val="24"/>
                      <w:vertAlign w:val="subscript"/>
                      <w:lang w:eastAsia="zh-CN"/>
                    </w:rPr>
                    <w:t>5</w:t>
                  </w:r>
                </w:p>
              </w:tc>
              <w:tc>
                <w:tcPr>
                  <w:tcW w:w="425" w:type="dxa"/>
                  <w:vMerge w:val="continue"/>
                  <w:noWrap w:val="0"/>
                  <w:vAlign w:val="center"/>
                </w:tcPr>
                <w:p w14:paraId="21AC4F5E">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6D76D44F">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5FD75A20">
                  <w:pPr>
                    <w:keepNext w:val="0"/>
                    <w:keepLines w:val="0"/>
                    <w:suppressLineNumbers w:val="0"/>
                    <w:spacing w:before="0" w:beforeAutospacing="0" w:after="0" w:afterAutospacing="0"/>
                    <w:ind w:left="0" w:right="0"/>
                    <w:jc w:val="center"/>
                    <w:rPr>
                      <w:rFonts w:hint="default" w:ascii="Times New Roman" w:eastAsia="宋体"/>
                      <w:color w:val="auto"/>
                      <w:sz w:val="21"/>
                      <w:szCs w:val="21"/>
                      <w:lang w:val="en-US" w:eastAsia="zh-CN"/>
                    </w:rPr>
                  </w:pPr>
                  <w:r>
                    <w:rPr>
                      <w:rFonts w:hint="eastAsia"/>
                      <w:color w:val="auto"/>
                      <w:sz w:val="21"/>
                      <w:szCs w:val="21"/>
                      <w:lang w:val="en-US" w:eastAsia="zh-CN"/>
                    </w:rPr>
                    <w:t>150</w:t>
                  </w:r>
                </w:p>
              </w:tc>
              <w:tc>
                <w:tcPr>
                  <w:tcW w:w="624" w:type="dxa"/>
                  <w:noWrap w:val="0"/>
                  <w:vAlign w:val="center"/>
                </w:tcPr>
                <w:p w14:paraId="2205EBA2">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0.29</w:t>
                  </w:r>
                </w:p>
              </w:tc>
              <w:tc>
                <w:tcPr>
                  <w:tcW w:w="807" w:type="dxa"/>
                  <w:vMerge w:val="continue"/>
                  <w:noWrap w:val="0"/>
                  <w:vAlign w:val="center"/>
                </w:tcPr>
                <w:p w14:paraId="26ACA844">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vMerge w:val="continue"/>
                  <w:noWrap w:val="0"/>
                  <w:vAlign w:val="center"/>
                </w:tcPr>
                <w:p w14:paraId="530A8495">
                  <w:pPr>
                    <w:keepNext w:val="0"/>
                    <w:keepLines w:val="0"/>
                    <w:suppressLineNumbers w:val="0"/>
                    <w:spacing w:before="0" w:beforeAutospacing="0" w:after="0" w:afterAutospacing="0"/>
                    <w:ind w:left="0" w:right="0"/>
                    <w:jc w:val="center"/>
                    <w:rPr>
                      <w:rFonts w:hint="eastAsia" w:eastAsia="宋体"/>
                      <w:color w:val="auto"/>
                      <w:kern w:val="0"/>
                      <w:sz w:val="21"/>
                      <w:szCs w:val="21"/>
                      <w:lang w:eastAsia="zh-CN"/>
                    </w:rPr>
                  </w:pPr>
                </w:p>
              </w:tc>
              <w:tc>
                <w:tcPr>
                  <w:tcW w:w="549" w:type="dxa"/>
                  <w:vMerge w:val="continue"/>
                  <w:noWrap w:val="0"/>
                  <w:vAlign w:val="center"/>
                </w:tcPr>
                <w:p w14:paraId="79DAF0CD">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top"/>
                </w:tcPr>
                <w:p w14:paraId="6B2DB9A4">
                  <w:pPr>
                    <w:keepNext w:val="0"/>
                    <w:keepLines w:val="0"/>
                    <w:suppressLineNumbers w:val="0"/>
                    <w:spacing w:before="0" w:beforeAutospacing="0" w:after="0" w:afterAutospacing="0"/>
                    <w:ind w:left="0" w:right="0"/>
                    <w:jc w:val="left"/>
                    <w:rPr>
                      <w:rFonts w:hint="default"/>
                      <w:color w:val="auto"/>
                      <w:kern w:val="0"/>
                      <w:sz w:val="21"/>
                      <w:szCs w:val="21"/>
                    </w:rPr>
                  </w:pPr>
                </w:p>
              </w:tc>
              <w:tc>
                <w:tcPr>
                  <w:tcW w:w="687" w:type="dxa"/>
                  <w:noWrap w:val="0"/>
                  <w:vAlign w:val="center"/>
                </w:tcPr>
                <w:p w14:paraId="0A90D35A">
                  <w:pPr>
                    <w:keepNext w:val="0"/>
                    <w:keepLines w:val="0"/>
                    <w:suppressLineNumbers w:val="0"/>
                    <w:spacing w:before="0" w:beforeAutospacing="0" w:after="0" w:afterAutospacing="0"/>
                    <w:ind w:left="0" w:leftChars="0" w:right="0" w:rightChars="0"/>
                    <w:jc w:val="center"/>
                    <w:rPr>
                      <w:rFonts w:hint="eastAsia" w:ascii="Times New Roman" w:eastAsia="宋体"/>
                      <w:color w:val="auto"/>
                      <w:sz w:val="21"/>
                      <w:szCs w:val="21"/>
                      <w:lang w:val="en-US" w:eastAsia="zh-CN"/>
                    </w:rPr>
                  </w:pPr>
                  <w:r>
                    <w:rPr>
                      <w:rFonts w:hint="eastAsia"/>
                      <w:color w:val="auto"/>
                      <w:sz w:val="21"/>
                      <w:szCs w:val="21"/>
                      <w:lang w:val="en-US" w:eastAsia="zh-CN"/>
                    </w:rPr>
                    <w:t>150</w:t>
                  </w:r>
                </w:p>
              </w:tc>
              <w:tc>
                <w:tcPr>
                  <w:tcW w:w="1072" w:type="dxa"/>
                  <w:noWrap w:val="0"/>
                  <w:vAlign w:val="center"/>
                </w:tcPr>
                <w:p w14:paraId="16D24E79">
                  <w:pPr>
                    <w:keepNext w:val="0"/>
                    <w:keepLines w:val="0"/>
                    <w:suppressLineNumbers w:val="0"/>
                    <w:spacing w:before="0" w:beforeAutospacing="0" w:after="0" w:afterAutospacing="0"/>
                    <w:ind w:left="0" w:leftChars="0" w:right="0" w:rightChars="0"/>
                    <w:jc w:val="center"/>
                    <w:rPr>
                      <w:rFonts w:hint="eastAsia" w:eastAsia="宋体"/>
                      <w:color w:val="auto"/>
                      <w:sz w:val="21"/>
                      <w:szCs w:val="21"/>
                      <w:lang w:val="en-US" w:eastAsia="zh-CN"/>
                    </w:rPr>
                  </w:pPr>
                  <w:r>
                    <w:rPr>
                      <w:rFonts w:hint="eastAsia"/>
                      <w:color w:val="auto"/>
                      <w:sz w:val="21"/>
                      <w:szCs w:val="21"/>
                      <w:lang w:val="en-US" w:eastAsia="zh-CN"/>
                    </w:rPr>
                    <w:t>0.29</w:t>
                  </w:r>
                </w:p>
              </w:tc>
              <w:tc>
                <w:tcPr>
                  <w:tcW w:w="459" w:type="dxa"/>
                  <w:vMerge w:val="continue"/>
                  <w:noWrap w:val="0"/>
                  <w:vAlign w:val="center"/>
                </w:tcPr>
                <w:p w14:paraId="63552FF4">
                  <w:pPr>
                    <w:keepNext w:val="0"/>
                    <w:keepLines w:val="0"/>
                    <w:suppressLineNumbers w:val="0"/>
                    <w:spacing w:before="0" w:beforeAutospacing="0" w:after="0" w:afterAutospacing="0"/>
                    <w:ind w:left="0" w:right="0"/>
                    <w:jc w:val="center"/>
                    <w:rPr>
                      <w:rFonts w:hint="default"/>
                      <w:color w:val="auto"/>
                      <w:kern w:val="0"/>
                      <w:sz w:val="21"/>
                      <w:szCs w:val="21"/>
                    </w:rPr>
                  </w:pPr>
                </w:p>
              </w:tc>
            </w:tr>
            <w:tr w14:paraId="5DCC6FB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50EB8EFD">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591EF945">
                  <w:pPr>
                    <w:keepNext w:val="0"/>
                    <w:keepLines w:val="0"/>
                    <w:suppressLineNumbers w:val="0"/>
                    <w:spacing w:before="0" w:beforeAutospacing="0" w:after="0" w:afterAutospacing="0"/>
                    <w:ind w:left="0" w:right="0"/>
                    <w:jc w:val="center"/>
                    <w:rPr>
                      <w:rFonts w:hint="default"/>
                      <w:color w:val="auto"/>
                      <w:kern w:val="0"/>
                      <w:szCs w:val="21"/>
                    </w:rPr>
                  </w:pPr>
                  <w:r>
                    <w:rPr>
                      <w:rFonts w:hint="eastAsia" w:ascii="Times New Roman" w:hAnsi="Times New Roman" w:eastAsia="宋体"/>
                      <w:color w:val="auto"/>
                      <w:sz w:val="24"/>
                      <w:szCs w:val="24"/>
                      <w:lang w:eastAsia="zh-CN"/>
                    </w:rPr>
                    <w:t>SS</w:t>
                  </w:r>
                </w:p>
              </w:tc>
              <w:tc>
                <w:tcPr>
                  <w:tcW w:w="425" w:type="dxa"/>
                  <w:vMerge w:val="continue"/>
                  <w:noWrap w:val="0"/>
                  <w:vAlign w:val="center"/>
                </w:tcPr>
                <w:p w14:paraId="70E1F643">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4F20324B">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79127E26">
                  <w:pPr>
                    <w:keepNext w:val="0"/>
                    <w:keepLines w:val="0"/>
                    <w:suppressLineNumbers w:val="0"/>
                    <w:spacing w:before="0" w:beforeAutospacing="0" w:after="0" w:afterAutospacing="0"/>
                    <w:ind w:left="0" w:right="0"/>
                    <w:jc w:val="center"/>
                    <w:rPr>
                      <w:rFonts w:hint="default" w:ascii="Times New Roman" w:eastAsia="宋体"/>
                      <w:color w:val="auto"/>
                      <w:sz w:val="21"/>
                      <w:szCs w:val="21"/>
                      <w:lang w:val="en-US" w:eastAsia="zh-CN"/>
                    </w:rPr>
                  </w:pPr>
                  <w:r>
                    <w:rPr>
                      <w:rFonts w:hint="eastAsia"/>
                      <w:color w:val="auto"/>
                      <w:sz w:val="21"/>
                      <w:szCs w:val="21"/>
                      <w:lang w:val="en-US" w:eastAsia="zh-CN"/>
                    </w:rPr>
                    <w:t>30</w:t>
                  </w:r>
                </w:p>
              </w:tc>
              <w:tc>
                <w:tcPr>
                  <w:tcW w:w="624" w:type="dxa"/>
                  <w:noWrap w:val="0"/>
                  <w:vAlign w:val="center"/>
                </w:tcPr>
                <w:p w14:paraId="3F3CA41F">
                  <w:pPr>
                    <w:keepNext w:val="0"/>
                    <w:keepLines w:val="0"/>
                    <w:suppressLineNumbers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0.06</w:t>
                  </w:r>
                </w:p>
              </w:tc>
              <w:tc>
                <w:tcPr>
                  <w:tcW w:w="807" w:type="dxa"/>
                  <w:vMerge w:val="continue"/>
                  <w:noWrap w:val="0"/>
                  <w:vAlign w:val="center"/>
                </w:tcPr>
                <w:p w14:paraId="79056C5F">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vMerge w:val="continue"/>
                  <w:noWrap w:val="0"/>
                  <w:vAlign w:val="center"/>
                </w:tcPr>
                <w:p w14:paraId="529CA2A5">
                  <w:pPr>
                    <w:keepNext w:val="0"/>
                    <w:keepLines w:val="0"/>
                    <w:suppressLineNumbers w:val="0"/>
                    <w:spacing w:before="0" w:beforeAutospacing="0" w:after="0" w:afterAutospacing="0"/>
                    <w:ind w:left="0" w:right="0"/>
                    <w:jc w:val="center"/>
                    <w:rPr>
                      <w:rFonts w:hint="eastAsia" w:eastAsia="宋体"/>
                      <w:color w:val="auto"/>
                      <w:kern w:val="0"/>
                      <w:sz w:val="21"/>
                      <w:szCs w:val="21"/>
                      <w:lang w:eastAsia="zh-CN"/>
                    </w:rPr>
                  </w:pPr>
                </w:p>
              </w:tc>
              <w:tc>
                <w:tcPr>
                  <w:tcW w:w="549" w:type="dxa"/>
                  <w:vMerge w:val="continue"/>
                  <w:noWrap w:val="0"/>
                  <w:vAlign w:val="center"/>
                </w:tcPr>
                <w:p w14:paraId="210BADE3">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top"/>
                </w:tcPr>
                <w:p w14:paraId="2CB65D38">
                  <w:pPr>
                    <w:keepNext w:val="0"/>
                    <w:keepLines w:val="0"/>
                    <w:suppressLineNumbers w:val="0"/>
                    <w:spacing w:before="0" w:beforeAutospacing="0" w:after="0" w:afterAutospacing="0"/>
                    <w:ind w:left="0" w:right="0"/>
                    <w:jc w:val="left"/>
                    <w:rPr>
                      <w:rFonts w:hint="default"/>
                      <w:color w:val="auto"/>
                      <w:kern w:val="0"/>
                      <w:sz w:val="21"/>
                      <w:szCs w:val="21"/>
                    </w:rPr>
                  </w:pPr>
                </w:p>
              </w:tc>
              <w:tc>
                <w:tcPr>
                  <w:tcW w:w="687" w:type="dxa"/>
                  <w:noWrap w:val="0"/>
                  <w:vAlign w:val="center"/>
                </w:tcPr>
                <w:p w14:paraId="2D3C6CB4">
                  <w:pPr>
                    <w:keepNext w:val="0"/>
                    <w:keepLines w:val="0"/>
                    <w:suppressLineNumbers w:val="0"/>
                    <w:spacing w:before="0" w:beforeAutospacing="0" w:after="0" w:afterAutospacing="0"/>
                    <w:ind w:left="0" w:leftChars="0" w:right="0" w:rightChars="0"/>
                    <w:jc w:val="center"/>
                    <w:rPr>
                      <w:rFonts w:hint="eastAsia" w:ascii="Times New Roman" w:eastAsia="宋体"/>
                      <w:color w:val="auto"/>
                      <w:sz w:val="21"/>
                      <w:szCs w:val="21"/>
                      <w:lang w:val="en-US" w:eastAsia="zh-CN"/>
                    </w:rPr>
                  </w:pPr>
                  <w:r>
                    <w:rPr>
                      <w:rFonts w:hint="eastAsia"/>
                      <w:color w:val="auto"/>
                      <w:sz w:val="21"/>
                      <w:szCs w:val="21"/>
                      <w:lang w:val="en-US" w:eastAsia="zh-CN"/>
                    </w:rPr>
                    <w:t>30</w:t>
                  </w:r>
                </w:p>
              </w:tc>
              <w:tc>
                <w:tcPr>
                  <w:tcW w:w="1072" w:type="dxa"/>
                  <w:noWrap w:val="0"/>
                  <w:vAlign w:val="center"/>
                </w:tcPr>
                <w:p w14:paraId="65DAA5E9">
                  <w:pPr>
                    <w:keepNext w:val="0"/>
                    <w:keepLines w:val="0"/>
                    <w:suppressLineNumbers w:val="0"/>
                    <w:spacing w:before="0" w:beforeAutospacing="0" w:after="0" w:afterAutospacing="0"/>
                    <w:ind w:left="0" w:leftChars="0" w:right="0" w:rightChars="0"/>
                    <w:jc w:val="center"/>
                    <w:rPr>
                      <w:rFonts w:hint="eastAsia" w:eastAsia="宋体"/>
                      <w:color w:val="auto"/>
                      <w:sz w:val="21"/>
                      <w:szCs w:val="21"/>
                      <w:lang w:val="en-US" w:eastAsia="zh-CN"/>
                    </w:rPr>
                  </w:pPr>
                  <w:r>
                    <w:rPr>
                      <w:rFonts w:hint="eastAsia"/>
                      <w:color w:val="auto"/>
                      <w:sz w:val="21"/>
                      <w:szCs w:val="21"/>
                      <w:lang w:val="en-US" w:eastAsia="zh-CN"/>
                    </w:rPr>
                    <w:t>0.06</w:t>
                  </w:r>
                </w:p>
              </w:tc>
              <w:tc>
                <w:tcPr>
                  <w:tcW w:w="459" w:type="dxa"/>
                  <w:vMerge w:val="continue"/>
                  <w:noWrap w:val="0"/>
                  <w:vAlign w:val="center"/>
                </w:tcPr>
                <w:p w14:paraId="753CCDAC">
                  <w:pPr>
                    <w:keepNext w:val="0"/>
                    <w:keepLines w:val="0"/>
                    <w:suppressLineNumbers w:val="0"/>
                    <w:spacing w:before="0" w:beforeAutospacing="0" w:after="0" w:afterAutospacing="0"/>
                    <w:ind w:left="0" w:right="0"/>
                    <w:jc w:val="center"/>
                    <w:rPr>
                      <w:rFonts w:hint="default"/>
                      <w:color w:val="auto"/>
                      <w:kern w:val="0"/>
                      <w:sz w:val="21"/>
                      <w:szCs w:val="21"/>
                    </w:rPr>
                  </w:pPr>
                </w:p>
              </w:tc>
            </w:tr>
            <w:tr w14:paraId="7EA5F25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restart"/>
                  <w:noWrap w:val="0"/>
                  <w:vAlign w:val="center"/>
                </w:tcPr>
                <w:p w14:paraId="5C588C8C">
                  <w:pPr>
                    <w:keepNext w:val="0"/>
                    <w:keepLines w:val="0"/>
                    <w:suppressLineNumbers w:val="0"/>
                    <w:spacing w:before="0" w:beforeAutospacing="0" w:after="0" w:afterAutospacing="0"/>
                    <w:ind w:left="0" w:right="0"/>
                    <w:jc w:val="center"/>
                    <w:rPr>
                      <w:rFonts w:hint="default"/>
                      <w:color w:val="auto"/>
                      <w:kern w:val="0"/>
                      <w:sz w:val="21"/>
                      <w:szCs w:val="21"/>
                      <w:lang w:val="en-US" w:eastAsia="zh-CN"/>
                    </w:rPr>
                  </w:pPr>
                  <w:r>
                    <w:rPr>
                      <w:rFonts w:hint="eastAsia" w:ascii="Times New Roman" w:eastAsia="宋体"/>
                      <w:color w:val="auto"/>
                      <w:kern w:val="0"/>
                      <w:sz w:val="21"/>
                      <w:szCs w:val="21"/>
                      <w:lang w:val="en-US" w:eastAsia="zh-CN"/>
                    </w:rPr>
                    <w:t>工艺废水</w:t>
                  </w:r>
                </w:p>
              </w:tc>
              <w:tc>
                <w:tcPr>
                  <w:tcW w:w="807" w:type="dxa"/>
                  <w:noWrap w:val="0"/>
                  <w:vAlign w:val="center"/>
                </w:tcPr>
                <w:p w14:paraId="68560ADB">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default"/>
                      <w:color w:val="auto"/>
                      <w:sz w:val="21"/>
                      <w:szCs w:val="21"/>
                      <w:lang w:val="en-US" w:eastAsia="zh-CN"/>
                    </w:rPr>
                    <w:t>pH</w:t>
                  </w:r>
                </w:p>
              </w:tc>
              <w:tc>
                <w:tcPr>
                  <w:tcW w:w="425" w:type="dxa"/>
                  <w:vMerge w:val="restart"/>
                  <w:noWrap w:val="0"/>
                  <w:vAlign w:val="center"/>
                </w:tcPr>
                <w:p w14:paraId="4B0D86D8">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eastAsia"/>
                      <w:color w:val="auto"/>
                      <w:sz w:val="21"/>
                      <w:szCs w:val="21"/>
                      <w:lang w:val="en-US" w:eastAsia="zh-CN"/>
                    </w:rPr>
                    <w:t>类比法</w:t>
                  </w:r>
                </w:p>
              </w:tc>
              <w:tc>
                <w:tcPr>
                  <w:tcW w:w="1053" w:type="dxa"/>
                  <w:vMerge w:val="restart"/>
                  <w:noWrap w:val="0"/>
                  <w:vAlign w:val="center"/>
                </w:tcPr>
                <w:p w14:paraId="29FD803E">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default"/>
                      <w:color w:val="auto"/>
                      <w:sz w:val="21"/>
                      <w:szCs w:val="21"/>
                      <w:lang w:val="en-US" w:eastAsia="zh-CN"/>
                    </w:rPr>
                    <w:t>28293.71</w:t>
                  </w:r>
                </w:p>
              </w:tc>
              <w:tc>
                <w:tcPr>
                  <w:tcW w:w="1311" w:type="dxa"/>
                  <w:gridSpan w:val="2"/>
                  <w:noWrap w:val="0"/>
                  <w:vAlign w:val="center"/>
                </w:tcPr>
                <w:p w14:paraId="4543A245">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eastAsia"/>
                      <w:color w:val="auto"/>
                      <w:sz w:val="21"/>
                      <w:szCs w:val="21"/>
                      <w:lang w:val="en-US" w:eastAsia="zh-CN"/>
                    </w:rPr>
                    <w:t>6.2</w:t>
                  </w:r>
                  <w:r>
                    <w:rPr>
                      <w:rFonts w:hint="default"/>
                      <w:color w:val="auto"/>
                      <w:sz w:val="21"/>
                      <w:szCs w:val="21"/>
                      <w:lang w:val="en-US" w:eastAsia="zh-CN"/>
                    </w:rPr>
                    <w:t>～</w:t>
                  </w:r>
                  <w:r>
                    <w:rPr>
                      <w:rFonts w:hint="eastAsia"/>
                      <w:color w:val="auto"/>
                      <w:sz w:val="21"/>
                      <w:szCs w:val="21"/>
                      <w:lang w:val="en-US" w:eastAsia="zh-CN"/>
                    </w:rPr>
                    <w:t>6.7</w:t>
                  </w:r>
                </w:p>
              </w:tc>
              <w:tc>
                <w:tcPr>
                  <w:tcW w:w="807" w:type="dxa"/>
                  <w:vMerge w:val="restart"/>
                  <w:noWrap w:val="0"/>
                  <w:vAlign w:val="center"/>
                </w:tcPr>
                <w:p w14:paraId="70F48183">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eastAsia"/>
                      <w:color w:val="auto"/>
                      <w:sz w:val="21"/>
                      <w:szCs w:val="21"/>
                      <w:lang w:val="en-US" w:eastAsia="zh-CN"/>
                    </w:rPr>
                    <w:t>隔油池+调节池+气浮+水解+UASB+兼氧池+SBR</w:t>
                  </w:r>
                </w:p>
              </w:tc>
              <w:tc>
                <w:tcPr>
                  <w:tcW w:w="600" w:type="dxa"/>
                  <w:noWrap w:val="0"/>
                  <w:vAlign w:val="center"/>
                </w:tcPr>
                <w:p w14:paraId="0D8F4FFC">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w:t>
                  </w:r>
                </w:p>
              </w:tc>
              <w:tc>
                <w:tcPr>
                  <w:tcW w:w="549" w:type="dxa"/>
                  <w:vMerge w:val="restart"/>
                  <w:noWrap w:val="0"/>
                  <w:vAlign w:val="center"/>
                </w:tcPr>
                <w:p w14:paraId="48338E5F">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类比法</w:t>
                  </w:r>
                </w:p>
              </w:tc>
              <w:tc>
                <w:tcPr>
                  <w:tcW w:w="680" w:type="dxa"/>
                  <w:vMerge w:val="restart"/>
                  <w:noWrap w:val="0"/>
                  <w:vAlign w:val="center"/>
                </w:tcPr>
                <w:p w14:paraId="2B68008C">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default"/>
                      <w:color w:val="auto"/>
                      <w:sz w:val="21"/>
                      <w:szCs w:val="21"/>
                      <w:lang w:val="en-US" w:eastAsia="zh-CN"/>
                    </w:rPr>
                    <w:t>28293.71</w:t>
                  </w:r>
                </w:p>
              </w:tc>
              <w:tc>
                <w:tcPr>
                  <w:tcW w:w="1759" w:type="dxa"/>
                  <w:gridSpan w:val="2"/>
                  <w:noWrap w:val="0"/>
                  <w:vAlign w:val="center"/>
                </w:tcPr>
                <w:p w14:paraId="622E92DE">
                  <w:pPr>
                    <w:keepNext w:val="0"/>
                    <w:keepLines w:val="0"/>
                    <w:suppressLineNumbers w:val="0"/>
                    <w:spacing w:before="0" w:beforeAutospacing="0" w:after="0" w:afterAutospacing="0"/>
                    <w:ind w:left="0" w:right="0"/>
                    <w:jc w:val="center"/>
                    <w:rPr>
                      <w:rFonts w:hint="eastAsia"/>
                      <w:color w:val="auto"/>
                      <w:sz w:val="21"/>
                      <w:szCs w:val="21"/>
                      <w:lang w:val="en-US" w:eastAsia="zh-CN"/>
                    </w:rPr>
                  </w:pPr>
                  <w:r>
                    <w:rPr>
                      <w:rFonts w:hint="eastAsia"/>
                      <w:color w:val="auto"/>
                      <w:sz w:val="21"/>
                      <w:szCs w:val="21"/>
                      <w:lang w:val="en-US" w:eastAsia="zh-CN"/>
                    </w:rPr>
                    <w:t>6.2</w:t>
                  </w:r>
                  <w:r>
                    <w:rPr>
                      <w:rFonts w:hint="default"/>
                      <w:color w:val="auto"/>
                      <w:sz w:val="21"/>
                      <w:szCs w:val="21"/>
                      <w:lang w:val="en-US" w:eastAsia="zh-CN"/>
                    </w:rPr>
                    <w:t>～</w:t>
                  </w:r>
                  <w:r>
                    <w:rPr>
                      <w:rFonts w:hint="eastAsia"/>
                      <w:color w:val="auto"/>
                      <w:sz w:val="21"/>
                      <w:szCs w:val="21"/>
                      <w:lang w:val="en-US" w:eastAsia="zh-CN"/>
                    </w:rPr>
                    <w:t>6.7</w:t>
                  </w:r>
                </w:p>
              </w:tc>
              <w:tc>
                <w:tcPr>
                  <w:tcW w:w="459" w:type="dxa"/>
                  <w:vMerge w:val="continue"/>
                  <w:noWrap w:val="0"/>
                  <w:vAlign w:val="center"/>
                </w:tcPr>
                <w:p w14:paraId="6183A387">
                  <w:pPr>
                    <w:keepNext w:val="0"/>
                    <w:keepLines w:val="0"/>
                    <w:suppressLineNumbers w:val="0"/>
                    <w:spacing w:before="0" w:beforeAutospacing="0" w:after="0" w:afterAutospacing="0"/>
                    <w:ind w:left="0" w:right="0"/>
                    <w:jc w:val="center"/>
                    <w:rPr>
                      <w:rFonts w:hint="default"/>
                      <w:color w:val="auto"/>
                      <w:kern w:val="0"/>
                      <w:sz w:val="21"/>
                      <w:szCs w:val="21"/>
                      <w:lang w:val="en-US"/>
                    </w:rPr>
                  </w:pPr>
                </w:p>
              </w:tc>
            </w:tr>
            <w:tr w14:paraId="42644D9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1BED1C73">
                  <w:pPr>
                    <w:keepNext w:val="0"/>
                    <w:keepLines w:val="0"/>
                    <w:suppressLineNumbers w:val="0"/>
                    <w:spacing w:before="0" w:beforeAutospacing="0" w:after="0" w:afterAutospacing="0"/>
                    <w:ind w:left="0" w:right="0"/>
                    <w:jc w:val="center"/>
                    <w:rPr>
                      <w:rFonts w:hint="default"/>
                      <w:color w:val="auto"/>
                      <w:kern w:val="0"/>
                      <w:sz w:val="21"/>
                      <w:szCs w:val="21"/>
                      <w:lang w:val="en-US" w:eastAsia="zh-CN"/>
                    </w:rPr>
                  </w:pPr>
                </w:p>
              </w:tc>
              <w:tc>
                <w:tcPr>
                  <w:tcW w:w="807" w:type="dxa"/>
                  <w:noWrap w:val="0"/>
                  <w:vAlign w:val="center"/>
                </w:tcPr>
                <w:p w14:paraId="5D4672A3">
                  <w:pPr>
                    <w:keepNext w:val="0"/>
                    <w:keepLines w:val="0"/>
                    <w:suppressLineNumbers w:val="0"/>
                    <w:spacing w:before="0" w:beforeAutospacing="0" w:after="0" w:afterAutospacing="0" w:line="240" w:lineRule="auto"/>
                    <w:ind w:left="0" w:right="0"/>
                    <w:jc w:val="center"/>
                    <w:rPr>
                      <w:rFonts w:hint="default"/>
                      <w:color w:val="auto"/>
                      <w:kern w:val="0"/>
                      <w:szCs w:val="21"/>
                    </w:rPr>
                  </w:pPr>
                  <w:r>
                    <w:rPr>
                      <w:rFonts w:hint="eastAsia" w:ascii="Times New Roman" w:hAnsi="Times New Roman" w:cs="Times New Roman"/>
                      <w:color w:val="auto"/>
                      <w:szCs w:val="21"/>
                      <w:lang w:val="en-US" w:eastAsia="zh-CN"/>
                    </w:rPr>
                    <w:t>COD</w:t>
                  </w:r>
                </w:p>
              </w:tc>
              <w:tc>
                <w:tcPr>
                  <w:tcW w:w="425" w:type="dxa"/>
                  <w:vMerge w:val="continue"/>
                  <w:noWrap w:val="0"/>
                  <w:vAlign w:val="center"/>
                </w:tcPr>
                <w:p w14:paraId="5D896CE4">
                  <w:pPr>
                    <w:keepNext w:val="0"/>
                    <w:keepLines w:val="0"/>
                    <w:suppressLineNumbers w:val="0"/>
                    <w:spacing w:before="0" w:beforeAutospacing="0" w:after="0" w:afterAutospacing="0"/>
                    <w:ind w:left="0" w:right="0"/>
                    <w:jc w:val="center"/>
                    <w:rPr>
                      <w:rFonts w:hint="eastAsia" w:eastAsia="宋体"/>
                      <w:color w:val="auto"/>
                      <w:kern w:val="0"/>
                      <w:sz w:val="21"/>
                      <w:szCs w:val="21"/>
                      <w:lang w:val="en-US" w:eastAsia="zh-CN"/>
                    </w:rPr>
                  </w:pPr>
                </w:p>
              </w:tc>
              <w:tc>
                <w:tcPr>
                  <w:tcW w:w="1053" w:type="dxa"/>
                  <w:vMerge w:val="continue"/>
                  <w:noWrap w:val="0"/>
                  <w:vAlign w:val="center"/>
                </w:tcPr>
                <w:p w14:paraId="6D370FA9">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auto"/>
                      <w:kern w:val="2"/>
                      <w:sz w:val="22"/>
                      <w:szCs w:val="22"/>
                      <w:u w:val="none"/>
                      <w:lang w:val="en-US" w:eastAsia="zh-CN" w:bidi="ar-SA"/>
                    </w:rPr>
                  </w:pPr>
                </w:p>
              </w:tc>
              <w:tc>
                <w:tcPr>
                  <w:tcW w:w="687" w:type="dxa"/>
                  <w:noWrap w:val="0"/>
                  <w:vAlign w:val="center"/>
                </w:tcPr>
                <w:p w14:paraId="208F9EE7">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3330</w:t>
                  </w:r>
                </w:p>
              </w:tc>
              <w:tc>
                <w:tcPr>
                  <w:tcW w:w="624" w:type="dxa"/>
                  <w:noWrap w:val="0"/>
                  <w:vAlign w:val="center"/>
                </w:tcPr>
                <w:p w14:paraId="0E65E97D">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94.22</w:t>
                  </w:r>
                </w:p>
              </w:tc>
              <w:tc>
                <w:tcPr>
                  <w:tcW w:w="807" w:type="dxa"/>
                  <w:vMerge w:val="continue"/>
                  <w:noWrap w:val="0"/>
                  <w:vAlign w:val="center"/>
                </w:tcPr>
                <w:p w14:paraId="60ADEC3C">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76F43165">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95.5</w:t>
                  </w:r>
                </w:p>
              </w:tc>
              <w:tc>
                <w:tcPr>
                  <w:tcW w:w="549" w:type="dxa"/>
                  <w:vMerge w:val="continue"/>
                  <w:noWrap w:val="0"/>
                  <w:vAlign w:val="center"/>
                </w:tcPr>
                <w:p w14:paraId="36C5CA72">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center"/>
                </w:tcPr>
                <w:p w14:paraId="49D202D4">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62B1842D">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149.85</w:t>
                  </w:r>
                </w:p>
              </w:tc>
              <w:tc>
                <w:tcPr>
                  <w:tcW w:w="1072" w:type="dxa"/>
                  <w:noWrap w:val="0"/>
                  <w:vAlign w:val="center"/>
                </w:tcPr>
                <w:p w14:paraId="42488E10">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sz w:val="21"/>
                      <w:szCs w:val="21"/>
                      <w:lang w:val="en-US" w:eastAsia="zh-CN"/>
                    </w:rPr>
                    <w:t>4.23</w:t>
                  </w:r>
                </w:p>
              </w:tc>
              <w:tc>
                <w:tcPr>
                  <w:tcW w:w="459" w:type="dxa"/>
                  <w:vMerge w:val="continue"/>
                  <w:noWrap w:val="0"/>
                  <w:vAlign w:val="center"/>
                </w:tcPr>
                <w:p w14:paraId="6E610BF3">
                  <w:pPr>
                    <w:keepNext w:val="0"/>
                    <w:keepLines w:val="0"/>
                    <w:suppressLineNumbers w:val="0"/>
                    <w:spacing w:before="0" w:beforeAutospacing="0" w:after="0" w:afterAutospacing="0"/>
                    <w:ind w:left="0" w:right="0"/>
                    <w:jc w:val="center"/>
                    <w:rPr>
                      <w:rFonts w:hint="default"/>
                      <w:color w:val="auto"/>
                      <w:kern w:val="0"/>
                      <w:sz w:val="21"/>
                      <w:szCs w:val="21"/>
                      <w:lang w:val="en-US"/>
                    </w:rPr>
                  </w:pPr>
                </w:p>
              </w:tc>
            </w:tr>
            <w:tr w14:paraId="72789C4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6FF3389F">
                  <w:pPr>
                    <w:keepNext w:val="0"/>
                    <w:keepLines w:val="0"/>
                    <w:suppressLineNumbers w:val="0"/>
                    <w:spacing w:before="0" w:beforeAutospacing="0" w:after="0" w:afterAutospacing="0"/>
                    <w:ind w:left="0" w:right="0"/>
                    <w:jc w:val="center"/>
                    <w:rPr>
                      <w:rFonts w:hint="default"/>
                      <w:color w:val="auto"/>
                      <w:kern w:val="0"/>
                      <w:sz w:val="21"/>
                      <w:szCs w:val="21"/>
                      <w:lang w:val="en-US" w:eastAsia="zh-CN"/>
                    </w:rPr>
                  </w:pPr>
                </w:p>
              </w:tc>
              <w:tc>
                <w:tcPr>
                  <w:tcW w:w="807" w:type="dxa"/>
                  <w:noWrap w:val="0"/>
                  <w:vAlign w:val="center"/>
                </w:tcPr>
                <w:p w14:paraId="12A28B93">
                  <w:pPr>
                    <w:keepNext w:val="0"/>
                    <w:keepLines w:val="0"/>
                    <w:suppressLineNumbers w:val="0"/>
                    <w:spacing w:before="0" w:beforeAutospacing="0" w:after="0" w:afterAutospacing="0" w:line="240" w:lineRule="auto"/>
                    <w:ind w:left="0" w:right="0"/>
                    <w:jc w:val="center"/>
                    <w:rPr>
                      <w:rFonts w:hint="default"/>
                      <w:color w:val="auto"/>
                      <w:kern w:val="0"/>
                      <w:szCs w:val="21"/>
                    </w:rPr>
                  </w:pPr>
                  <w:r>
                    <w:rPr>
                      <w:rFonts w:hint="default" w:ascii="Times New Roman" w:hAnsi="Times New Roman" w:eastAsia="宋体" w:cs="Times New Roman"/>
                      <w:bCs/>
                      <w:color w:val="auto"/>
                      <w:szCs w:val="21"/>
                      <w:lang w:bidi="ar"/>
                    </w:rPr>
                    <w:t>NH</w:t>
                  </w:r>
                  <w:r>
                    <w:rPr>
                      <w:rFonts w:hint="default" w:ascii="Times New Roman" w:hAnsi="Times New Roman" w:eastAsia="宋体" w:cs="Times New Roman"/>
                      <w:bCs/>
                      <w:color w:val="auto"/>
                      <w:szCs w:val="21"/>
                      <w:vertAlign w:val="subscript"/>
                      <w:lang w:bidi="ar"/>
                    </w:rPr>
                    <w:t>3</w:t>
                  </w:r>
                  <w:r>
                    <w:rPr>
                      <w:rFonts w:hint="default" w:ascii="Times New Roman" w:hAnsi="Times New Roman" w:eastAsia="宋体" w:cs="Times New Roman"/>
                      <w:bCs/>
                      <w:color w:val="auto"/>
                      <w:szCs w:val="21"/>
                      <w:lang w:bidi="ar"/>
                    </w:rPr>
                    <w:t>-N</w:t>
                  </w:r>
                </w:p>
              </w:tc>
              <w:tc>
                <w:tcPr>
                  <w:tcW w:w="425" w:type="dxa"/>
                  <w:vMerge w:val="continue"/>
                  <w:noWrap w:val="0"/>
                  <w:vAlign w:val="center"/>
                </w:tcPr>
                <w:p w14:paraId="4079136A">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5265C7DF">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41A8170C">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107</w:t>
                  </w:r>
                </w:p>
              </w:tc>
              <w:tc>
                <w:tcPr>
                  <w:tcW w:w="624" w:type="dxa"/>
                  <w:noWrap w:val="0"/>
                  <w:vAlign w:val="center"/>
                </w:tcPr>
                <w:p w14:paraId="71A30C3F">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3.03</w:t>
                  </w:r>
                </w:p>
              </w:tc>
              <w:tc>
                <w:tcPr>
                  <w:tcW w:w="807" w:type="dxa"/>
                  <w:vMerge w:val="continue"/>
                  <w:noWrap w:val="0"/>
                  <w:vAlign w:val="center"/>
                </w:tcPr>
                <w:p w14:paraId="57C26B52">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7772026B">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ascii="Times New Roman" w:eastAsia="宋体"/>
                      <w:color w:val="auto"/>
                      <w:kern w:val="0"/>
                      <w:sz w:val="21"/>
                      <w:szCs w:val="21"/>
                      <w:lang w:val="en-US" w:eastAsia="zh-CN"/>
                    </w:rPr>
                    <w:t>92.2</w:t>
                  </w:r>
                </w:p>
              </w:tc>
              <w:tc>
                <w:tcPr>
                  <w:tcW w:w="549" w:type="dxa"/>
                  <w:vMerge w:val="continue"/>
                  <w:noWrap w:val="0"/>
                  <w:vAlign w:val="center"/>
                </w:tcPr>
                <w:p w14:paraId="38C18C90">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center"/>
                </w:tcPr>
                <w:p w14:paraId="7422E30A">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03FC6D20">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8.35</w:t>
                  </w:r>
                </w:p>
              </w:tc>
              <w:tc>
                <w:tcPr>
                  <w:tcW w:w="1072" w:type="dxa"/>
                  <w:noWrap w:val="0"/>
                  <w:vAlign w:val="center"/>
                </w:tcPr>
                <w:p w14:paraId="4B7545CF">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sz w:val="21"/>
                      <w:szCs w:val="21"/>
                      <w:lang w:val="en-US" w:eastAsia="zh-CN"/>
                    </w:rPr>
                    <w:t>0.024</w:t>
                  </w:r>
                </w:p>
              </w:tc>
              <w:tc>
                <w:tcPr>
                  <w:tcW w:w="459" w:type="dxa"/>
                  <w:vMerge w:val="continue"/>
                  <w:noWrap w:val="0"/>
                  <w:vAlign w:val="center"/>
                </w:tcPr>
                <w:p w14:paraId="2570EBDD">
                  <w:pPr>
                    <w:keepNext w:val="0"/>
                    <w:keepLines w:val="0"/>
                    <w:suppressLineNumbers w:val="0"/>
                    <w:spacing w:before="0" w:beforeAutospacing="0" w:after="0" w:afterAutospacing="0"/>
                    <w:ind w:left="0" w:right="0"/>
                    <w:jc w:val="center"/>
                    <w:rPr>
                      <w:rFonts w:hint="default"/>
                      <w:color w:val="auto"/>
                      <w:kern w:val="0"/>
                      <w:sz w:val="21"/>
                      <w:szCs w:val="21"/>
                    </w:rPr>
                  </w:pPr>
                </w:p>
              </w:tc>
            </w:tr>
            <w:tr w14:paraId="7AE290E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6F5E6797">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47F28B88">
                  <w:pPr>
                    <w:keepNext w:val="0"/>
                    <w:keepLines w:val="0"/>
                    <w:suppressLineNumbers w:val="0"/>
                    <w:spacing w:before="0" w:beforeAutospacing="0" w:after="0" w:afterAutospacing="0" w:line="240" w:lineRule="auto"/>
                    <w:ind w:left="0" w:right="0"/>
                    <w:jc w:val="center"/>
                    <w:rPr>
                      <w:rFonts w:hint="default"/>
                      <w:color w:val="auto"/>
                      <w:kern w:val="0"/>
                      <w:szCs w:val="21"/>
                    </w:rPr>
                  </w:pPr>
                  <w:r>
                    <w:rPr>
                      <w:rFonts w:hint="eastAsia" w:ascii="Times New Roman" w:eastAsia="宋体"/>
                      <w:color w:val="auto"/>
                      <w:sz w:val="21"/>
                      <w:szCs w:val="21"/>
                      <w:lang w:val="en-US" w:eastAsia="zh-CN"/>
                    </w:rPr>
                    <w:t>BOD</w:t>
                  </w:r>
                  <w:r>
                    <w:rPr>
                      <w:rFonts w:hint="eastAsia" w:ascii="Times New Roman" w:eastAsia="宋体"/>
                      <w:color w:val="auto"/>
                      <w:sz w:val="21"/>
                      <w:szCs w:val="21"/>
                      <w:vertAlign w:val="subscript"/>
                      <w:lang w:val="en-US" w:eastAsia="zh-CN"/>
                    </w:rPr>
                    <w:t>5</w:t>
                  </w:r>
                </w:p>
              </w:tc>
              <w:tc>
                <w:tcPr>
                  <w:tcW w:w="425" w:type="dxa"/>
                  <w:vMerge w:val="continue"/>
                  <w:noWrap w:val="0"/>
                  <w:vAlign w:val="center"/>
                </w:tcPr>
                <w:p w14:paraId="119BF98A">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50DDB828">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1EEFEA41">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626</w:t>
                  </w:r>
                </w:p>
              </w:tc>
              <w:tc>
                <w:tcPr>
                  <w:tcW w:w="624" w:type="dxa"/>
                  <w:noWrap w:val="0"/>
                  <w:vAlign w:val="center"/>
                </w:tcPr>
                <w:p w14:paraId="3F94A18F">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17.71</w:t>
                  </w:r>
                </w:p>
              </w:tc>
              <w:tc>
                <w:tcPr>
                  <w:tcW w:w="807" w:type="dxa"/>
                  <w:vMerge w:val="continue"/>
                  <w:noWrap w:val="0"/>
                  <w:vAlign w:val="center"/>
                </w:tcPr>
                <w:p w14:paraId="01D76839">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0BF9FAFE">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ascii="Times New Roman" w:eastAsia="宋体"/>
                      <w:color w:val="auto"/>
                      <w:kern w:val="0"/>
                      <w:sz w:val="21"/>
                      <w:szCs w:val="21"/>
                      <w:lang w:val="en-US" w:eastAsia="zh-CN"/>
                    </w:rPr>
                    <w:t>92.1</w:t>
                  </w:r>
                </w:p>
              </w:tc>
              <w:tc>
                <w:tcPr>
                  <w:tcW w:w="549" w:type="dxa"/>
                  <w:vMerge w:val="continue"/>
                  <w:noWrap w:val="0"/>
                  <w:vAlign w:val="center"/>
                </w:tcPr>
                <w:p w14:paraId="481E6486">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center"/>
                </w:tcPr>
                <w:p w14:paraId="5FAAB9EF">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3FD987FB">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49.45</w:t>
                  </w:r>
                </w:p>
              </w:tc>
              <w:tc>
                <w:tcPr>
                  <w:tcW w:w="1072" w:type="dxa"/>
                  <w:noWrap w:val="0"/>
                  <w:vAlign w:val="center"/>
                </w:tcPr>
                <w:p w14:paraId="250DCB04">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sz w:val="21"/>
                      <w:szCs w:val="21"/>
                      <w:lang w:val="en-US" w:eastAsia="zh-CN"/>
                    </w:rPr>
                    <w:t>1.4</w:t>
                  </w:r>
                </w:p>
              </w:tc>
              <w:tc>
                <w:tcPr>
                  <w:tcW w:w="459" w:type="dxa"/>
                  <w:vMerge w:val="continue"/>
                  <w:noWrap w:val="0"/>
                  <w:vAlign w:val="center"/>
                </w:tcPr>
                <w:p w14:paraId="4F5330EA">
                  <w:pPr>
                    <w:keepNext w:val="0"/>
                    <w:keepLines w:val="0"/>
                    <w:suppressLineNumbers w:val="0"/>
                    <w:spacing w:before="0" w:beforeAutospacing="0" w:after="0" w:afterAutospacing="0"/>
                    <w:ind w:left="0" w:right="0"/>
                    <w:jc w:val="center"/>
                    <w:rPr>
                      <w:rFonts w:hint="default"/>
                      <w:color w:val="auto"/>
                      <w:kern w:val="0"/>
                      <w:sz w:val="21"/>
                      <w:szCs w:val="21"/>
                    </w:rPr>
                  </w:pPr>
                </w:p>
              </w:tc>
            </w:tr>
            <w:tr w14:paraId="6703A78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40CA0C52">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2E86DFDC">
                  <w:pPr>
                    <w:keepNext w:val="0"/>
                    <w:keepLines w:val="0"/>
                    <w:suppressLineNumbers w:val="0"/>
                    <w:spacing w:before="0" w:beforeAutospacing="0" w:after="0" w:afterAutospacing="0" w:line="240" w:lineRule="auto"/>
                    <w:ind w:left="0" w:right="0"/>
                    <w:jc w:val="center"/>
                    <w:rPr>
                      <w:rFonts w:hint="default"/>
                      <w:color w:val="auto"/>
                      <w:kern w:val="0"/>
                      <w:szCs w:val="21"/>
                    </w:rPr>
                  </w:pPr>
                  <w:r>
                    <w:rPr>
                      <w:rFonts w:hint="eastAsia" w:ascii="Times New Roman" w:eastAsia="宋体"/>
                      <w:color w:val="auto"/>
                      <w:sz w:val="21"/>
                      <w:szCs w:val="21"/>
                      <w:lang w:val="en-US" w:eastAsia="zh-CN"/>
                    </w:rPr>
                    <w:t>SS</w:t>
                  </w:r>
                </w:p>
              </w:tc>
              <w:tc>
                <w:tcPr>
                  <w:tcW w:w="425" w:type="dxa"/>
                  <w:vMerge w:val="continue"/>
                  <w:noWrap w:val="0"/>
                  <w:vAlign w:val="center"/>
                </w:tcPr>
                <w:p w14:paraId="1AC51811">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1AD86D0E">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002BA684">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751</w:t>
                  </w:r>
                </w:p>
              </w:tc>
              <w:tc>
                <w:tcPr>
                  <w:tcW w:w="624" w:type="dxa"/>
                  <w:noWrap w:val="0"/>
                  <w:vAlign w:val="center"/>
                </w:tcPr>
                <w:p w14:paraId="4B86AC4A">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21.25</w:t>
                  </w:r>
                </w:p>
              </w:tc>
              <w:tc>
                <w:tcPr>
                  <w:tcW w:w="807" w:type="dxa"/>
                  <w:vMerge w:val="continue"/>
                  <w:noWrap w:val="0"/>
                  <w:vAlign w:val="center"/>
                </w:tcPr>
                <w:p w14:paraId="48731391">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6746ADAC">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95</w:t>
                  </w:r>
                </w:p>
              </w:tc>
              <w:tc>
                <w:tcPr>
                  <w:tcW w:w="549" w:type="dxa"/>
                  <w:vMerge w:val="continue"/>
                  <w:noWrap w:val="0"/>
                  <w:vAlign w:val="center"/>
                </w:tcPr>
                <w:p w14:paraId="55B2DA44">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center"/>
                </w:tcPr>
                <w:p w14:paraId="218114E8">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76184B33">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37.55</w:t>
                  </w:r>
                </w:p>
              </w:tc>
              <w:tc>
                <w:tcPr>
                  <w:tcW w:w="1072" w:type="dxa"/>
                  <w:noWrap w:val="0"/>
                  <w:vAlign w:val="center"/>
                </w:tcPr>
                <w:p w14:paraId="47D4674C">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sz w:val="21"/>
                      <w:szCs w:val="21"/>
                      <w:lang w:val="en-US" w:eastAsia="zh-CN"/>
                    </w:rPr>
                    <w:t>1.06</w:t>
                  </w:r>
                </w:p>
              </w:tc>
              <w:tc>
                <w:tcPr>
                  <w:tcW w:w="459" w:type="dxa"/>
                  <w:vMerge w:val="continue"/>
                  <w:noWrap w:val="0"/>
                  <w:vAlign w:val="center"/>
                </w:tcPr>
                <w:p w14:paraId="5C179E76">
                  <w:pPr>
                    <w:keepNext w:val="0"/>
                    <w:keepLines w:val="0"/>
                    <w:suppressLineNumbers w:val="0"/>
                    <w:spacing w:before="0" w:beforeAutospacing="0" w:after="0" w:afterAutospacing="0"/>
                    <w:ind w:left="0" w:right="0"/>
                    <w:jc w:val="center"/>
                    <w:rPr>
                      <w:rFonts w:hint="default"/>
                      <w:color w:val="auto"/>
                      <w:kern w:val="0"/>
                      <w:sz w:val="21"/>
                      <w:szCs w:val="21"/>
                    </w:rPr>
                  </w:pPr>
                </w:p>
              </w:tc>
            </w:tr>
            <w:tr w14:paraId="5B2AB89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058F8BF6">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33EA621C">
                  <w:pPr>
                    <w:keepNext w:val="0"/>
                    <w:keepLines w:val="0"/>
                    <w:suppressLineNumbers w:val="0"/>
                    <w:spacing w:before="0" w:beforeAutospacing="0" w:after="0" w:afterAutospacing="0" w:line="240" w:lineRule="auto"/>
                    <w:ind w:left="0" w:right="0"/>
                    <w:jc w:val="center"/>
                    <w:rPr>
                      <w:rFonts w:hint="default"/>
                      <w:color w:val="auto"/>
                      <w:kern w:val="0"/>
                      <w:szCs w:val="21"/>
                    </w:rPr>
                  </w:pPr>
                  <w:r>
                    <w:rPr>
                      <w:rFonts w:hint="eastAsia" w:ascii="Times New Roman" w:eastAsia="宋体"/>
                      <w:color w:val="auto"/>
                      <w:sz w:val="21"/>
                      <w:szCs w:val="21"/>
                      <w:lang w:val="en-US" w:eastAsia="zh-CN"/>
                    </w:rPr>
                    <w:t>动植物油</w:t>
                  </w:r>
                </w:p>
              </w:tc>
              <w:tc>
                <w:tcPr>
                  <w:tcW w:w="425" w:type="dxa"/>
                  <w:vMerge w:val="continue"/>
                  <w:noWrap w:val="0"/>
                  <w:vAlign w:val="center"/>
                </w:tcPr>
                <w:p w14:paraId="5457D16F">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555D61AB">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15E60432">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0.88</w:t>
                  </w:r>
                </w:p>
              </w:tc>
              <w:tc>
                <w:tcPr>
                  <w:tcW w:w="624" w:type="dxa"/>
                  <w:noWrap w:val="0"/>
                  <w:vAlign w:val="center"/>
                </w:tcPr>
                <w:p w14:paraId="00AF9339">
                  <w:pPr>
                    <w:keepNext w:val="0"/>
                    <w:keepLines w:val="0"/>
                    <w:suppressLineNumbers w:val="0"/>
                    <w:spacing w:before="0" w:beforeAutospacing="0" w:after="0" w:afterAutospacing="0"/>
                    <w:ind w:left="0" w:right="0"/>
                    <w:jc w:val="center"/>
                    <w:rPr>
                      <w:rFonts w:hint="default"/>
                      <w:color w:val="auto"/>
                      <w:sz w:val="21"/>
                      <w:szCs w:val="21"/>
                      <w:lang w:val="en-US" w:eastAsia="zh-CN"/>
                    </w:rPr>
                  </w:pPr>
                  <w:r>
                    <w:rPr>
                      <w:rFonts w:hint="eastAsia"/>
                      <w:color w:val="auto"/>
                      <w:sz w:val="21"/>
                      <w:szCs w:val="21"/>
                      <w:lang w:val="en-US" w:eastAsia="zh-CN"/>
                    </w:rPr>
                    <w:t>0.02</w:t>
                  </w:r>
                </w:p>
              </w:tc>
              <w:tc>
                <w:tcPr>
                  <w:tcW w:w="807" w:type="dxa"/>
                  <w:vMerge w:val="continue"/>
                  <w:noWrap w:val="0"/>
                  <w:vAlign w:val="center"/>
                </w:tcPr>
                <w:p w14:paraId="0CF9C39A">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7CACAE39">
                  <w:pPr>
                    <w:keepNext w:val="0"/>
                    <w:keepLines w:val="0"/>
                    <w:suppressLineNumbers w:val="0"/>
                    <w:spacing w:before="0" w:beforeAutospacing="0" w:after="0" w:afterAutospacing="0"/>
                    <w:ind w:left="0" w:right="0"/>
                    <w:jc w:val="center"/>
                    <w:rPr>
                      <w:rFonts w:hint="default" w:eastAsia="宋体"/>
                      <w:color w:val="auto"/>
                      <w:kern w:val="0"/>
                      <w:sz w:val="21"/>
                      <w:szCs w:val="21"/>
                      <w:lang w:val="en-US" w:eastAsia="zh-CN"/>
                    </w:rPr>
                  </w:pPr>
                  <w:r>
                    <w:rPr>
                      <w:rFonts w:hint="eastAsia" w:ascii="Times New Roman" w:eastAsia="宋体"/>
                      <w:color w:val="auto"/>
                      <w:kern w:val="0"/>
                      <w:sz w:val="21"/>
                      <w:szCs w:val="21"/>
                      <w:lang w:val="en-US" w:eastAsia="zh-CN"/>
                    </w:rPr>
                    <w:t>99.8</w:t>
                  </w:r>
                </w:p>
              </w:tc>
              <w:tc>
                <w:tcPr>
                  <w:tcW w:w="549" w:type="dxa"/>
                  <w:vMerge w:val="continue"/>
                  <w:noWrap w:val="0"/>
                  <w:vAlign w:val="center"/>
                </w:tcPr>
                <w:p w14:paraId="70462ECC">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vMerge w:val="continue"/>
                  <w:noWrap w:val="0"/>
                  <w:vAlign w:val="center"/>
                </w:tcPr>
                <w:p w14:paraId="317DC613">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44901A92">
                  <w:pPr>
                    <w:keepNext w:val="0"/>
                    <w:keepLines w:val="0"/>
                    <w:suppressLineNumbers w:val="0"/>
                    <w:spacing w:before="0" w:beforeAutospacing="0" w:after="0" w:afterAutospacing="0"/>
                    <w:ind w:left="0" w:leftChars="0" w:right="0" w:rightChars="0"/>
                    <w:jc w:val="center"/>
                    <w:rPr>
                      <w:rFonts w:hint="default" w:eastAsia="宋体"/>
                      <w:color w:val="auto"/>
                      <w:kern w:val="0"/>
                      <w:sz w:val="21"/>
                      <w:szCs w:val="21"/>
                      <w:lang w:val="en-US" w:eastAsia="zh-CN"/>
                    </w:rPr>
                  </w:pPr>
                  <w:r>
                    <w:rPr>
                      <w:rFonts w:hint="eastAsia"/>
                      <w:color w:val="auto"/>
                      <w:kern w:val="0"/>
                      <w:sz w:val="21"/>
                      <w:szCs w:val="21"/>
                      <w:lang w:val="en-US" w:eastAsia="zh-CN"/>
                    </w:rPr>
                    <w:t>0.002</w:t>
                  </w:r>
                </w:p>
              </w:tc>
              <w:tc>
                <w:tcPr>
                  <w:tcW w:w="1072" w:type="dxa"/>
                  <w:noWrap w:val="0"/>
                  <w:vAlign w:val="center"/>
                </w:tcPr>
                <w:p w14:paraId="7ACF86A0">
                  <w:pPr>
                    <w:keepNext w:val="0"/>
                    <w:keepLines w:val="0"/>
                    <w:suppressLineNumbers w:val="0"/>
                    <w:spacing w:before="0" w:beforeAutospacing="0" w:after="0" w:afterAutospacing="0"/>
                    <w:ind w:left="0" w:right="0"/>
                    <w:jc w:val="center"/>
                    <w:rPr>
                      <w:rFonts w:hint="default" w:eastAsia="宋体"/>
                      <w:color w:val="auto"/>
                      <w:kern w:val="0"/>
                      <w:sz w:val="21"/>
                      <w:szCs w:val="21"/>
                      <w:lang w:val="en-US" w:eastAsia="zh-CN"/>
                    </w:rPr>
                  </w:pPr>
                  <w:r>
                    <w:rPr>
                      <w:rFonts w:hint="eastAsia"/>
                      <w:color w:val="auto"/>
                      <w:kern w:val="0"/>
                      <w:sz w:val="21"/>
                      <w:szCs w:val="21"/>
                      <w:lang w:val="en-US" w:eastAsia="zh-CN"/>
                    </w:rPr>
                    <w:t>0.00001</w:t>
                  </w:r>
                </w:p>
              </w:tc>
              <w:tc>
                <w:tcPr>
                  <w:tcW w:w="459" w:type="dxa"/>
                  <w:vMerge w:val="continue"/>
                  <w:noWrap w:val="0"/>
                  <w:vAlign w:val="center"/>
                </w:tcPr>
                <w:p w14:paraId="51A05AFF">
                  <w:pPr>
                    <w:keepNext w:val="0"/>
                    <w:keepLines w:val="0"/>
                    <w:suppressLineNumbers w:val="0"/>
                    <w:spacing w:before="0" w:beforeAutospacing="0" w:after="0" w:afterAutospacing="0"/>
                    <w:ind w:left="0" w:right="0"/>
                    <w:jc w:val="center"/>
                    <w:rPr>
                      <w:rFonts w:hint="default"/>
                      <w:color w:val="auto"/>
                      <w:kern w:val="0"/>
                      <w:sz w:val="21"/>
                      <w:szCs w:val="21"/>
                    </w:rPr>
                  </w:pPr>
                </w:p>
              </w:tc>
            </w:tr>
            <w:tr w14:paraId="57EB086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dxa"/>
                  <w:vMerge w:val="continue"/>
                  <w:noWrap w:val="0"/>
                  <w:vAlign w:val="center"/>
                </w:tcPr>
                <w:p w14:paraId="1F1E1E12">
                  <w:pPr>
                    <w:keepNext w:val="0"/>
                    <w:keepLines w:val="0"/>
                    <w:suppressLineNumbers w:val="0"/>
                    <w:spacing w:before="0" w:beforeAutospacing="0" w:after="0" w:afterAutospacing="0"/>
                    <w:ind w:left="0" w:right="0"/>
                    <w:jc w:val="center"/>
                    <w:rPr>
                      <w:rFonts w:hint="eastAsia"/>
                      <w:color w:val="auto"/>
                      <w:kern w:val="0"/>
                      <w:sz w:val="21"/>
                      <w:szCs w:val="21"/>
                      <w:lang w:val="en-US" w:eastAsia="zh-CN"/>
                    </w:rPr>
                  </w:pPr>
                </w:p>
              </w:tc>
              <w:tc>
                <w:tcPr>
                  <w:tcW w:w="807" w:type="dxa"/>
                  <w:noWrap w:val="0"/>
                  <w:vAlign w:val="center"/>
                </w:tcPr>
                <w:p w14:paraId="2916BD6B">
                  <w:pPr>
                    <w:keepNext w:val="0"/>
                    <w:keepLines w:val="0"/>
                    <w:suppressLineNumbers w:val="0"/>
                    <w:spacing w:before="0" w:beforeAutospacing="0" w:after="0" w:afterAutospacing="0" w:line="240" w:lineRule="auto"/>
                    <w:ind w:left="0" w:right="0"/>
                    <w:jc w:val="center"/>
                    <w:rPr>
                      <w:rFonts w:hint="default" w:ascii="Times New Roman" w:eastAsia="宋体"/>
                      <w:color w:val="auto"/>
                      <w:sz w:val="21"/>
                      <w:szCs w:val="21"/>
                      <w:lang w:val="en-US" w:eastAsia="zh-CN"/>
                    </w:rPr>
                  </w:pPr>
                  <w:r>
                    <w:rPr>
                      <w:rFonts w:hint="eastAsia"/>
                      <w:color w:val="auto"/>
                      <w:sz w:val="21"/>
                      <w:szCs w:val="21"/>
                      <w:lang w:val="en-US" w:eastAsia="zh-CN"/>
                    </w:rPr>
                    <w:t>色度</w:t>
                  </w:r>
                </w:p>
              </w:tc>
              <w:tc>
                <w:tcPr>
                  <w:tcW w:w="425" w:type="dxa"/>
                  <w:vMerge w:val="continue"/>
                  <w:noWrap w:val="0"/>
                  <w:vAlign w:val="center"/>
                </w:tcPr>
                <w:p w14:paraId="56F03901">
                  <w:pPr>
                    <w:keepNext w:val="0"/>
                    <w:keepLines w:val="0"/>
                    <w:suppressLineNumbers w:val="0"/>
                    <w:spacing w:before="0" w:beforeAutospacing="0" w:after="0" w:afterAutospacing="0"/>
                    <w:ind w:left="0" w:right="0"/>
                    <w:jc w:val="center"/>
                    <w:rPr>
                      <w:rFonts w:hint="default"/>
                      <w:color w:val="auto"/>
                      <w:kern w:val="0"/>
                      <w:sz w:val="21"/>
                      <w:szCs w:val="21"/>
                    </w:rPr>
                  </w:pPr>
                </w:p>
              </w:tc>
              <w:tc>
                <w:tcPr>
                  <w:tcW w:w="1053" w:type="dxa"/>
                  <w:vMerge w:val="continue"/>
                  <w:noWrap w:val="0"/>
                  <w:vAlign w:val="center"/>
                </w:tcPr>
                <w:p w14:paraId="7764A658">
                  <w:pPr>
                    <w:keepNext w:val="0"/>
                    <w:keepLines w:val="0"/>
                    <w:suppressLineNumbers w:val="0"/>
                    <w:spacing w:before="0" w:beforeAutospacing="0" w:after="0" w:afterAutospacing="0"/>
                    <w:ind w:left="0" w:right="0"/>
                    <w:jc w:val="center"/>
                    <w:rPr>
                      <w:rFonts w:hint="eastAsia"/>
                      <w:color w:val="auto"/>
                      <w:kern w:val="0"/>
                      <w:sz w:val="21"/>
                      <w:szCs w:val="21"/>
                    </w:rPr>
                  </w:pPr>
                </w:p>
              </w:tc>
              <w:tc>
                <w:tcPr>
                  <w:tcW w:w="687" w:type="dxa"/>
                  <w:noWrap w:val="0"/>
                  <w:vAlign w:val="center"/>
                </w:tcPr>
                <w:p w14:paraId="68AB42F3">
                  <w:pPr>
                    <w:keepNext w:val="0"/>
                    <w:keepLines w:val="0"/>
                    <w:suppressLineNumbers w:val="0"/>
                    <w:spacing w:before="0" w:beforeAutospacing="0" w:after="0" w:afterAutospacing="0"/>
                    <w:ind w:left="0" w:right="0"/>
                    <w:jc w:val="center"/>
                    <w:rPr>
                      <w:rFonts w:hint="default" w:ascii="Times New Roman" w:eastAsia="宋体"/>
                      <w:color w:val="auto"/>
                      <w:sz w:val="21"/>
                      <w:szCs w:val="21"/>
                      <w:lang w:val="en-US" w:eastAsia="zh-CN"/>
                    </w:rPr>
                  </w:pPr>
                  <w:r>
                    <w:rPr>
                      <w:rFonts w:hint="eastAsia"/>
                      <w:color w:val="auto"/>
                      <w:sz w:val="21"/>
                      <w:szCs w:val="21"/>
                      <w:lang w:val="en-US" w:eastAsia="zh-CN"/>
                    </w:rPr>
                    <w:t>300</w:t>
                  </w:r>
                </w:p>
              </w:tc>
              <w:tc>
                <w:tcPr>
                  <w:tcW w:w="624" w:type="dxa"/>
                  <w:noWrap w:val="0"/>
                  <w:vAlign w:val="center"/>
                </w:tcPr>
                <w:p w14:paraId="01EC19A5">
                  <w:pPr>
                    <w:keepNext w:val="0"/>
                    <w:keepLines w:val="0"/>
                    <w:suppressLineNumbers w:val="0"/>
                    <w:spacing w:before="0" w:beforeAutospacing="0" w:after="0" w:afterAutospacing="0"/>
                    <w:ind w:left="0" w:right="0"/>
                    <w:jc w:val="center"/>
                    <w:rPr>
                      <w:rFonts w:hint="default" w:ascii="Times New Roman" w:eastAsia="宋体"/>
                      <w:color w:val="auto"/>
                      <w:sz w:val="21"/>
                      <w:szCs w:val="21"/>
                      <w:lang w:val="en-US" w:eastAsia="zh-CN"/>
                    </w:rPr>
                  </w:pPr>
                  <w:r>
                    <w:rPr>
                      <w:rFonts w:hint="eastAsia"/>
                      <w:color w:val="auto"/>
                      <w:sz w:val="21"/>
                      <w:szCs w:val="21"/>
                      <w:lang w:val="en-US" w:eastAsia="zh-CN"/>
                    </w:rPr>
                    <w:t>8.49</w:t>
                  </w:r>
                </w:p>
              </w:tc>
              <w:tc>
                <w:tcPr>
                  <w:tcW w:w="807" w:type="dxa"/>
                  <w:vMerge w:val="continue"/>
                  <w:noWrap w:val="0"/>
                  <w:vAlign w:val="center"/>
                </w:tcPr>
                <w:p w14:paraId="4C4EEB1A">
                  <w:pPr>
                    <w:keepNext w:val="0"/>
                    <w:keepLines w:val="0"/>
                    <w:suppressLineNumbers w:val="0"/>
                    <w:spacing w:before="0" w:beforeAutospacing="0" w:after="0" w:afterAutospacing="0"/>
                    <w:ind w:left="0" w:right="0"/>
                    <w:jc w:val="center"/>
                    <w:rPr>
                      <w:rFonts w:hint="eastAsia"/>
                      <w:color w:val="auto"/>
                      <w:sz w:val="21"/>
                      <w:szCs w:val="21"/>
                    </w:rPr>
                  </w:pPr>
                </w:p>
              </w:tc>
              <w:tc>
                <w:tcPr>
                  <w:tcW w:w="600" w:type="dxa"/>
                  <w:noWrap w:val="0"/>
                  <w:vAlign w:val="center"/>
                </w:tcPr>
                <w:p w14:paraId="35450A26">
                  <w:pPr>
                    <w:keepNext w:val="0"/>
                    <w:keepLines w:val="0"/>
                    <w:suppressLineNumbers w:val="0"/>
                    <w:spacing w:before="0" w:beforeAutospacing="0" w:after="0" w:afterAutospacing="0"/>
                    <w:ind w:left="0" w:right="0"/>
                    <w:jc w:val="center"/>
                    <w:rPr>
                      <w:rFonts w:hint="default" w:ascii="Times New Roman" w:eastAsia="宋体"/>
                      <w:color w:val="auto"/>
                      <w:kern w:val="0"/>
                      <w:sz w:val="21"/>
                      <w:szCs w:val="21"/>
                      <w:lang w:val="en-US" w:eastAsia="zh-CN"/>
                    </w:rPr>
                  </w:pPr>
                  <w:r>
                    <w:rPr>
                      <w:rFonts w:hint="eastAsia"/>
                      <w:color w:val="auto"/>
                      <w:kern w:val="0"/>
                      <w:sz w:val="21"/>
                      <w:szCs w:val="21"/>
                      <w:lang w:val="en-US" w:eastAsia="zh-CN"/>
                    </w:rPr>
                    <w:t>97.3</w:t>
                  </w:r>
                </w:p>
              </w:tc>
              <w:tc>
                <w:tcPr>
                  <w:tcW w:w="549" w:type="dxa"/>
                  <w:noWrap w:val="0"/>
                  <w:vAlign w:val="center"/>
                </w:tcPr>
                <w:p w14:paraId="277416A3">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0" w:type="dxa"/>
                  <w:noWrap w:val="0"/>
                  <w:vAlign w:val="center"/>
                </w:tcPr>
                <w:p w14:paraId="0BC78535">
                  <w:pPr>
                    <w:keepNext w:val="0"/>
                    <w:keepLines w:val="0"/>
                    <w:suppressLineNumbers w:val="0"/>
                    <w:spacing w:before="0" w:beforeAutospacing="0" w:after="0" w:afterAutospacing="0"/>
                    <w:ind w:left="0" w:right="0"/>
                    <w:jc w:val="center"/>
                    <w:rPr>
                      <w:rFonts w:hint="default"/>
                      <w:color w:val="auto"/>
                      <w:kern w:val="0"/>
                      <w:sz w:val="21"/>
                      <w:szCs w:val="21"/>
                    </w:rPr>
                  </w:pPr>
                </w:p>
              </w:tc>
              <w:tc>
                <w:tcPr>
                  <w:tcW w:w="687" w:type="dxa"/>
                  <w:noWrap w:val="0"/>
                  <w:vAlign w:val="center"/>
                </w:tcPr>
                <w:p w14:paraId="7A922A67">
                  <w:pPr>
                    <w:keepNext w:val="0"/>
                    <w:keepLines w:val="0"/>
                    <w:suppressLineNumbers w:val="0"/>
                    <w:spacing w:before="0" w:beforeAutospacing="0" w:after="0" w:afterAutospacing="0"/>
                    <w:ind w:left="0" w:leftChars="0" w:right="0" w:rightChars="0"/>
                    <w:jc w:val="center"/>
                    <w:rPr>
                      <w:rFonts w:hint="default" w:ascii="Times New Roman" w:eastAsia="宋体"/>
                      <w:color w:val="auto"/>
                      <w:kern w:val="0"/>
                      <w:sz w:val="21"/>
                      <w:szCs w:val="21"/>
                      <w:lang w:val="en-US" w:eastAsia="zh-CN"/>
                    </w:rPr>
                  </w:pPr>
                  <w:r>
                    <w:rPr>
                      <w:rFonts w:hint="eastAsia"/>
                      <w:color w:val="auto"/>
                      <w:kern w:val="0"/>
                      <w:sz w:val="21"/>
                      <w:szCs w:val="21"/>
                      <w:lang w:val="en-US" w:eastAsia="zh-CN"/>
                    </w:rPr>
                    <w:t>8.1</w:t>
                  </w:r>
                </w:p>
              </w:tc>
              <w:tc>
                <w:tcPr>
                  <w:tcW w:w="1072" w:type="dxa"/>
                  <w:noWrap w:val="0"/>
                  <w:vAlign w:val="center"/>
                </w:tcPr>
                <w:p w14:paraId="2C81D8FD">
                  <w:pPr>
                    <w:keepNext w:val="0"/>
                    <w:keepLines w:val="0"/>
                    <w:suppressLineNumbers w:val="0"/>
                    <w:spacing w:before="0" w:beforeAutospacing="0" w:after="0" w:afterAutospacing="0"/>
                    <w:ind w:left="0" w:right="0"/>
                    <w:jc w:val="center"/>
                    <w:rPr>
                      <w:rFonts w:hint="default"/>
                      <w:color w:val="auto"/>
                      <w:kern w:val="0"/>
                      <w:sz w:val="21"/>
                      <w:szCs w:val="21"/>
                      <w:lang w:val="en-US" w:eastAsia="zh-CN"/>
                    </w:rPr>
                  </w:pPr>
                  <w:r>
                    <w:rPr>
                      <w:rFonts w:hint="eastAsia"/>
                      <w:color w:val="auto"/>
                      <w:kern w:val="0"/>
                      <w:sz w:val="21"/>
                      <w:szCs w:val="21"/>
                      <w:lang w:val="en-US" w:eastAsia="zh-CN"/>
                    </w:rPr>
                    <w:t>0.23</w:t>
                  </w:r>
                </w:p>
              </w:tc>
              <w:tc>
                <w:tcPr>
                  <w:tcW w:w="459" w:type="dxa"/>
                  <w:vMerge w:val="continue"/>
                  <w:noWrap w:val="0"/>
                  <w:vAlign w:val="center"/>
                </w:tcPr>
                <w:p w14:paraId="29A0B07D">
                  <w:pPr>
                    <w:keepNext w:val="0"/>
                    <w:keepLines w:val="0"/>
                    <w:suppressLineNumbers w:val="0"/>
                    <w:spacing w:before="0" w:beforeAutospacing="0" w:after="0" w:afterAutospacing="0"/>
                    <w:ind w:left="0" w:right="0"/>
                    <w:jc w:val="center"/>
                    <w:rPr>
                      <w:rFonts w:hint="default"/>
                      <w:color w:val="auto"/>
                      <w:kern w:val="0"/>
                      <w:sz w:val="21"/>
                      <w:szCs w:val="21"/>
                    </w:rPr>
                  </w:pPr>
                </w:p>
              </w:tc>
            </w:tr>
          </w:tbl>
          <w:p w14:paraId="4B63545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en-US" w:eastAsia="zh-CN"/>
              </w:rPr>
              <w:t>2、</w:t>
            </w:r>
            <w:r>
              <w:rPr>
                <w:rFonts w:hint="eastAsia"/>
                <w:color w:val="auto"/>
                <w:sz w:val="24"/>
                <w:szCs w:val="24"/>
                <w:lang w:val="en-US" w:eastAsia="zh-CN"/>
              </w:rPr>
              <w:t>污染防治措施</w:t>
            </w:r>
          </w:p>
          <w:p w14:paraId="54E4E87D">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sz w:val="24"/>
                <w:szCs w:val="24"/>
                <w:lang w:eastAsia="zh-CN"/>
              </w:rPr>
            </w:pPr>
            <w:r>
              <w:rPr>
                <w:rFonts w:hint="eastAsia" w:cs="Times New Roman"/>
                <w:color w:val="auto"/>
                <w:sz w:val="24"/>
                <w:szCs w:val="24"/>
                <w:lang w:val="en-US" w:eastAsia="zh-CN"/>
              </w:rPr>
              <w:t>本项目废水主要为生产废水和生活废水，生活废水通过污水管网排入市政管线。</w:t>
            </w:r>
            <w:r>
              <w:rPr>
                <w:rFonts w:hint="eastAsia" w:cs="Times New Roman"/>
                <w:smallCaps w:val="0"/>
                <w:color w:val="auto"/>
                <w:sz w:val="24"/>
                <w:szCs w:val="24"/>
                <w:highlight w:val="none"/>
                <w:lang w:val="en-US" w:eastAsia="zh-CN"/>
              </w:rPr>
              <w:t>生产废水包括锅炉排污水、设备清洗水、浸出废水，锅炉废水部分用于厂区洒水降尘和灰渣加湿，剩余部分和设备清洗水、浸出废水一同排入厂内污水处理站</w:t>
            </w:r>
            <w:r>
              <w:rPr>
                <w:rFonts w:hint="eastAsia" w:cs="Times New Roman"/>
                <w:color w:val="auto"/>
                <w:sz w:val="24"/>
                <w:szCs w:val="24"/>
                <w:lang w:val="en-US" w:eastAsia="zh-CN"/>
              </w:rPr>
              <w:t>，处理达标后排入市政管网，进入桦南浦华净源水务有限公司（桦南县污水处理厂）。桦南浦华净源水务有限公司（桦南县污水处理厂）水质</w:t>
            </w:r>
            <w:r>
              <w:rPr>
                <w:rFonts w:hint="eastAsia" w:eastAsia="宋体" w:cs="Times New Roman"/>
                <w:color w:val="auto"/>
                <w:sz w:val="24"/>
                <w:szCs w:val="24"/>
                <w:lang w:eastAsia="zh-CN"/>
              </w:rPr>
              <w:t>达《城镇污水处理厂污染物排放标准》（GB18918-2002）一级A标准后排放。</w:t>
            </w:r>
          </w:p>
          <w:p w14:paraId="775CF07F">
            <w:pPr>
              <w:pStyle w:val="30"/>
              <w:keepNext w:val="0"/>
              <w:keepLines w:val="0"/>
              <w:pageBreakBefore w:val="0"/>
              <w:suppressLineNumbers w:val="0"/>
              <w:kinsoku/>
              <w:wordWrap/>
              <w:overflowPunct/>
              <w:topLinePunct w:val="0"/>
              <w:autoSpaceDE/>
              <w:autoSpaceDN/>
              <w:bidi w:val="0"/>
              <w:adjustRightInd/>
              <w:snapToGrid/>
              <w:spacing w:before="0" w:beforeAutospacing="0" w:after="0" w:afterLines="0" w:afterAutospacing="0" w:line="360" w:lineRule="auto"/>
              <w:ind w:left="0" w:right="0" w:firstLine="480" w:firstLineChars="200"/>
              <w:jc w:val="both"/>
              <w:textAlignment w:val="auto"/>
              <w:rPr>
                <w:rFonts w:hint="default" w:ascii="Times New Roman" w:hAnsi="Times New Roman"/>
                <w:color w:val="auto"/>
                <w:sz w:val="24"/>
                <w:szCs w:val="24"/>
                <w:lang w:val="en-US" w:eastAsia="zh-CN"/>
              </w:rPr>
            </w:pPr>
            <w:r>
              <w:rPr>
                <w:rFonts w:hint="eastAsia"/>
                <w:color w:val="auto"/>
                <w:sz w:val="24"/>
                <w:szCs w:val="24"/>
                <w:lang w:val="en-US" w:eastAsia="zh-CN"/>
              </w:rPr>
              <w:t>3、排放口信息</w:t>
            </w:r>
          </w:p>
          <w:p w14:paraId="03AB369D">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废水污染物排放信息</w:t>
            </w:r>
            <w:r>
              <w:rPr>
                <w:rFonts w:hint="eastAsia" w:ascii="Times New Roman" w:hAnsi="Times New Roman" w:eastAsia="宋体" w:cs="Times New Roman"/>
                <w:color w:val="auto"/>
                <w:sz w:val="24"/>
                <w:szCs w:val="24"/>
                <w:lang w:val="en-US" w:eastAsia="zh-CN"/>
              </w:rPr>
              <w:t>见表4-</w:t>
            </w:r>
            <w:r>
              <w:rPr>
                <w:rFonts w:hint="eastAsia" w:cs="Times New Roman"/>
                <w:color w:val="auto"/>
                <w:sz w:val="24"/>
                <w:szCs w:val="24"/>
                <w:lang w:val="en-US" w:eastAsia="zh-CN"/>
              </w:rPr>
              <w:t>10</w:t>
            </w:r>
            <w:r>
              <w:rPr>
                <w:rFonts w:hint="eastAsia" w:ascii="Times New Roman" w:hAnsi="Times New Roman" w:eastAsia="宋体" w:cs="Times New Roman"/>
                <w:color w:val="auto"/>
                <w:sz w:val="24"/>
                <w:szCs w:val="24"/>
                <w:lang w:val="en-US" w:eastAsia="zh-CN"/>
              </w:rPr>
              <w:t>~表4-1</w:t>
            </w:r>
            <w:r>
              <w:rPr>
                <w:rFonts w:hint="eastAsia"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w:t>
            </w:r>
          </w:p>
          <w:p w14:paraId="57554B6F">
            <w:pPr>
              <w:pStyle w:val="16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表4-</w:t>
            </w:r>
            <w:r>
              <w:rPr>
                <w:rFonts w:hint="eastAsia" w:cs="Times New Roman"/>
                <w:color w:val="auto"/>
                <w:sz w:val="24"/>
                <w:szCs w:val="24"/>
                <w:lang w:val="en-US" w:eastAsia="zh-CN"/>
              </w:rPr>
              <w:t>10</w:t>
            </w:r>
            <w:r>
              <w:rPr>
                <w:rFonts w:hint="default" w:ascii="Times New Roman" w:hAnsi="Times New Roman" w:cs="Times New Roman"/>
                <w:color w:val="auto"/>
                <w:sz w:val="24"/>
                <w:szCs w:val="24"/>
              </w:rPr>
              <w:t xml:space="preserve"> 废水类别、污染物及污染治理设施信息表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8"/>
              <w:gridCol w:w="668"/>
              <w:gridCol w:w="757"/>
              <w:gridCol w:w="900"/>
              <w:gridCol w:w="829"/>
              <w:gridCol w:w="728"/>
              <w:gridCol w:w="657"/>
              <w:gridCol w:w="829"/>
              <w:gridCol w:w="781"/>
              <w:gridCol w:w="761"/>
              <w:gridCol w:w="1537"/>
            </w:tblGrid>
            <w:tr w14:paraId="7681A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41" w:type="pct"/>
                  <w:vMerge w:val="restart"/>
                  <w:tcBorders>
                    <w:tl2br w:val="nil"/>
                    <w:tr2bl w:val="nil"/>
                  </w:tcBorders>
                  <w:noWrap w:val="0"/>
                  <w:vAlign w:val="center"/>
                </w:tcPr>
                <w:p w14:paraId="1B35C51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376" w:type="pct"/>
                  <w:vMerge w:val="restart"/>
                  <w:tcBorders>
                    <w:tl2br w:val="nil"/>
                    <w:tr2bl w:val="nil"/>
                  </w:tcBorders>
                  <w:noWrap w:val="0"/>
                  <w:vAlign w:val="center"/>
                </w:tcPr>
                <w:p w14:paraId="639E2669">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废水类别</w:t>
                  </w:r>
                </w:p>
              </w:tc>
              <w:tc>
                <w:tcPr>
                  <w:tcW w:w="426" w:type="pct"/>
                  <w:vMerge w:val="restart"/>
                  <w:tcBorders>
                    <w:tl2br w:val="nil"/>
                    <w:tr2bl w:val="nil"/>
                  </w:tcBorders>
                  <w:noWrap w:val="0"/>
                  <w:vAlign w:val="center"/>
                </w:tcPr>
                <w:p w14:paraId="1D41D2B2">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污染物种类</w:t>
                  </w:r>
                </w:p>
              </w:tc>
              <w:tc>
                <w:tcPr>
                  <w:tcW w:w="507" w:type="pct"/>
                  <w:vMerge w:val="restart"/>
                  <w:tcBorders>
                    <w:tl2br w:val="nil"/>
                    <w:tr2bl w:val="nil"/>
                  </w:tcBorders>
                  <w:noWrap w:val="0"/>
                  <w:vAlign w:val="center"/>
                </w:tcPr>
                <w:p w14:paraId="2C7AFD5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排放去向</w:t>
                  </w:r>
                </w:p>
              </w:tc>
              <w:tc>
                <w:tcPr>
                  <w:tcW w:w="467" w:type="pct"/>
                  <w:vMerge w:val="restart"/>
                  <w:tcBorders>
                    <w:tl2br w:val="nil"/>
                    <w:tr2bl w:val="nil"/>
                  </w:tcBorders>
                  <w:noWrap w:val="0"/>
                  <w:vAlign w:val="center"/>
                </w:tcPr>
                <w:p w14:paraId="08A412CA">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排放规律</w:t>
                  </w:r>
                </w:p>
              </w:tc>
              <w:tc>
                <w:tcPr>
                  <w:tcW w:w="1247" w:type="pct"/>
                  <w:gridSpan w:val="3"/>
                  <w:tcBorders>
                    <w:tl2br w:val="nil"/>
                    <w:tr2bl w:val="nil"/>
                  </w:tcBorders>
                  <w:noWrap w:val="0"/>
                  <w:vAlign w:val="center"/>
                </w:tcPr>
                <w:p w14:paraId="0517B7C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污染治理设施</w:t>
                  </w:r>
                </w:p>
              </w:tc>
              <w:tc>
                <w:tcPr>
                  <w:tcW w:w="440" w:type="pct"/>
                  <w:vMerge w:val="restart"/>
                  <w:tcBorders>
                    <w:tl2br w:val="nil"/>
                    <w:tr2bl w:val="nil"/>
                  </w:tcBorders>
                  <w:noWrap w:val="0"/>
                  <w:vAlign w:val="center"/>
                </w:tcPr>
                <w:p w14:paraId="6AF8364B">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tc>
              <w:tc>
                <w:tcPr>
                  <w:tcW w:w="428" w:type="pct"/>
                  <w:vMerge w:val="restart"/>
                  <w:tcBorders>
                    <w:tl2br w:val="nil"/>
                    <w:tr2bl w:val="nil"/>
                  </w:tcBorders>
                  <w:noWrap w:val="0"/>
                  <w:vAlign w:val="center"/>
                </w:tcPr>
                <w:p w14:paraId="4789D6D1">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排放口设置是否符合要求</w:t>
                  </w:r>
                </w:p>
              </w:tc>
              <w:tc>
                <w:tcPr>
                  <w:tcW w:w="865" w:type="pct"/>
                  <w:vMerge w:val="restart"/>
                  <w:tcBorders>
                    <w:tl2br w:val="nil"/>
                    <w:tr2bl w:val="nil"/>
                  </w:tcBorders>
                  <w:noWrap w:val="0"/>
                  <w:vAlign w:val="center"/>
                </w:tcPr>
                <w:p w14:paraId="1ADE8D33">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排放口类型</w:t>
                  </w:r>
                </w:p>
              </w:tc>
            </w:tr>
            <w:tr w14:paraId="27542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241" w:type="pct"/>
                  <w:vMerge w:val="continue"/>
                  <w:tcBorders>
                    <w:tl2br w:val="nil"/>
                    <w:tr2bl w:val="nil"/>
                  </w:tcBorders>
                  <w:noWrap w:val="0"/>
                  <w:vAlign w:val="center"/>
                </w:tcPr>
                <w:p w14:paraId="14D80F67">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376" w:type="pct"/>
                  <w:vMerge w:val="continue"/>
                  <w:tcBorders>
                    <w:tl2br w:val="nil"/>
                    <w:tr2bl w:val="nil"/>
                  </w:tcBorders>
                  <w:noWrap w:val="0"/>
                  <w:vAlign w:val="center"/>
                </w:tcPr>
                <w:p w14:paraId="7D5F0E73">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426" w:type="pct"/>
                  <w:vMerge w:val="continue"/>
                  <w:tcBorders>
                    <w:tl2br w:val="nil"/>
                    <w:tr2bl w:val="nil"/>
                  </w:tcBorders>
                  <w:noWrap w:val="0"/>
                  <w:vAlign w:val="center"/>
                </w:tcPr>
                <w:p w14:paraId="1C47F7D6">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507" w:type="pct"/>
                  <w:vMerge w:val="continue"/>
                  <w:tcBorders>
                    <w:tl2br w:val="nil"/>
                    <w:tr2bl w:val="nil"/>
                  </w:tcBorders>
                  <w:noWrap w:val="0"/>
                  <w:vAlign w:val="center"/>
                </w:tcPr>
                <w:p w14:paraId="6B034F4D">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467" w:type="pct"/>
                  <w:vMerge w:val="continue"/>
                  <w:tcBorders>
                    <w:tl2br w:val="nil"/>
                    <w:tr2bl w:val="nil"/>
                  </w:tcBorders>
                  <w:noWrap w:val="0"/>
                  <w:vAlign w:val="center"/>
                </w:tcPr>
                <w:p w14:paraId="05F937D8">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410" w:type="pct"/>
                  <w:tcBorders>
                    <w:tl2br w:val="nil"/>
                    <w:tr2bl w:val="nil"/>
                  </w:tcBorders>
                  <w:noWrap w:val="0"/>
                  <w:vAlign w:val="center"/>
                </w:tcPr>
                <w:p w14:paraId="79A24CA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污染治理设施编号</w:t>
                  </w:r>
                </w:p>
              </w:tc>
              <w:tc>
                <w:tcPr>
                  <w:tcW w:w="370" w:type="pct"/>
                  <w:tcBorders>
                    <w:tl2br w:val="nil"/>
                    <w:tr2bl w:val="nil"/>
                  </w:tcBorders>
                  <w:noWrap w:val="0"/>
                  <w:vAlign w:val="center"/>
                </w:tcPr>
                <w:p w14:paraId="499E08B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污染治理设施名称</w:t>
                  </w:r>
                </w:p>
              </w:tc>
              <w:tc>
                <w:tcPr>
                  <w:tcW w:w="467" w:type="pct"/>
                  <w:tcBorders>
                    <w:tl2br w:val="nil"/>
                    <w:tr2bl w:val="nil"/>
                  </w:tcBorders>
                  <w:noWrap w:val="0"/>
                  <w:vAlign w:val="center"/>
                </w:tcPr>
                <w:p w14:paraId="173F750F">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污染治理设施工艺</w:t>
                  </w:r>
                </w:p>
              </w:tc>
              <w:tc>
                <w:tcPr>
                  <w:tcW w:w="440" w:type="pct"/>
                  <w:vMerge w:val="continue"/>
                  <w:tcBorders>
                    <w:tl2br w:val="nil"/>
                    <w:tr2bl w:val="nil"/>
                  </w:tcBorders>
                  <w:noWrap w:val="0"/>
                  <w:vAlign w:val="center"/>
                </w:tcPr>
                <w:p w14:paraId="4A3B8CBA">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428" w:type="pct"/>
                  <w:vMerge w:val="continue"/>
                  <w:tcBorders>
                    <w:tl2br w:val="nil"/>
                    <w:tr2bl w:val="nil"/>
                  </w:tcBorders>
                  <w:noWrap w:val="0"/>
                  <w:vAlign w:val="center"/>
                </w:tcPr>
                <w:p w14:paraId="6074F1C1">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865" w:type="pct"/>
                  <w:vMerge w:val="continue"/>
                  <w:tcBorders>
                    <w:tl2br w:val="nil"/>
                    <w:tr2bl w:val="nil"/>
                  </w:tcBorders>
                  <w:noWrap w:val="0"/>
                  <w:vAlign w:val="center"/>
                </w:tcPr>
                <w:p w14:paraId="0EE9B2BD">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r>
            <w:tr w14:paraId="5B59E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41" w:type="pct"/>
                  <w:tcBorders>
                    <w:tl2br w:val="nil"/>
                    <w:tr2bl w:val="nil"/>
                  </w:tcBorders>
                  <w:noWrap w:val="0"/>
                  <w:vAlign w:val="center"/>
                </w:tcPr>
                <w:p w14:paraId="21AE9F6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376" w:type="pct"/>
                  <w:tcBorders>
                    <w:tl2br w:val="nil"/>
                    <w:tr2bl w:val="nil"/>
                  </w:tcBorders>
                  <w:noWrap w:val="0"/>
                  <w:vAlign w:val="center"/>
                </w:tcPr>
                <w:p w14:paraId="7A7DADCD">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生活污水</w:t>
                  </w:r>
                </w:p>
              </w:tc>
              <w:tc>
                <w:tcPr>
                  <w:tcW w:w="426" w:type="pct"/>
                  <w:tcBorders>
                    <w:tl2br w:val="nil"/>
                    <w:tr2bl w:val="nil"/>
                  </w:tcBorders>
                  <w:noWrap w:val="0"/>
                  <w:vAlign w:val="center"/>
                </w:tcPr>
                <w:p w14:paraId="228BD750">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eastAsia="zh-CN"/>
                    </w:rPr>
                    <w:t>COD、BOD</w:t>
                  </w:r>
                  <w:r>
                    <w:rPr>
                      <w:rFonts w:hint="default" w:ascii="Times New Roman" w:hAnsi="Times New Roman" w:cs="Times New Roman"/>
                      <w:color w:val="auto"/>
                      <w:szCs w:val="21"/>
                      <w:highlight w:val="none"/>
                      <w:vertAlign w:val="subscript"/>
                      <w:lang w:eastAsia="zh-CN"/>
                    </w:rPr>
                    <w:t>5</w:t>
                  </w:r>
                  <w:r>
                    <w:rPr>
                      <w:rFonts w:hint="default" w:ascii="Times New Roman" w:hAnsi="Times New Roman" w:cs="Times New Roman"/>
                      <w:color w:val="auto"/>
                      <w:szCs w:val="21"/>
                      <w:highlight w:val="none"/>
                      <w:lang w:eastAsia="zh-CN"/>
                    </w:rPr>
                    <w:t>、SS、氨氮</w:t>
                  </w:r>
                  <w:r>
                    <w:rPr>
                      <w:rFonts w:hint="eastAsia" w:cs="Times New Roman"/>
                      <w:color w:val="auto"/>
                      <w:szCs w:val="21"/>
                      <w:highlight w:val="none"/>
                      <w:lang w:eastAsia="zh-CN"/>
                    </w:rPr>
                    <w:t>、</w:t>
                  </w:r>
                  <w:r>
                    <w:rPr>
                      <w:rFonts w:hint="eastAsia" w:cs="Times New Roman"/>
                      <w:color w:val="auto"/>
                      <w:szCs w:val="21"/>
                      <w:highlight w:val="none"/>
                      <w:lang w:val="en-US" w:eastAsia="zh-CN"/>
                    </w:rPr>
                    <w:t>动植物油</w:t>
                  </w:r>
                </w:p>
              </w:tc>
              <w:tc>
                <w:tcPr>
                  <w:tcW w:w="507" w:type="pct"/>
                  <w:tcBorders>
                    <w:tl2br w:val="nil"/>
                    <w:tr2bl w:val="nil"/>
                  </w:tcBorders>
                  <w:noWrap w:val="0"/>
                  <w:vAlign w:val="center"/>
                </w:tcPr>
                <w:p w14:paraId="79999D95">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通过市政管网，排入</w:t>
                  </w:r>
                  <w:r>
                    <w:rPr>
                      <w:rFonts w:hint="eastAsia" w:ascii="Times New Roman" w:hAnsi="Times New Roman" w:cs="Times New Roman"/>
                      <w:color w:val="auto"/>
                      <w:szCs w:val="21"/>
                      <w:highlight w:val="none"/>
                      <w:lang w:val="en-US" w:eastAsia="zh-CN"/>
                    </w:rPr>
                    <w:t>桦南浦华净源水务有限公司（</w:t>
                  </w:r>
                  <w:r>
                    <w:rPr>
                      <w:rFonts w:hint="eastAsia" w:cs="Times New Roman"/>
                      <w:color w:val="auto"/>
                      <w:szCs w:val="21"/>
                      <w:highlight w:val="none"/>
                      <w:lang w:val="en-US" w:eastAsia="zh-CN"/>
                    </w:rPr>
                    <w:t>桦南浦华净源水务有限公司（桦南县污水处理厂）</w:t>
                  </w:r>
                  <w:r>
                    <w:rPr>
                      <w:rFonts w:hint="eastAsia" w:ascii="Times New Roman" w:hAnsi="Times New Roman" w:cs="Times New Roman"/>
                      <w:color w:val="auto"/>
                      <w:szCs w:val="21"/>
                      <w:highlight w:val="none"/>
                      <w:lang w:val="en-US" w:eastAsia="zh-CN"/>
                    </w:rPr>
                    <w:t>）</w:t>
                  </w:r>
                </w:p>
              </w:tc>
              <w:tc>
                <w:tcPr>
                  <w:tcW w:w="467" w:type="pct"/>
                  <w:tcBorders>
                    <w:tl2br w:val="nil"/>
                    <w:tr2bl w:val="nil"/>
                  </w:tcBorders>
                  <w:noWrap w:val="0"/>
                  <w:vAlign w:val="center"/>
                </w:tcPr>
                <w:p w14:paraId="5C4F6B67">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间接排放，排放期间流量稳定</w:t>
                  </w:r>
                </w:p>
              </w:tc>
              <w:tc>
                <w:tcPr>
                  <w:tcW w:w="410" w:type="pct"/>
                  <w:tcBorders>
                    <w:tl2br w:val="nil"/>
                    <w:tr2bl w:val="nil"/>
                  </w:tcBorders>
                  <w:noWrap w:val="0"/>
                  <w:vAlign w:val="center"/>
                </w:tcPr>
                <w:p w14:paraId="11886F75">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w:t>
                  </w:r>
                </w:p>
              </w:tc>
              <w:tc>
                <w:tcPr>
                  <w:tcW w:w="370" w:type="pct"/>
                  <w:tcBorders>
                    <w:tl2br w:val="nil"/>
                    <w:tr2bl w:val="nil"/>
                  </w:tcBorders>
                  <w:noWrap w:val="0"/>
                  <w:vAlign w:val="center"/>
                </w:tcPr>
                <w:p w14:paraId="4A34FB3F">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467" w:type="pct"/>
                  <w:tcBorders>
                    <w:tl2br w:val="nil"/>
                    <w:tr2bl w:val="nil"/>
                  </w:tcBorders>
                  <w:noWrap w:val="0"/>
                  <w:vAlign w:val="center"/>
                </w:tcPr>
                <w:p w14:paraId="419BD570">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b w:val="0"/>
                      <w:bCs w:val="0"/>
                      <w:color w:val="auto"/>
                      <w:highlight w:val="none"/>
                      <w:lang w:val="en-US" w:eastAsia="zh-CN"/>
                    </w:rPr>
                    <w:t>/</w:t>
                  </w:r>
                </w:p>
              </w:tc>
              <w:tc>
                <w:tcPr>
                  <w:tcW w:w="440" w:type="pct"/>
                  <w:tcBorders>
                    <w:tl2br w:val="nil"/>
                    <w:tr2bl w:val="nil"/>
                  </w:tcBorders>
                  <w:noWrap w:val="0"/>
                  <w:vAlign w:val="center"/>
                </w:tcPr>
                <w:p w14:paraId="42AB43B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DW001</w:t>
                  </w:r>
                </w:p>
              </w:tc>
              <w:tc>
                <w:tcPr>
                  <w:tcW w:w="428" w:type="pct"/>
                  <w:vMerge w:val="restart"/>
                  <w:tcBorders>
                    <w:tl2br w:val="nil"/>
                    <w:tr2bl w:val="nil"/>
                  </w:tcBorders>
                  <w:noWrap w:val="0"/>
                  <w:vAlign w:val="center"/>
                </w:tcPr>
                <w:p w14:paraId="44670BCB">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是</w:t>
                  </w:r>
                  <w:r>
                    <w:rPr>
                      <w:rFonts w:hint="default" w:ascii="Times New Roman" w:hAnsi="Times New Roman" w:cs="Times New Roman"/>
                      <w:bCs/>
                      <w:color w:val="auto"/>
                      <w:kern w:val="0"/>
                      <w:szCs w:val="21"/>
                      <w:highlight w:val="none"/>
                    </w:rPr>
                    <w:t>√</w:t>
                  </w:r>
                </w:p>
                <w:p w14:paraId="5248B05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否</w:t>
                  </w:r>
                  <w:r>
                    <w:rPr>
                      <w:rFonts w:hint="default" w:ascii="Times New Roman" w:hAnsi="Times New Roman" w:cs="Times New Roman"/>
                      <w:bCs/>
                      <w:color w:val="auto"/>
                      <w:kern w:val="0"/>
                      <w:szCs w:val="21"/>
                      <w:highlight w:val="none"/>
                    </w:rPr>
                    <w:t>□</w:t>
                  </w:r>
                </w:p>
              </w:tc>
              <w:tc>
                <w:tcPr>
                  <w:tcW w:w="865" w:type="pct"/>
                  <w:vMerge w:val="restart"/>
                  <w:tcBorders>
                    <w:tl2br w:val="nil"/>
                    <w:tr2bl w:val="nil"/>
                  </w:tcBorders>
                  <w:noWrap w:val="0"/>
                  <w:vAlign w:val="center"/>
                </w:tcPr>
                <w:p w14:paraId="6D5FE0B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√企业总排</w:t>
                  </w:r>
                </w:p>
                <w:p w14:paraId="77028938">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□雨水总排</w:t>
                  </w:r>
                </w:p>
                <w:p w14:paraId="6F7B89A9">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□清净下水排放</w:t>
                  </w:r>
                </w:p>
                <w:p w14:paraId="1745DF05">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bCs/>
                      <w:color w:val="auto"/>
                      <w:kern w:val="0"/>
                      <w:szCs w:val="21"/>
                      <w:highlight w:val="none"/>
                    </w:rPr>
                  </w:pPr>
                  <w:r>
                    <w:rPr>
                      <w:rFonts w:hint="default" w:ascii="Times New Roman" w:hAnsi="Times New Roman" w:cs="Times New Roman"/>
                      <w:bCs/>
                      <w:color w:val="auto"/>
                      <w:kern w:val="0"/>
                      <w:szCs w:val="21"/>
                      <w:highlight w:val="none"/>
                    </w:rPr>
                    <w:t>□温排水排放</w:t>
                  </w:r>
                </w:p>
                <w:p w14:paraId="4AC8A121">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bCs/>
                      <w:color w:val="auto"/>
                      <w:kern w:val="0"/>
                      <w:szCs w:val="21"/>
                      <w:highlight w:val="none"/>
                    </w:rPr>
                    <w:t>□车间或车间处理设施排放口</w:t>
                  </w:r>
                </w:p>
              </w:tc>
            </w:tr>
            <w:tr w14:paraId="0C4B2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41" w:type="pct"/>
                  <w:tcBorders>
                    <w:tl2br w:val="nil"/>
                    <w:tr2bl w:val="nil"/>
                  </w:tcBorders>
                  <w:noWrap w:val="0"/>
                  <w:vAlign w:val="center"/>
                </w:tcPr>
                <w:p w14:paraId="15240973">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376" w:type="pct"/>
                  <w:tcBorders>
                    <w:tl2br w:val="nil"/>
                    <w:tr2bl w:val="nil"/>
                  </w:tcBorders>
                  <w:noWrap w:val="0"/>
                  <w:vAlign w:val="center"/>
                </w:tcPr>
                <w:p w14:paraId="1D83F0FD">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生产废水</w:t>
                  </w:r>
                </w:p>
              </w:tc>
              <w:tc>
                <w:tcPr>
                  <w:tcW w:w="426" w:type="pct"/>
                  <w:tcBorders>
                    <w:tl2br w:val="nil"/>
                    <w:tr2bl w:val="nil"/>
                  </w:tcBorders>
                  <w:noWrap w:val="0"/>
                  <w:vAlign w:val="center"/>
                </w:tcPr>
                <w:p w14:paraId="63525C95">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COD</w:t>
                  </w:r>
                </w:p>
              </w:tc>
              <w:tc>
                <w:tcPr>
                  <w:tcW w:w="507" w:type="pct"/>
                  <w:tcBorders>
                    <w:tl2br w:val="nil"/>
                    <w:tr2bl w:val="nil"/>
                  </w:tcBorders>
                  <w:noWrap w:val="0"/>
                  <w:vAlign w:val="center"/>
                </w:tcPr>
                <w:p w14:paraId="58153BB7">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cs="Times New Roman"/>
                      <w:color w:val="auto"/>
                      <w:szCs w:val="21"/>
                      <w:highlight w:val="none"/>
                      <w:lang w:eastAsia="zh-CN"/>
                    </w:rPr>
                  </w:pPr>
                  <w:r>
                    <w:rPr>
                      <w:rFonts w:hint="eastAsia" w:cs="Times New Roman"/>
                      <w:color w:val="auto"/>
                      <w:szCs w:val="21"/>
                      <w:highlight w:val="none"/>
                      <w:lang w:eastAsia="zh-CN"/>
                    </w:rPr>
                    <w:t>通过厂区污水处理站处理后排入</w:t>
                  </w:r>
                  <w:r>
                    <w:rPr>
                      <w:rFonts w:hint="eastAsia" w:cs="Times New Roman"/>
                      <w:color w:val="auto"/>
                      <w:szCs w:val="21"/>
                      <w:highlight w:val="none"/>
                      <w:lang w:val="en-US" w:eastAsia="zh-CN"/>
                    </w:rPr>
                    <w:t>桦南浦华净源水务有限公司（桦南浦华净源水务有限公司（桦南县污水处理厂））</w:t>
                  </w:r>
                </w:p>
              </w:tc>
              <w:tc>
                <w:tcPr>
                  <w:tcW w:w="467" w:type="pct"/>
                  <w:tcBorders>
                    <w:tl2br w:val="nil"/>
                    <w:tr2bl w:val="nil"/>
                  </w:tcBorders>
                  <w:noWrap w:val="0"/>
                  <w:vAlign w:val="center"/>
                </w:tcPr>
                <w:p w14:paraId="534832CC">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间接排放，排放期间流量稳定</w:t>
                  </w:r>
                </w:p>
              </w:tc>
              <w:tc>
                <w:tcPr>
                  <w:tcW w:w="410" w:type="pct"/>
                  <w:tcBorders>
                    <w:tl2br w:val="nil"/>
                    <w:tr2bl w:val="nil"/>
                  </w:tcBorders>
                  <w:noWrap w:val="0"/>
                  <w:vAlign w:val="center"/>
                </w:tcPr>
                <w:p w14:paraId="15718EE9">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01</w:t>
                  </w:r>
                </w:p>
              </w:tc>
              <w:tc>
                <w:tcPr>
                  <w:tcW w:w="657" w:type="dxa"/>
                  <w:tcBorders>
                    <w:tl2br w:val="nil"/>
                    <w:tr2bl w:val="nil"/>
                  </w:tcBorders>
                  <w:noWrap w:val="0"/>
                  <w:vAlign w:val="center"/>
                </w:tcPr>
                <w:p w14:paraId="2A11B9A3">
                  <w:pPr>
                    <w:keepNext w:val="0"/>
                    <w:keepLines w:val="0"/>
                    <w:suppressLineNumbers w:val="0"/>
                    <w:spacing w:before="0" w:beforeAutospacing="0" w:after="0" w:afterAutospacing="0" w:line="0" w:lineRule="atLeast"/>
                    <w:ind w:left="0" w:leftChars="0" w:right="0" w:rightChars="0"/>
                    <w:contextualSpacing/>
                    <w:jc w:val="center"/>
                    <w:rPr>
                      <w:rFonts w:hint="eastAsia"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污水处理站</w:t>
                  </w:r>
                </w:p>
              </w:tc>
              <w:tc>
                <w:tcPr>
                  <w:tcW w:w="829" w:type="dxa"/>
                  <w:tcBorders>
                    <w:tl2br w:val="nil"/>
                    <w:tr2bl w:val="nil"/>
                  </w:tcBorders>
                  <w:noWrap w:val="0"/>
                  <w:vAlign w:val="center"/>
                </w:tcPr>
                <w:p w14:paraId="097D8C83">
                  <w:pPr>
                    <w:keepNext w:val="0"/>
                    <w:keepLines w:val="0"/>
                    <w:suppressLineNumbers w:val="0"/>
                    <w:spacing w:before="0" w:beforeAutospacing="0" w:after="0" w:afterAutospacing="0" w:line="0" w:lineRule="atLeast"/>
                    <w:ind w:left="0" w:leftChars="0" w:right="0" w:rightChars="0"/>
                    <w:contextualSpacing/>
                    <w:jc w:val="center"/>
                    <w:rPr>
                      <w:rFonts w:hint="eastAsia"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隔油池+调节池+气浮+水解+UASB+兼氧池+SBR</w:t>
                  </w:r>
                </w:p>
              </w:tc>
              <w:tc>
                <w:tcPr>
                  <w:tcW w:w="440" w:type="pct"/>
                  <w:tcBorders>
                    <w:tl2br w:val="nil"/>
                    <w:tr2bl w:val="nil"/>
                  </w:tcBorders>
                  <w:noWrap w:val="0"/>
                  <w:vAlign w:val="center"/>
                </w:tcPr>
                <w:p w14:paraId="7EC8E879">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DW00</w:t>
                  </w:r>
                  <w:r>
                    <w:rPr>
                      <w:rFonts w:hint="eastAsia" w:cs="Times New Roman"/>
                      <w:color w:val="auto"/>
                      <w:szCs w:val="21"/>
                      <w:highlight w:val="none"/>
                      <w:lang w:val="en-US" w:eastAsia="zh-CN"/>
                    </w:rPr>
                    <w:t>2</w:t>
                  </w:r>
                </w:p>
              </w:tc>
              <w:tc>
                <w:tcPr>
                  <w:tcW w:w="428" w:type="pct"/>
                  <w:vMerge w:val="continue"/>
                  <w:tcBorders>
                    <w:tl2br w:val="nil"/>
                    <w:tr2bl w:val="nil"/>
                  </w:tcBorders>
                  <w:noWrap w:val="0"/>
                  <w:vAlign w:val="center"/>
                </w:tcPr>
                <w:p w14:paraId="105AEED9">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865" w:type="pct"/>
                  <w:vMerge w:val="continue"/>
                  <w:tcBorders>
                    <w:tl2br w:val="nil"/>
                    <w:tr2bl w:val="nil"/>
                  </w:tcBorders>
                  <w:noWrap w:val="0"/>
                  <w:vAlign w:val="center"/>
                </w:tcPr>
                <w:p w14:paraId="3BBB5C8A">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bCs/>
                      <w:color w:val="auto"/>
                      <w:kern w:val="0"/>
                      <w:szCs w:val="21"/>
                      <w:highlight w:val="none"/>
                    </w:rPr>
                  </w:pPr>
                </w:p>
              </w:tc>
            </w:tr>
          </w:tbl>
          <w:p w14:paraId="63DB5DC9">
            <w:pPr>
              <w:keepNext w:val="0"/>
              <w:keepLines w:val="0"/>
              <w:suppressLineNumbers w:val="0"/>
              <w:spacing w:before="0" w:beforeAutospacing="0" w:after="0" w:afterAutospacing="0" w:line="500" w:lineRule="exact"/>
              <w:ind w:left="0" w:right="0"/>
              <w:jc w:val="both"/>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val="en-US" w:eastAsia="zh-CN"/>
              </w:rPr>
              <w:t xml:space="preserve">              </w:t>
            </w:r>
            <w:r>
              <w:rPr>
                <w:rFonts w:hint="eastAsia" w:ascii="Times New Roman" w:hAnsi="Times New Roman" w:eastAsia="黑体" w:cs="Times New Roman"/>
                <w:color w:val="auto"/>
                <w:kern w:val="2"/>
                <w:sz w:val="24"/>
                <w:szCs w:val="24"/>
                <w:lang w:val="en-US" w:eastAsia="zh-CN" w:bidi="ar-SA"/>
              </w:rPr>
              <w:t xml:space="preserve">    </w:t>
            </w:r>
            <w:r>
              <w:rPr>
                <w:rFonts w:hint="default" w:ascii="Times New Roman" w:hAnsi="Times New Roman" w:eastAsia="黑体" w:cs="Times New Roman"/>
                <w:color w:val="auto"/>
                <w:kern w:val="2"/>
                <w:sz w:val="24"/>
                <w:szCs w:val="24"/>
                <w:lang w:val="en-US" w:eastAsia="zh-CN" w:bidi="ar-SA"/>
              </w:rPr>
              <w:t>表4-</w:t>
            </w:r>
            <w:r>
              <w:rPr>
                <w:rFonts w:hint="eastAsia" w:ascii="Times New Roman" w:hAnsi="Times New Roman" w:eastAsia="黑体" w:cs="Times New Roman"/>
                <w:color w:val="auto"/>
                <w:kern w:val="2"/>
                <w:sz w:val="24"/>
                <w:szCs w:val="24"/>
                <w:lang w:val="en-US" w:eastAsia="zh-CN" w:bidi="ar-SA"/>
              </w:rPr>
              <w:t>1</w:t>
            </w:r>
            <w:r>
              <w:rPr>
                <w:rFonts w:hint="eastAsia" w:eastAsia="黑体" w:cs="Times New Roman"/>
                <w:color w:val="auto"/>
                <w:kern w:val="2"/>
                <w:sz w:val="24"/>
                <w:szCs w:val="24"/>
                <w:lang w:val="en-US" w:eastAsia="zh-CN" w:bidi="ar-SA"/>
              </w:rPr>
              <w:t>1</w:t>
            </w:r>
            <w:r>
              <w:rPr>
                <w:rFonts w:hint="default" w:ascii="Times New Roman" w:hAnsi="Times New Roman" w:eastAsia="黑体" w:cs="Times New Roman"/>
                <w:color w:val="auto"/>
                <w:kern w:val="2"/>
                <w:sz w:val="24"/>
                <w:szCs w:val="24"/>
                <w:lang w:val="en-US" w:eastAsia="zh-CN" w:bidi="ar-SA"/>
              </w:rPr>
              <w:t xml:space="preserve"> 废水污染物排放执行标准表</w:t>
            </w:r>
          </w:p>
          <w:tbl>
            <w:tblPr>
              <w:tblStyle w:val="38"/>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057"/>
              <w:gridCol w:w="2540"/>
              <w:gridCol w:w="3042"/>
              <w:gridCol w:w="1751"/>
            </w:tblGrid>
            <w:tr w14:paraId="4410BB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vMerge w:val="restart"/>
                  <w:tcBorders>
                    <w:top w:val="single" w:color="auto" w:sz="12" w:space="0"/>
                    <w:left w:val="nil"/>
                  </w:tcBorders>
                  <w:noWrap w:val="0"/>
                  <w:vAlign w:val="center"/>
                </w:tcPr>
                <w:p w14:paraId="46BC9185">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595" w:type="pct"/>
                  <w:vMerge w:val="restart"/>
                  <w:tcBorders>
                    <w:top w:val="single" w:color="auto" w:sz="12" w:space="0"/>
                  </w:tcBorders>
                  <w:noWrap w:val="0"/>
                  <w:vAlign w:val="center"/>
                </w:tcPr>
                <w:p w14:paraId="1DFC2481">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tc>
              <w:tc>
                <w:tcPr>
                  <w:tcW w:w="1430" w:type="pct"/>
                  <w:vMerge w:val="restart"/>
                  <w:tcBorders>
                    <w:top w:val="single" w:color="auto" w:sz="12" w:space="0"/>
                  </w:tcBorders>
                  <w:noWrap w:val="0"/>
                  <w:vAlign w:val="center"/>
                </w:tcPr>
                <w:p w14:paraId="2CACD133">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污染物种类</w:t>
                  </w:r>
                </w:p>
              </w:tc>
              <w:tc>
                <w:tcPr>
                  <w:tcW w:w="2699" w:type="pct"/>
                  <w:gridSpan w:val="2"/>
                  <w:tcBorders>
                    <w:top w:val="single" w:color="auto" w:sz="12" w:space="0"/>
                    <w:right w:val="nil"/>
                  </w:tcBorders>
                  <w:noWrap w:val="0"/>
                  <w:vAlign w:val="center"/>
                </w:tcPr>
                <w:p w14:paraId="73623404">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国家或地方污染物排放标准及其他按规定商定的排放协议</w:t>
                  </w:r>
                </w:p>
              </w:tc>
            </w:tr>
            <w:tr w14:paraId="7820D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273" w:type="pct"/>
                  <w:vMerge w:val="continue"/>
                  <w:tcBorders>
                    <w:left w:val="nil"/>
                  </w:tcBorders>
                  <w:noWrap w:val="0"/>
                  <w:vAlign w:val="center"/>
                </w:tcPr>
                <w:p w14:paraId="460C99F2">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595" w:type="pct"/>
                  <w:vMerge w:val="continue"/>
                  <w:noWrap w:val="0"/>
                  <w:vAlign w:val="center"/>
                </w:tcPr>
                <w:p w14:paraId="46F89014">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1430" w:type="pct"/>
                  <w:vMerge w:val="continue"/>
                  <w:noWrap w:val="0"/>
                  <w:vAlign w:val="center"/>
                </w:tcPr>
                <w:p w14:paraId="5733200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1713" w:type="pct"/>
                  <w:noWrap w:val="0"/>
                  <w:vAlign w:val="center"/>
                </w:tcPr>
                <w:p w14:paraId="669943E1">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986" w:type="pct"/>
                  <w:tcBorders>
                    <w:right w:val="nil"/>
                  </w:tcBorders>
                  <w:noWrap w:val="0"/>
                  <w:vAlign w:val="center"/>
                </w:tcPr>
                <w:p w14:paraId="2D92879C">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浓度限值/(mg/L)</w:t>
                  </w:r>
                </w:p>
              </w:tc>
            </w:tr>
            <w:tr w14:paraId="731D4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273" w:type="pct"/>
                  <w:vMerge w:val="restart"/>
                  <w:tcBorders>
                    <w:left w:val="nil"/>
                  </w:tcBorders>
                  <w:noWrap w:val="0"/>
                  <w:vAlign w:val="center"/>
                </w:tcPr>
                <w:p w14:paraId="796BD9FA">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595" w:type="pct"/>
                  <w:vMerge w:val="restart"/>
                  <w:noWrap w:val="0"/>
                  <w:vAlign w:val="center"/>
                </w:tcPr>
                <w:p w14:paraId="37532C08">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DW001</w:t>
                  </w:r>
                </w:p>
              </w:tc>
              <w:tc>
                <w:tcPr>
                  <w:tcW w:w="1430" w:type="pct"/>
                  <w:noWrap w:val="0"/>
                  <w:vAlign w:val="center"/>
                </w:tcPr>
                <w:p w14:paraId="67FD5FEA">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p>
              </w:tc>
              <w:tc>
                <w:tcPr>
                  <w:tcW w:w="1713" w:type="pct"/>
                  <w:vMerge w:val="restart"/>
                  <w:noWrap w:val="0"/>
                  <w:vAlign w:val="center"/>
                </w:tcPr>
                <w:p w14:paraId="403647F8">
                  <w:pPr>
                    <w:pStyle w:val="33"/>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污水综合排放标准</w:t>
                  </w:r>
                  <w:r>
                    <w:rPr>
                      <w:rFonts w:hint="default" w:ascii="Times New Roman" w:hAnsi="Times New Roman" w:cs="Times New Roman"/>
                      <w:color w:val="auto"/>
                      <w:sz w:val="21"/>
                      <w:szCs w:val="21"/>
                      <w:highlight w:val="none"/>
                      <w:lang w:val="en-US" w:eastAsia="zh-CN"/>
                    </w:rPr>
                    <w:t xml:space="preserve">》（GB </w:t>
                  </w:r>
                  <w:r>
                    <w:rPr>
                      <w:rFonts w:hint="eastAsia" w:ascii="Times New Roman" w:hAnsi="Times New Roman" w:cs="Times New Roman"/>
                      <w:color w:val="auto"/>
                      <w:sz w:val="21"/>
                      <w:szCs w:val="21"/>
                      <w:highlight w:val="none"/>
                      <w:lang w:val="en-US" w:eastAsia="zh-CN"/>
                    </w:rPr>
                    <w:t>8978-1996</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表4中三级标准</w:t>
                  </w:r>
                </w:p>
              </w:tc>
              <w:tc>
                <w:tcPr>
                  <w:tcW w:w="986" w:type="pct"/>
                  <w:tcBorders>
                    <w:right w:val="nil"/>
                  </w:tcBorders>
                  <w:noWrap w:val="0"/>
                  <w:vAlign w:val="center"/>
                </w:tcPr>
                <w:p w14:paraId="2D81B55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Cs w:val="21"/>
                      <w:highlight w:val="none"/>
                      <w:lang w:val="en-US" w:eastAsia="zh-CN"/>
                    </w:rPr>
                    <w:t>500</w:t>
                  </w:r>
                </w:p>
              </w:tc>
            </w:tr>
            <w:tr w14:paraId="71B61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273" w:type="pct"/>
                  <w:vMerge w:val="continue"/>
                  <w:tcBorders>
                    <w:left w:val="nil"/>
                  </w:tcBorders>
                  <w:noWrap w:val="0"/>
                  <w:vAlign w:val="center"/>
                </w:tcPr>
                <w:p w14:paraId="6D156ECE">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595" w:type="pct"/>
                  <w:vMerge w:val="continue"/>
                  <w:noWrap w:val="0"/>
                  <w:vAlign w:val="center"/>
                </w:tcPr>
                <w:p w14:paraId="4D3F9E9D">
                  <w:pPr>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Cs w:val="21"/>
                      <w:highlight w:val="none"/>
                    </w:rPr>
                  </w:pPr>
                </w:p>
              </w:tc>
              <w:tc>
                <w:tcPr>
                  <w:tcW w:w="1430" w:type="pct"/>
                  <w:noWrap w:val="0"/>
                  <w:vAlign w:val="center"/>
                </w:tcPr>
                <w:p w14:paraId="1FC77034">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-N</w:t>
                  </w:r>
                </w:p>
              </w:tc>
              <w:tc>
                <w:tcPr>
                  <w:tcW w:w="1713" w:type="pct"/>
                  <w:vMerge w:val="continue"/>
                  <w:noWrap w:val="0"/>
                  <w:vAlign w:val="center"/>
                </w:tcPr>
                <w:p w14:paraId="14C2FE83">
                  <w:pPr>
                    <w:pStyle w:val="33"/>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 w:val="21"/>
                      <w:szCs w:val="21"/>
                      <w:highlight w:val="none"/>
                      <w:lang w:val="en-US" w:eastAsia="zh-CN"/>
                    </w:rPr>
                  </w:pPr>
                </w:p>
              </w:tc>
              <w:tc>
                <w:tcPr>
                  <w:tcW w:w="986" w:type="pct"/>
                  <w:tcBorders>
                    <w:right w:val="nil"/>
                  </w:tcBorders>
                  <w:noWrap w:val="0"/>
                  <w:vAlign w:val="center"/>
                </w:tcPr>
                <w:p w14:paraId="700CCD6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Cs w:val="21"/>
                      <w:highlight w:val="none"/>
                      <w:lang w:val="en-US" w:eastAsia="zh-CN"/>
                    </w:rPr>
                    <w:t>/</w:t>
                  </w:r>
                </w:p>
              </w:tc>
            </w:tr>
            <w:tr w14:paraId="05B24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trPr>
              <w:tc>
                <w:tcPr>
                  <w:tcW w:w="273" w:type="pct"/>
                  <w:tcBorders>
                    <w:left w:val="nil"/>
                    <w:bottom w:val="single" w:color="auto" w:sz="12" w:space="0"/>
                  </w:tcBorders>
                  <w:noWrap w:val="0"/>
                  <w:vAlign w:val="center"/>
                </w:tcPr>
                <w:p w14:paraId="58628FBC">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595" w:type="pct"/>
                  <w:tcBorders>
                    <w:bottom w:val="single" w:color="auto" w:sz="12" w:space="0"/>
                  </w:tcBorders>
                  <w:noWrap w:val="0"/>
                  <w:vAlign w:val="center"/>
                </w:tcPr>
                <w:p w14:paraId="344E9D5E">
                  <w:pPr>
                    <w:keepNext w:val="0"/>
                    <w:keepLines w:val="0"/>
                    <w:suppressLineNumbers w:val="0"/>
                    <w:spacing w:before="0" w:beforeAutospacing="0" w:after="0" w:afterAutospacing="0" w:line="0" w:lineRule="atLeast"/>
                    <w:ind w:left="0" w:right="0"/>
                    <w:contextualSpacing/>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DW00</w:t>
                  </w:r>
                  <w:r>
                    <w:rPr>
                      <w:rFonts w:hint="eastAsia" w:cs="Times New Roman"/>
                      <w:color w:val="auto"/>
                      <w:szCs w:val="21"/>
                      <w:highlight w:val="none"/>
                      <w:lang w:val="en-US" w:eastAsia="zh-CN"/>
                    </w:rPr>
                    <w:t>2</w:t>
                  </w:r>
                </w:p>
              </w:tc>
              <w:tc>
                <w:tcPr>
                  <w:tcW w:w="1430" w:type="pct"/>
                  <w:tcBorders>
                    <w:bottom w:val="single" w:color="auto" w:sz="12" w:space="0"/>
                  </w:tcBorders>
                  <w:noWrap w:val="0"/>
                  <w:vAlign w:val="center"/>
                </w:tcPr>
                <w:p w14:paraId="0DAF8BA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COD</w:t>
                  </w:r>
                </w:p>
              </w:tc>
              <w:tc>
                <w:tcPr>
                  <w:tcW w:w="1713" w:type="pct"/>
                  <w:vMerge w:val="continue"/>
                  <w:tcBorders>
                    <w:bottom w:val="single" w:color="auto" w:sz="12" w:space="0"/>
                  </w:tcBorders>
                  <w:noWrap w:val="0"/>
                  <w:vAlign w:val="center"/>
                </w:tcPr>
                <w:p w14:paraId="3EF1EBBC">
                  <w:pPr>
                    <w:pStyle w:val="33"/>
                    <w:keepNext w:val="0"/>
                    <w:keepLines w:val="0"/>
                    <w:suppressLineNumbers w:val="0"/>
                    <w:spacing w:before="0" w:beforeAutospacing="0" w:after="0" w:afterAutospacing="0" w:line="0" w:lineRule="atLeast"/>
                    <w:ind w:left="0" w:right="0"/>
                    <w:contextualSpacing/>
                    <w:jc w:val="center"/>
                    <w:rPr>
                      <w:rFonts w:hint="default" w:ascii="Times New Roman" w:hAnsi="Times New Roman" w:cs="Times New Roman"/>
                      <w:color w:val="auto"/>
                      <w:sz w:val="21"/>
                      <w:szCs w:val="21"/>
                      <w:highlight w:val="none"/>
                      <w:lang w:val="en-US" w:eastAsia="zh-CN"/>
                    </w:rPr>
                  </w:pPr>
                </w:p>
              </w:tc>
              <w:tc>
                <w:tcPr>
                  <w:tcW w:w="986" w:type="pct"/>
                  <w:tcBorders>
                    <w:bottom w:val="single" w:color="auto" w:sz="12" w:space="0"/>
                    <w:right w:val="nil"/>
                  </w:tcBorders>
                  <w:noWrap w:val="0"/>
                  <w:vAlign w:val="center"/>
                </w:tcPr>
                <w:p w14:paraId="7932BDC8">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500</w:t>
                  </w:r>
                </w:p>
              </w:tc>
            </w:tr>
          </w:tbl>
          <w:p w14:paraId="20DE06C3">
            <w:pPr>
              <w:keepNext w:val="0"/>
              <w:keepLines w:val="0"/>
              <w:suppressLineNumbers w:val="0"/>
              <w:spacing w:before="0" w:beforeAutospacing="0" w:after="0" w:afterAutospacing="0" w:line="500" w:lineRule="exact"/>
              <w:ind w:left="0" w:right="0"/>
              <w:jc w:val="center"/>
              <w:rPr>
                <w:rFonts w:hint="default" w:ascii="Times New Roman" w:hAnsi="Times New Roman" w:eastAsia="黑体" w:cs="Times New Roman"/>
                <w:color w:val="auto"/>
                <w:kern w:val="2"/>
                <w:sz w:val="24"/>
                <w:szCs w:val="24"/>
                <w:lang w:val="en-US" w:eastAsia="zh-CN" w:bidi="ar-SA"/>
              </w:rPr>
            </w:pPr>
            <w:r>
              <w:rPr>
                <w:rFonts w:hint="default" w:ascii="Times New Roman" w:hAnsi="Times New Roman" w:eastAsia="黑体" w:cs="Times New Roman"/>
                <w:color w:val="auto"/>
                <w:kern w:val="2"/>
                <w:sz w:val="24"/>
                <w:szCs w:val="24"/>
                <w:lang w:val="en-US" w:eastAsia="zh-CN" w:bidi="ar-SA"/>
              </w:rPr>
              <w:t>表4-</w:t>
            </w:r>
            <w:r>
              <w:rPr>
                <w:rFonts w:hint="eastAsia" w:ascii="Times New Roman" w:hAnsi="Times New Roman" w:eastAsia="黑体" w:cs="Times New Roman"/>
                <w:color w:val="auto"/>
                <w:kern w:val="2"/>
                <w:sz w:val="24"/>
                <w:szCs w:val="24"/>
                <w:lang w:val="en-US" w:eastAsia="zh-CN" w:bidi="ar-SA"/>
              </w:rPr>
              <w:t>1</w:t>
            </w:r>
            <w:r>
              <w:rPr>
                <w:rFonts w:hint="eastAsia" w:eastAsia="黑体" w:cs="Times New Roman"/>
                <w:color w:val="auto"/>
                <w:kern w:val="2"/>
                <w:sz w:val="24"/>
                <w:szCs w:val="24"/>
                <w:lang w:val="en-US" w:eastAsia="zh-CN" w:bidi="ar-SA"/>
              </w:rPr>
              <w:t>2</w:t>
            </w:r>
            <w:r>
              <w:rPr>
                <w:rFonts w:hint="default" w:ascii="Times New Roman" w:hAnsi="Times New Roman" w:eastAsia="黑体" w:cs="Times New Roman"/>
                <w:color w:val="auto"/>
                <w:kern w:val="2"/>
                <w:sz w:val="24"/>
                <w:szCs w:val="24"/>
                <w:lang w:val="en-US" w:eastAsia="zh-CN" w:bidi="ar-SA"/>
              </w:rPr>
              <w:t xml:space="preserve"> 废水间接排放口基本情况表</w:t>
            </w:r>
          </w:p>
          <w:tbl>
            <w:tblPr>
              <w:tblStyle w:val="38"/>
              <w:tblW w:w="889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535"/>
              <w:gridCol w:w="1421"/>
              <w:gridCol w:w="1187"/>
              <w:gridCol w:w="881"/>
              <w:gridCol w:w="1082"/>
              <w:gridCol w:w="426"/>
              <w:gridCol w:w="426"/>
              <w:gridCol w:w="426"/>
              <w:gridCol w:w="809"/>
              <w:gridCol w:w="1278"/>
            </w:tblGrid>
            <w:tr w14:paraId="18176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426" w:type="dxa"/>
                  <w:vMerge w:val="restart"/>
                  <w:noWrap w:val="0"/>
                  <w:vAlign w:val="center"/>
                </w:tcPr>
                <w:p w14:paraId="142F042F">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序号</w:t>
                  </w:r>
                </w:p>
              </w:tc>
              <w:tc>
                <w:tcPr>
                  <w:tcW w:w="535" w:type="dxa"/>
                  <w:vMerge w:val="restart"/>
                  <w:noWrap w:val="0"/>
                  <w:vAlign w:val="center"/>
                </w:tcPr>
                <w:p w14:paraId="13359672">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排放口编号</w:t>
                  </w:r>
                </w:p>
              </w:tc>
              <w:tc>
                <w:tcPr>
                  <w:tcW w:w="2608" w:type="dxa"/>
                  <w:gridSpan w:val="2"/>
                  <w:noWrap w:val="0"/>
                  <w:vAlign w:val="center"/>
                </w:tcPr>
                <w:p w14:paraId="64B17B04">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排放口地理坐标</w:t>
                  </w:r>
                </w:p>
              </w:tc>
              <w:tc>
                <w:tcPr>
                  <w:tcW w:w="881" w:type="dxa"/>
                  <w:vMerge w:val="restart"/>
                  <w:noWrap w:val="0"/>
                  <w:vAlign w:val="center"/>
                </w:tcPr>
                <w:p w14:paraId="67B12A3F">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废水排放量/（t/a）</w:t>
                  </w:r>
                </w:p>
              </w:tc>
              <w:tc>
                <w:tcPr>
                  <w:tcW w:w="1082" w:type="dxa"/>
                  <w:vMerge w:val="restart"/>
                  <w:noWrap w:val="0"/>
                  <w:vAlign w:val="center"/>
                </w:tcPr>
                <w:p w14:paraId="36DECC0E">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排放去向</w:t>
                  </w:r>
                </w:p>
              </w:tc>
              <w:tc>
                <w:tcPr>
                  <w:tcW w:w="426" w:type="dxa"/>
                  <w:vMerge w:val="restart"/>
                  <w:noWrap w:val="0"/>
                  <w:vAlign w:val="center"/>
                </w:tcPr>
                <w:p w14:paraId="7133F7E9">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排放规律</w:t>
                  </w:r>
                </w:p>
              </w:tc>
              <w:tc>
                <w:tcPr>
                  <w:tcW w:w="426" w:type="dxa"/>
                  <w:vMerge w:val="restart"/>
                  <w:noWrap w:val="0"/>
                  <w:vAlign w:val="center"/>
                </w:tcPr>
                <w:p w14:paraId="5877FCBC">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间歇排放时段</w:t>
                  </w:r>
                </w:p>
              </w:tc>
              <w:tc>
                <w:tcPr>
                  <w:tcW w:w="2513" w:type="dxa"/>
                  <w:gridSpan w:val="3"/>
                  <w:noWrap w:val="0"/>
                  <w:vAlign w:val="center"/>
                </w:tcPr>
                <w:p w14:paraId="5A2B7CBB">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受纳污水处理厂信息</w:t>
                  </w:r>
                </w:p>
              </w:tc>
            </w:tr>
            <w:tr w14:paraId="6EA87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0" w:hRule="atLeast"/>
              </w:trPr>
              <w:tc>
                <w:tcPr>
                  <w:tcW w:w="426" w:type="dxa"/>
                  <w:vMerge w:val="continue"/>
                  <w:noWrap w:val="0"/>
                  <w:vAlign w:val="center"/>
                </w:tcPr>
                <w:p w14:paraId="6A185121">
                  <w:pPr>
                    <w:keepNext w:val="0"/>
                    <w:keepLines w:val="0"/>
                    <w:suppressLineNumbers w:val="0"/>
                    <w:spacing w:before="0" w:beforeAutospacing="0" w:after="0" w:afterAutospacing="0"/>
                    <w:ind w:left="0" w:right="0"/>
                    <w:jc w:val="center"/>
                    <w:rPr>
                      <w:rFonts w:hint="default"/>
                      <w:color w:val="auto"/>
                      <w:szCs w:val="21"/>
                      <w:highlight w:val="none"/>
                    </w:rPr>
                  </w:pPr>
                </w:p>
              </w:tc>
              <w:tc>
                <w:tcPr>
                  <w:tcW w:w="535" w:type="dxa"/>
                  <w:vMerge w:val="continue"/>
                  <w:noWrap w:val="0"/>
                  <w:vAlign w:val="center"/>
                </w:tcPr>
                <w:p w14:paraId="4182DD23">
                  <w:pPr>
                    <w:keepNext w:val="0"/>
                    <w:keepLines w:val="0"/>
                    <w:suppressLineNumbers w:val="0"/>
                    <w:spacing w:before="0" w:beforeAutospacing="0" w:after="0" w:afterAutospacing="0"/>
                    <w:ind w:left="0" w:right="0"/>
                    <w:jc w:val="center"/>
                    <w:rPr>
                      <w:rFonts w:hint="default"/>
                      <w:color w:val="auto"/>
                      <w:szCs w:val="21"/>
                      <w:highlight w:val="none"/>
                    </w:rPr>
                  </w:pPr>
                </w:p>
              </w:tc>
              <w:tc>
                <w:tcPr>
                  <w:tcW w:w="1421" w:type="dxa"/>
                  <w:noWrap w:val="0"/>
                  <w:vAlign w:val="center"/>
                </w:tcPr>
                <w:p w14:paraId="272DDF23">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经度°</w:t>
                  </w:r>
                </w:p>
              </w:tc>
              <w:tc>
                <w:tcPr>
                  <w:tcW w:w="1187" w:type="dxa"/>
                  <w:noWrap w:val="0"/>
                  <w:vAlign w:val="center"/>
                </w:tcPr>
                <w:p w14:paraId="4680B12A">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纬度°</w:t>
                  </w:r>
                </w:p>
              </w:tc>
              <w:tc>
                <w:tcPr>
                  <w:tcW w:w="881" w:type="dxa"/>
                  <w:vMerge w:val="continue"/>
                  <w:noWrap w:val="0"/>
                  <w:vAlign w:val="center"/>
                </w:tcPr>
                <w:p w14:paraId="40EB9579">
                  <w:pPr>
                    <w:keepNext w:val="0"/>
                    <w:keepLines w:val="0"/>
                    <w:suppressLineNumbers w:val="0"/>
                    <w:spacing w:before="0" w:beforeAutospacing="0" w:after="0" w:afterAutospacing="0"/>
                    <w:ind w:left="0" w:right="0"/>
                    <w:jc w:val="center"/>
                    <w:rPr>
                      <w:rFonts w:hint="default"/>
                      <w:color w:val="auto"/>
                      <w:szCs w:val="21"/>
                      <w:highlight w:val="none"/>
                    </w:rPr>
                  </w:pPr>
                </w:p>
              </w:tc>
              <w:tc>
                <w:tcPr>
                  <w:tcW w:w="1082" w:type="dxa"/>
                  <w:vMerge w:val="continue"/>
                  <w:noWrap w:val="0"/>
                  <w:vAlign w:val="center"/>
                </w:tcPr>
                <w:p w14:paraId="4D4CCCE3">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p>
              </w:tc>
              <w:tc>
                <w:tcPr>
                  <w:tcW w:w="426" w:type="dxa"/>
                  <w:vMerge w:val="continue"/>
                  <w:noWrap w:val="0"/>
                  <w:vAlign w:val="center"/>
                </w:tcPr>
                <w:p w14:paraId="56F4258C">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p>
              </w:tc>
              <w:tc>
                <w:tcPr>
                  <w:tcW w:w="426" w:type="dxa"/>
                  <w:vMerge w:val="continue"/>
                  <w:noWrap w:val="0"/>
                  <w:vAlign w:val="center"/>
                </w:tcPr>
                <w:p w14:paraId="14C4D95E">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p>
              </w:tc>
              <w:tc>
                <w:tcPr>
                  <w:tcW w:w="426" w:type="dxa"/>
                  <w:noWrap w:val="0"/>
                  <w:vAlign w:val="center"/>
                </w:tcPr>
                <w:p w14:paraId="66735745">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名称</w:t>
                  </w:r>
                </w:p>
              </w:tc>
              <w:tc>
                <w:tcPr>
                  <w:tcW w:w="809" w:type="dxa"/>
                  <w:noWrap w:val="0"/>
                  <w:vAlign w:val="center"/>
                </w:tcPr>
                <w:p w14:paraId="13DB19A8">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污染物种类</w:t>
                  </w:r>
                </w:p>
              </w:tc>
              <w:tc>
                <w:tcPr>
                  <w:tcW w:w="1278" w:type="dxa"/>
                  <w:noWrap w:val="0"/>
                  <w:vAlign w:val="center"/>
                </w:tcPr>
                <w:p w14:paraId="1EC0DAA1">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国家或地方污染物排放</w:t>
                  </w:r>
                </w:p>
                <w:p w14:paraId="445058BF">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标准浓度限值/(mg/L)</w:t>
                  </w:r>
                </w:p>
              </w:tc>
            </w:tr>
            <w:tr w14:paraId="5F9A09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426" w:type="dxa"/>
                  <w:vMerge w:val="restart"/>
                  <w:noWrap w:val="0"/>
                  <w:vAlign w:val="center"/>
                </w:tcPr>
                <w:p w14:paraId="6222C713">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1</w:t>
                  </w:r>
                </w:p>
              </w:tc>
              <w:tc>
                <w:tcPr>
                  <w:tcW w:w="535" w:type="dxa"/>
                  <w:vMerge w:val="restart"/>
                  <w:noWrap w:val="0"/>
                  <w:vAlign w:val="center"/>
                </w:tcPr>
                <w:p w14:paraId="253220F3">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DW</w:t>
                  </w:r>
                  <w:r>
                    <w:rPr>
                      <w:rFonts w:hint="default"/>
                      <w:color w:val="auto"/>
                      <w:szCs w:val="21"/>
                      <w:highlight w:val="none"/>
                    </w:rPr>
                    <w:t>001</w:t>
                  </w:r>
                </w:p>
              </w:tc>
              <w:tc>
                <w:tcPr>
                  <w:tcW w:w="1421" w:type="dxa"/>
                  <w:vMerge w:val="restart"/>
                  <w:noWrap w:val="0"/>
                  <w:vAlign w:val="center"/>
                </w:tcPr>
                <w:p w14:paraId="7ADD3332">
                  <w:pPr>
                    <w:keepNext w:val="0"/>
                    <w:keepLines w:val="0"/>
                    <w:suppressLineNumbers w:val="0"/>
                    <w:spacing w:before="0" w:beforeAutospacing="0" w:after="0" w:afterAutospacing="0" w:line="0" w:lineRule="atLeast"/>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130.559871</w:t>
                  </w:r>
                </w:p>
              </w:tc>
              <w:tc>
                <w:tcPr>
                  <w:tcW w:w="1187" w:type="dxa"/>
                  <w:vMerge w:val="restart"/>
                  <w:noWrap w:val="0"/>
                  <w:vAlign w:val="center"/>
                </w:tcPr>
                <w:p w14:paraId="7173670B">
                  <w:pPr>
                    <w:keepNext w:val="0"/>
                    <w:keepLines w:val="0"/>
                    <w:suppressLineNumbers w:val="0"/>
                    <w:spacing w:before="0" w:beforeAutospacing="0" w:after="0" w:afterAutospacing="0" w:line="0" w:lineRule="atLeast"/>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46.2692112</w:t>
                  </w:r>
                </w:p>
              </w:tc>
              <w:tc>
                <w:tcPr>
                  <w:tcW w:w="881" w:type="dxa"/>
                  <w:vMerge w:val="restart"/>
                  <w:noWrap w:val="0"/>
                  <w:vAlign w:val="center"/>
                </w:tcPr>
                <w:p w14:paraId="2BA181C5">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1958.4</w:t>
                  </w:r>
                </w:p>
              </w:tc>
              <w:tc>
                <w:tcPr>
                  <w:tcW w:w="1082" w:type="dxa"/>
                  <w:vMerge w:val="restart"/>
                  <w:noWrap w:val="0"/>
                  <w:vAlign w:val="center"/>
                </w:tcPr>
                <w:p w14:paraId="2FD6E950">
                  <w:pPr>
                    <w:keepNext w:val="0"/>
                    <w:keepLines w:val="0"/>
                    <w:suppressLineNumbers w:val="0"/>
                    <w:spacing w:before="0" w:beforeAutospacing="0" w:after="0" w:afterAutospacing="0"/>
                    <w:ind w:left="0" w:right="0"/>
                    <w:jc w:val="center"/>
                    <w:rPr>
                      <w:rFonts w:hint="default"/>
                      <w:color w:val="auto"/>
                      <w:highlight w:val="none"/>
                    </w:rPr>
                  </w:pPr>
                  <w:r>
                    <w:rPr>
                      <w:rFonts w:hint="eastAsia"/>
                      <w:color w:val="auto"/>
                      <w:highlight w:val="none"/>
                      <w:lang w:val="en-US" w:eastAsia="zh-CN"/>
                    </w:rPr>
                    <w:t>经独立管道</w:t>
                  </w:r>
                  <w:r>
                    <w:rPr>
                      <w:rFonts w:hint="eastAsia"/>
                      <w:color w:val="auto"/>
                      <w:highlight w:val="none"/>
                    </w:rPr>
                    <w:t>排入</w:t>
                  </w:r>
                  <w:r>
                    <w:rPr>
                      <w:rFonts w:hint="eastAsia"/>
                      <w:color w:val="auto"/>
                      <w:highlight w:val="none"/>
                      <w:lang w:val="en-US" w:eastAsia="zh-CN"/>
                    </w:rPr>
                    <w:t>桦南浦华净源水务有限公司（桦南浦华净源水务有限公司（桦南县污水处理厂））</w:t>
                  </w:r>
                </w:p>
              </w:tc>
              <w:tc>
                <w:tcPr>
                  <w:tcW w:w="426" w:type="dxa"/>
                  <w:vMerge w:val="restart"/>
                  <w:noWrap w:val="0"/>
                  <w:vAlign w:val="center"/>
                </w:tcPr>
                <w:p w14:paraId="364291F0">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lang w:val="en-US" w:eastAsia="zh-CN"/>
                    </w:rPr>
                    <w:t>间歇</w:t>
                  </w:r>
                  <w:r>
                    <w:rPr>
                      <w:rFonts w:hint="default"/>
                      <w:color w:val="auto"/>
                      <w:szCs w:val="21"/>
                      <w:highlight w:val="none"/>
                    </w:rPr>
                    <w:t>排放</w:t>
                  </w:r>
                </w:p>
              </w:tc>
              <w:tc>
                <w:tcPr>
                  <w:tcW w:w="426" w:type="dxa"/>
                  <w:vMerge w:val="restart"/>
                  <w:noWrap w:val="0"/>
                  <w:vAlign w:val="center"/>
                </w:tcPr>
                <w:p w14:paraId="1EFAC9F9">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w:t>
                  </w:r>
                </w:p>
              </w:tc>
              <w:tc>
                <w:tcPr>
                  <w:tcW w:w="426" w:type="dxa"/>
                  <w:vMerge w:val="restart"/>
                  <w:noWrap w:val="0"/>
                  <w:vAlign w:val="center"/>
                </w:tcPr>
                <w:p w14:paraId="707DB9C5">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lang w:val="en-US" w:eastAsia="zh-CN"/>
                    </w:rPr>
                    <w:t>桦南浦华净源水务有限公司（桦南浦华净源水务有限公司（桦南县污水处理厂））</w:t>
                  </w:r>
                </w:p>
              </w:tc>
              <w:tc>
                <w:tcPr>
                  <w:tcW w:w="809" w:type="dxa"/>
                  <w:noWrap w:val="0"/>
                  <w:vAlign w:val="center"/>
                </w:tcPr>
                <w:p w14:paraId="314412B1">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COD</w:t>
                  </w:r>
                </w:p>
              </w:tc>
              <w:tc>
                <w:tcPr>
                  <w:tcW w:w="1278" w:type="dxa"/>
                  <w:noWrap w:val="0"/>
                  <w:vAlign w:val="center"/>
                </w:tcPr>
                <w:p w14:paraId="78B3610B">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bCs/>
                      <w:color w:val="auto"/>
                      <w:sz w:val="21"/>
                      <w:szCs w:val="21"/>
                      <w:highlight w:val="none"/>
                      <w:lang w:val="en-US" w:eastAsia="zh-CN"/>
                    </w:rPr>
                    <w:t>50</w:t>
                  </w:r>
                </w:p>
              </w:tc>
            </w:tr>
            <w:tr w14:paraId="48BCCA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426" w:type="dxa"/>
                  <w:vMerge w:val="continue"/>
                  <w:noWrap w:val="0"/>
                  <w:vAlign w:val="center"/>
                </w:tcPr>
                <w:p w14:paraId="6758477C">
                  <w:pPr>
                    <w:keepNext w:val="0"/>
                    <w:keepLines w:val="0"/>
                    <w:suppressLineNumbers w:val="0"/>
                    <w:spacing w:before="0" w:beforeAutospacing="0" w:after="0" w:afterAutospacing="0"/>
                    <w:ind w:left="0" w:right="0"/>
                    <w:jc w:val="center"/>
                    <w:rPr>
                      <w:rFonts w:hint="default"/>
                      <w:color w:val="auto"/>
                      <w:szCs w:val="21"/>
                      <w:highlight w:val="none"/>
                    </w:rPr>
                  </w:pPr>
                </w:p>
              </w:tc>
              <w:tc>
                <w:tcPr>
                  <w:tcW w:w="535" w:type="dxa"/>
                  <w:vMerge w:val="continue"/>
                  <w:noWrap w:val="0"/>
                  <w:vAlign w:val="center"/>
                </w:tcPr>
                <w:p w14:paraId="7C8EF6E0">
                  <w:pPr>
                    <w:keepNext w:val="0"/>
                    <w:keepLines w:val="0"/>
                    <w:suppressLineNumbers w:val="0"/>
                    <w:spacing w:before="0" w:beforeAutospacing="0" w:after="0" w:afterAutospacing="0"/>
                    <w:ind w:left="0" w:right="0"/>
                    <w:jc w:val="center"/>
                    <w:rPr>
                      <w:rFonts w:hint="default"/>
                      <w:color w:val="auto"/>
                      <w:szCs w:val="21"/>
                      <w:highlight w:val="none"/>
                    </w:rPr>
                  </w:pPr>
                </w:p>
              </w:tc>
              <w:tc>
                <w:tcPr>
                  <w:tcW w:w="1421" w:type="dxa"/>
                  <w:vMerge w:val="continue"/>
                  <w:noWrap w:val="0"/>
                  <w:vAlign w:val="center"/>
                </w:tcPr>
                <w:p w14:paraId="632E32D9">
                  <w:pPr>
                    <w:keepNext w:val="0"/>
                    <w:keepLines w:val="0"/>
                    <w:suppressLineNumbers w:val="0"/>
                    <w:spacing w:before="0" w:beforeAutospacing="0" w:after="0" w:afterAutospacing="0"/>
                    <w:ind w:left="0" w:right="0"/>
                    <w:jc w:val="center"/>
                    <w:rPr>
                      <w:rFonts w:hint="default"/>
                      <w:color w:val="auto"/>
                      <w:szCs w:val="21"/>
                      <w:highlight w:val="none"/>
                    </w:rPr>
                  </w:pPr>
                </w:p>
              </w:tc>
              <w:tc>
                <w:tcPr>
                  <w:tcW w:w="1187" w:type="dxa"/>
                  <w:vMerge w:val="continue"/>
                  <w:noWrap w:val="0"/>
                  <w:vAlign w:val="center"/>
                </w:tcPr>
                <w:p w14:paraId="5C81EEE9">
                  <w:pPr>
                    <w:keepNext w:val="0"/>
                    <w:keepLines w:val="0"/>
                    <w:suppressLineNumbers w:val="0"/>
                    <w:spacing w:before="0" w:beforeAutospacing="0" w:after="0" w:afterAutospacing="0"/>
                    <w:ind w:left="0" w:right="0"/>
                    <w:jc w:val="center"/>
                    <w:rPr>
                      <w:rFonts w:hint="default"/>
                      <w:color w:val="auto"/>
                      <w:szCs w:val="21"/>
                      <w:highlight w:val="none"/>
                    </w:rPr>
                  </w:pPr>
                </w:p>
              </w:tc>
              <w:tc>
                <w:tcPr>
                  <w:tcW w:w="881" w:type="dxa"/>
                  <w:vMerge w:val="continue"/>
                  <w:noWrap w:val="0"/>
                  <w:vAlign w:val="center"/>
                </w:tcPr>
                <w:p w14:paraId="1EB71A47">
                  <w:pPr>
                    <w:keepNext w:val="0"/>
                    <w:keepLines w:val="0"/>
                    <w:suppressLineNumbers w:val="0"/>
                    <w:spacing w:before="0" w:beforeAutospacing="0" w:after="0" w:afterAutospacing="0"/>
                    <w:ind w:left="0" w:right="0"/>
                    <w:jc w:val="center"/>
                    <w:rPr>
                      <w:rFonts w:hint="default"/>
                      <w:color w:val="auto"/>
                      <w:szCs w:val="21"/>
                      <w:highlight w:val="none"/>
                    </w:rPr>
                  </w:pPr>
                </w:p>
              </w:tc>
              <w:tc>
                <w:tcPr>
                  <w:tcW w:w="1082" w:type="dxa"/>
                  <w:vMerge w:val="continue"/>
                  <w:noWrap w:val="0"/>
                  <w:vAlign w:val="center"/>
                </w:tcPr>
                <w:p w14:paraId="5AD37AF0">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7F8221B5">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358B3A1D">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690BEDE2">
                  <w:pPr>
                    <w:keepNext w:val="0"/>
                    <w:keepLines w:val="0"/>
                    <w:suppressLineNumbers w:val="0"/>
                    <w:spacing w:before="0" w:beforeAutospacing="0" w:after="0" w:afterAutospacing="0"/>
                    <w:ind w:left="0" w:right="0"/>
                    <w:jc w:val="center"/>
                    <w:rPr>
                      <w:rFonts w:hint="default"/>
                      <w:color w:val="auto"/>
                      <w:szCs w:val="21"/>
                      <w:highlight w:val="none"/>
                    </w:rPr>
                  </w:pPr>
                </w:p>
              </w:tc>
              <w:tc>
                <w:tcPr>
                  <w:tcW w:w="809" w:type="dxa"/>
                  <w:noWrap w:val="0"/>
                  <w:vAlign w:val="center"/>
                </w:tcPr>
                <w:p w14:paraId="342865EB">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BOD</w:t>
                  </w:r>
                  <w:r>
                    <w:rPr>
                      <w:rFonts w:hint="default"/>
                      <w:color w:val="auto"/>
                      <w:szCs w:val="21"/>
                      <w:highlight w:val="none"/>
                      <w:vertAlign w:val="subscript"/>
                    </w:rPr>
                    <w:t>5</w:t>
                  </w:r>
                </w:p>
              </w:tc>
              <w:tc>
                <w:tcPr>
                  <w:tcW w:w="1278" w:type="dxa"/>
                  <w:noWrap w:val="0"/>
                  <w:vAlign w:val="center"/>
                </w:tcPr>
                <w:p w14:paraId="24941EC1">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bCs/>
                      <w:color w:val="auto"/>
                      <w:sz w:val="21"/>
                      <w:szCs w:val="21"/>
                      <w:highlight w:val="none"/>
                      <w:lang w:val="en-US" w:eastAsia="zh-CN"/>
                    </w:rPr>
                    <w:t>10</w:t>
                  </w:r>
                </w:p>
              </w:tc>
            </w:tr>
            <w:tr w14:paraId="5D5722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426" w:type="dxa"/>
                  <w:vMerge w:val="continue"/>
                  <w:noWrap w:val="0"/>
                  <w:vAlign w:val="center"/>
                </w:tcPr>
                <w:p w14:paraId="2252DEA3">
                  <w:pPr>
                    <w:keepNext w:val="0"/>
                    <w:keepLines w:val="0"/>
                    <w:suppressLineNumbers w:val="0"/>
                    <w:spacing w:before="0" w:beforeAutospacing="0" w:after="0" w:afterAutospacing="0"/>
                    <w:ind w:left="0" w:right="0"/>
                    <w:jc w:val="center"/>
                    <w:rPr>
                      <w:rFonts w:hint="default"/>
                      <w:color w:val="auto"/>
                      <w:szCs w:val="21"/>
                      <w:highlight w:val="none"/>
                    </w:rPr>
                  </w:pPr>
                </w:p>
              </w:tc>
              <w:tc>
                <w:tcPr>
                  <w:tcW w:w="535" w:type="dxa"/>
                  <w:vMerge w:val="continue"/>
                  <w:noWrap w:val="0"/>
                  <w:vAlign w:val="center"/>
                </w:tcPr>
                <w:p w14:paraId="75D3D376">
                  <w:pPr>
                    <w:keepNext w:val="0"/>
                    <w:keepLines w:val="0"/>
                    <w:suppressLineNumbers w:val="0"/>
                    <w:spacing w:before="0" w:beforeAutospacing="0" w:after="0" w:afterAutospacing="0"/>
                    <w:ind w:left="0" w:right="0"/>
                    <w:jc w:val="center"/>
                    <w:rPr>
                      <w:rFonts w:hint="default"/>
                      <w:color w:val="auto"/>
                      <w:szCs w:val="21"/>
                      <w:highlight w:val="none"/>
                    </w:rPr>
                  </w:pPr>
                </w:p>
              </w:tc>
              <w:tc>
                <w:tcPr>
                  <w:tcW w:w="1421" w:type="dxa"/>
                  <w:vMerge w:val="continue"/>
                  <w:noWrap w:val="0"/>
                  <w:vAlign w:val="center"/>
                </w:tcPr>
                <w:p w14:paraId="49533100">
                  <w:pPr>
                    <w:keepNext w:val="0"/>
                    <w:keepLines w:val="0"/>
                    <w:suppressLineNumbers w:val="0"/>
                    <w:spacing w:before="0" w:beforeAutospacing="0" w:after="0" w:afterAutospacing="0"/>
                    <w:ind w:left="0" w:right="0"/>
                    <w:jc w:val="center"/>
                    <w:rPr>
                      <w:rFonts w:hint="default"/>
                      <w:color w:val="auto"/>
                      <w:szCs w:val="21"/>
                      <w:highlight w:val="none"/>
                    </w:rPr>
                  </w:pPr>
                </w:p>
              </w:tc>
              <w:tc>
                <w:tcPr>
                  <w:tcW w:w="1187" w:type="dxa"/>
                  <w:vMerge w:val="continue"/>
                  <w:noWrap w:val="0"/>
                  <w:vAlign w:val="center"/>
                </w:tcPr>
                <w:p w14:paraId="6DA037EF">
                  <w:pPr>
                    <w:keepNext w:val="0"/>
                    <w:keepLines w:val="0"/>
                    <w:suppressLineNumbers w:val="0"/>
                    <w:spacing w:before="0" w:beforeAutospacing="0" w:after="0" w:afterAutospacing="0"/>
                    <w:ind w:left="0" w:right="0"/>
                    <w:jc w:val="center"/>
                    <w:rPr>
                      <w:rFonts w:hint="default"/>
                      <w:color w:val="auto"/>
                      <w:szCs w:val="21"/>
                      <w:highlight w:val="none"/>
                    </w:rPr>
                  </w:pPr>
                </w:p>
              </w:tc>
              <w:tc>
                <w:tcPr>
                  <w:tcW w:w="881" w:type="dxa"/>
                  <w:vMerge w:val="continue"/>
                  <w:noWrap w:val="0"/>
                  <w:vAlign w:val="center"/>
                </w:tcPr>
                <w:p w14:paraId="3F4A6057">
                  <w:pPr>
                    <w:keepNext w:val="0"/>
                    <w:keepLines w:val="0"/>
                    <w:suppressLineNumbers w:val="0"/>
                    <w:spacing w:before="0" w:beforeAutospacing="0" w:after="0" w:afterAutospacing="0"/>
                    <w:ind w:left="0" w:right="0"/>
                    <w:jc w:val="center"/>
                    <w:rPr>
                      <w:rFonts w:hint="default"/>
                      <w:color w:val="auto"/>
                      <w:szCs w:val="21"/>
                      <w:highlight w:val="none"/>
                    </w:rPr>
                  </w:pPr>
                </w:p>
              </w:tc>
              <w:tc>
                <w:tcPr>
                  <w:tcW w:w="1082" w:type="dxa"/>
                  <w:vMerge w:val="continue"/>
                  <w:noWrap w:val="0"/>
                  <w:vAlign w:val="center"/>
                </w:tcPr>
                <w:p w14:paraId="15BACC3B">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4AB1772E">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31D32A5C">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0DCBBB79">
                  <w:pPr>
                    <w:keepNext w:val="0"/>
                    <w:keepLines w:val="0"/>
                    <w:suppressLineNumbers w:val="0"/>
                    <w:spacing w:before="0" w:beforeAutospacing="0" w:after="0" w:afterAutospacing="0"/>
                    <w:ind w:left="0" w:right="0"/>
                    <w:jc w:val="center"/>
                    <w:rPr>
                      <w:rFonts w:hint="default"/>
                      <w:color w:val="auto"/>
                      <w:szCs w:val="21"/>
                      <w:highlight w:val="none"/>
                    </w:rPr>
                  </w:pPr>
                </w:p>
              </w:tc>
              <w:tc>
                <w:tcPr>
                  <w:tcW w:w="809" w:type="dxa"/>
                  <w:noWrap w:val="0"/>
                  <w:vAlign w:val="center"/>
                </w:tcPr>
                <w:p w14:paraId="7E004462">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NH</w:t>
                  </w:r>
                  <w:r>
                    <w:rPr>
                      <w:rFonts w:hint="default"/>
                      <w:color w:val="auto"/>
                      <w:szCs w:val="21"/>
                      <w:highlight w:val="none"/>
                      <w:vertAlign w:val="subscript"/>
                    </w:rPr>
                    <w:t>3</w:t>
                  </w:r>
                  <w:r>
                    <w:rPr>
                      <w:rFonts w:hint="default"/>
                      <w:color w:val="auto"/>
                      <w:szCs w:val="21"/>
                      <w:highlight w:val="none"/>
                    </w:rPr>
                    <w:t>-N</w:t>
                  </w:r>
                </w:p>
              </w:tc>
              <w:tc>
                <w:tcPr>
                  <w:tcW w:w="1278" w:type="dxa"/>
                  <w:noWrap w:val="0"/>
                  <w:vAlign w:val="center"/>
                </w:tcPr>
                <w:p w14:paraId="3831015C">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bCs/>
                      <w:color w:val="auto"/>
                      <w:sz w:val="21"/>
                      <w:szCs w:val="21"/>
                      <w:highlight w:val="none"/>
                      <w:lang w:val="en-US" w:eastAsia="zh-CN"/>
                    </w:rPr>
                    <w:t>5（8）</w:t>
                  </w:r>
                </w:p>
              </w:tc>
            </w:tr>
            <w:tr w14:paraId="60A9B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426" w:type="dxa"/>
                  <w:vMerge w:val="continue"/>
                  <w:noWrap w:val="0"/>
                  <w:vAlign w:val="center"/>
                </w:tcPr>
                <w:p w14:paraId="4A45F052">
                  <w:pPr>
                    <w:keepNext w:val="0"/>
                    <w:keepLines w:val="0"/>
                    <w:suppressLineNumbers w:val="0"/>
                    <w:spacing w:before="0" w:beforeAutospacing="0" w:after="0" w:afterAutospacing="0"/>
                    <w:ind w:left="0" w:right="0"/>
                    <w:jc w:val="center"/>
                    <w:rPr>
                      <w:rFonts w:hint="default"/>
                      <w:color w:val="auto"/>
                      <w:szCs w:val="21"/>
                      <w:highlight w:val="none"/>
                    </w:rPr>
                  </w:pPr>
                </w:p>
              </w:tc>
              <w:tc>
                <w:tcPr>
                  <w:tcW w:w="535" w:type="dxa"/>
                  <w:vMerge w:val="continue"/>
                  <w:noWrap w:val="0"/>
                  <w:vAlign w:val="center"/>
                </w:tcPr>
                <w:p w14:paraId="12FAF8CB">
                  <w:pPr>
                    <w:keepNext w:val="0"/>
                    <w:keepLines w:val="0"/>
                    <w:suppressLineNumbers w:val="0"/>
                    <w:spacing w:before="0" w:beforeAutospacing="0" w:after="0" w:afterAutospacing="0"/>
                    <w:ind w:left="0" w:right="0"/>
                    <w:jc w:val="center"/>
                    <w:rPr>
                      <w:rFonts w:hint="default"/>
                      <w:color w:val="auto"/>
                      <w:szCs w:val="21"/>
                      <w:highlight w:val="none"/>
                    </w:rPr>
                  </w:pPr>
                </w:p>
              </w:tc>
              <w:tc>
                <w:tcPr>
                  <w:tcW w:w="1421" w:type="dxa"/>
                  <w:vMerge w:val="continue"/>
                  <w:noWrap w:val="0"/>
                  <w:vAlign w:val="center"/>
                </w:tcPr>
                <w:p w14:paraId="02BB2F76">
                  <w:pPr>
                    <w:keepNext w:val="0"/>
                    <w:keepLines w:val="0"/>
                    <w:suppressLineNumbers w:val="0"/>
                    <w:spacing w:before="0" w:beforeAutospacing="0" w:after="0" w:afterAutospacing="0"/>
                    <w:ind w:left="0" w:right="0"/>
                    <w:jc w:val="center"/>
                    <w:rPr>
                      <w:rFonts w:hint="default"/>
                      <w:color w:val="auto"/>
                      <w:szCs w:val="21"/>
                      <w:highlight w:val="none"/>
                    </w:rPr>
                  </w:pPr>
                </w:p>
              </w:tc>
              <w:tc>
                <w:tcPr>
                  <w:tcW w:w="1187" w:type="dxa"/>
                  <w:vMerge w:val="continue"/>
                  <w:noWrap w:val="0"/>
                  <w:vAlign w:val="center"/>
                </w:tcPr>
                <w:p w14:paraId="5164C5E5">
                  <w:pPr>
                    <w:keepNext w:val="0"/>
                    <w:keepLines w:val="0"/>
                    <w:suppressLineNumbers w:val="0"/>
                    <w:spacing w:before="0" w:beforeAutospacing="0" w:after="0" w:afterAutospacing="0"/>
                    <w:ind w:left="0" w:right="0"/>
                    <w:jc w:val="center"/>
                    <w:rPr>
                      <w:rFonts w:hint="default"/>
                      <w:color w:val="auto"/>
                      <w:szCs w:val="21"/>
                      <w:highlight w:val="none"/>
                    </w:rPr>
                  </w:pPr>
                </w:p>
              </w:tc>
              <w:tc>
                <w:tcPr>
                  <w:tcW w:w="881" w:type="dxa"/>
                  <w:vMerge w:val="continue"/>
                  <w:noWrap w:val="0"/>
                  <w:vAlign w:val="center"/>
                </w:tcPr>
                <w:p w14:paraId="74D3E8D8">
                  <w:pPr>
                    <w:keepNext w:val="0"/>
                    <w:keepLines w:val="0"/>
                    <w:suppressLineNumbers w:val="0"/>
                    <w:spacing w:before="0" w:beforeAutospacing="0" w:after="0" w:afterAutospacing="0"/>
                    <w:ind w:left="0" w:right="0"/>
                    <w:jc w:val="center"/>
                    <w:rPr>
                      <w:rFonts w:hint="default"/>
                      <w:color w:val="auto"/>
                      <w:szCs w:val="21"/>
                      <w:highlight w:val="none"/>
                    </w:rPr>
                  </w:pPr>
                </w:p>
              </w:tc>
              <w:tc>
                <w:tcPr>
                  <w:tcW w:w="1082" w:type="dxa"/>
                  <w:vMerge w:val="continue"/>
                  <w:noWrap w:val="0"/>
                  <w:vAlign w:val="center"/>
                </w:tcPr>
                <w:p w14:paraId="34F35E8F">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18F4164D">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21FC9FE0">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46B88DAF">
                  <w:pPr>
                    <w:keepNext w:val="0"/>
                    <w:keepLines w:val="0"/>
                    <w:suppressLineNumbers w:val="0"/>
                    <w:spacing w:before="0" w:beforeAutospacing="0" w:after="0" w:afterAutospacing="0"/>
                    <w:ind w:left="0" w:right="0"/>
                    <w:jc w:val="center"/>
                    <w:rPr>
                      <w:rFonts w:hint="default"/>
                      <w:color w:val="auto"/>
                      <w:szCs w:val="21"/>
                      <w:highlight w:val="none"/>
                    </w:rPr>
                  </w:pPr>
                </w:p>
              </w:tc>
              <w:tc>
                <w:tcPr>
                  <w:tcW w:w="809" w:type="dxa"/>
                  <w:noWrap w:val="0"/>
                  <w:vAlign w:val="center"/>
                </w:tcPr>
                <w:p w14:paraId="47A1E5C5">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SS</w:t>
                  </w:r>
                </w:p>
              </w:tc>
              <w:tc>
                <w:tcPr>
                  <w:tcW w:w="1278" w:type="dxa"/>
                  <w:noWrap w:val="0"/>
                  <w:vAlign w:val="center"/>
                </w:tcPr>
                <w:p w14:paraId="6C0CE381">
                  <w:pPr>
                    <w:pStyle w:val="33"/>
                    <w:keepNext w:val="0"/>
                    <w:keepLines w:val="0"/>
                    <w:suppressLineNumbers w:val="0"/>
                    <w:ind w:left="0" w:right="0"/>
                    <w:jc w:val="center"/>
                    <w:rPr>
                      <w:rFonts w:hint="default" w:ascii="Times New Roman" w:hAnsi="Times New Roman"/>
                      <w:bCs/>
                      <w:color w:val="auto"/>
                      <w:sz w:val="21"/>
                      <w:szCs w:val="21"/>
                      <w:highlight w:val="none"/>
                      <w:lang w:val="en-US" w:eastAsia="zh-CN"/>
                    </w:rPr>
                  </w:pPr>
                  <w:r>
                    <w:rPr>
                      <w:rFonts w:hint="default" w:ascii="Times New Roman" w:hAnsi="Times New Roman"/>
                      <w:bCs/>
                      <w:color w:val="auto"/>
                      <w:sz w:val="21"/>
                      <w:szCs w:val="21"/>
                      <w:highlight w:val="none"/>
                      <w:lang w:val="en-US" w:eastAsia="zh-CN"/>
                    </w:rPr>
                    <w:t>10</w:t>
                  </w:r>
                </w:p>
              </w:tc>
            </w:tr>
            <w:tr w14:paraId="0B5CF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26" w:type="dxa"/>
                  <w:vMerge w:val="continue"/>
                  <w:noWrap w:val="0"/>
                  <w:vAlign w:val="center"/>
                </w:tcPr>
                <w:p w14:paraId="4D01B3CD">
                  <w:pPr>
                    <w:keepNext w:val="0"/>
                    <w:keepLines w:val="0"/>
                    <w:suppressLineNumbers w:val="0"/>
                    <w:spacing w:before="0" w:beforeAutospacing="0" w:after="0" w:afterAutospacing="0"/>
                    <w:ind w:left="0" w:right="0"/>
                    <w:jc w:val="center"/>
                    <w:rPr>
                      <w:rFonts w:hint="default"/>
                      <w:color w:val="auto"/>
                      <w:szCs w:val="21"/>
                      <w:highlight w:val="none"/>
                    </w:rPr>
                  </w:pPr>
                </w:p>
              </w:tc>
              <w:tc>
                <w:tcPr>
                  <w:tcW w:w="535" w:type="dxa"/>
                  <w:vMerge w:val="continue"/>
                  <w:noWrap w:val="0"/>
                  <w:vAlign w:val="center"/>
                </w:tcPr>
                <w:p w14:paraId="4556D2E6">
                  <w:pPr>
                    <w:keepNext w:val="0"/>
                    <w:keepLines w:val="0"/>
                    <w:suppressLineNumbers w:val="0"/>
                    <w:spacing w:before="0" w:beforeAutospacing="0" w:after="0" w:afterAutospacing="0"/>
                    <w:ind w:left="0" w:right="0"/>
                    <w:jc w:val="center"/>
                    <w:rPr>
                      <w:rFonts w:hint="default"/>
                      <w:color w:val="auto"/>
                      <w:szCs w:val="21"/>
                      <w:highlight w:val="none"/>
                    </w:rPr>
                  </w:pPr>
                </w:p>
              </w:tc>
              <w:tc>
                <w:tcPr>
                  <w:tcW w:w="1421" w:type="dxa"/>
                  <w:vMerge w:val="continue"/>
                  <w:noWrap w:val="0"/>
                  <w:vAlign w:val="center"/>
                </w:tcPr>
                <w:p w14:paraId="32C4FE0C">
                  <w:pPr>
                    <w:keepNext w:val="0"/>
                    <w:keepLines w:val="0"/>
                    <w:suppressLineNumbers w:val="0"/>
                    <w:spacing w:before="0" w:beforeAutospacing="0" w:after="0" w:afterAutospacing="0"/>
                    <w:ind w:left="0" w:right="0"/>
                    <w:jc w:val="center"/>
                    <w:rPr>
                      <w:rFonts w:hint="default"/>
                      <w:color w:val="auto"/>
                      <w:szCs w:val="21"/>
                      <w:highlight w:val="none"/>
                    </w:rPr>
                  </w:pPr>
                </w:p>
              </w:tc>
              <w:tc>
                <w:tcPr>
                  <w:tcW w:w="1187" w:type="dxa"/>
                  <w:vMerge w:val="continue"/>
                  <w:noWrap w:val="0"/>
                  <w:vAlign w:val="center"/>
                </w:tcPr>
                <w:p w14:paraId="136B2D26">
                  <w:pPr>
                    <w:keepNext w:val="0"/>
                    <w:keepLines w:val="0"/>
                    <w:suppressLineNumbers w:val="0"/>
                    <w:spacing w:before="0" w:beforeAutospacing="0" w:after="0" w:afterAutospacing="0"/>
                    <w:ind w:left="0" w:right="0"/>
                    <w:jc w:val="center"/>
                    <w:rPr>
                      <w:rFonts w:hint="default"/>
                      <w:color w:val="auto"/>
                      <w:szCs w:val="21"/>
                      <w:highlight w:val="none"/>
                    </w:rPr>
                  </w:pPr>
                </w:p>
              </w:tc>
              <w:tc>
                <w:tcPr>
                  <w:tcW w:w="881" w:type="dxa"/>
                  <w:vMerge w:val="continue"/>
                  <w:noWrap w:val="0"/>
                  <w:vAlign w:val="center"/>
                </w:tcPr>
                <w:p w14:paraId="4DE9CD6A">
                  <w:pPr>
                    <w:keepNext w:val="0"/>
                    <w:keepLines w:val="0"/>
                    <w:suppressLineNumbers w:val="0"/>
                    <w:spacing w:before="0" w:beforeAutospacing="0" w:after="0" w:afterAutospacing="0"/>
                    <w:ind w:left="0" w:right="0"/>
                    <w:jc w:val="center"/>
                    <w:rPr>
                      <w:rFonts w:hint="default"/>
                      <w:color w:val="auto"/>
                      <w:szCs w:val="21"/>
                      <w:highlight w:val="none"/>
                    </w:rPr>
                  </w:pPr>
                </w:p>
              </w:tc>
              <w:tc>
                <w:tcPr>
                  <w:tcW w:w="1082" w:type="dxa"/>
                  <w:vMerge w:val="continue"/>
                  <w:noWrap w:val="0"/>
                  <w:vAlign w:val="center"/>
                </w:tcPr>
                <w:p w14:paraId="79FD0A74">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50A2B2B1">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1934B40D">
                  <w:pPr>
                    <w:keepNext w:val="0"/>
                    <w:keepLines w:val="0"/>
                    <w:suppressLineNumbers w:val="0"/>
                    <w:spacing w:before="0" w:beforeAutospacing="0" w:after="0" w:afterAutospacing="0"/>
                    <w:ind w:left="0" w:right="0"/>
                    <w:jc w:val="center"/>
                    <w:rPr>
                      <w:rFonts w:hint="default"/>
                      <w:color w:val="auto"/>
                      <w:szCs w:val="21"/>
                      <w:highlight w:val="none"/>
                    </w:rPr>
                  </w:pPr>
                </w:p>
              </w:tc>
              <w:tc>
                <w:tcPr>
                  <w:tcW w:w="426" w:type="dxa"/>
                  <w:vMerge w:val="continue"/>
                  <w:noWrap w:val="0"/>
                  <w:vAlign w:val="center"/>
                </w:tcPr>
                <w:p w14:paraId="3FB5B949">
                  <w:pPr>
                    <w:keepNext w:val="0"/>
                    <w:keepLines w:val="0"/>
                    <w:suppressLineNumbers w:val="0"/>
                    <w:spacing w:before="0" w:beforeAutospacing="0" w:after="0" w:afterAutospacing="0"/>
                    <w:ind w:left="0" w:right="0"/>
                    <w:jc w:val="center"/>
                    <w:rPr>
                      <w:rFonts w:hint="default"/>
                      <w:color w:val="auto"/>
                      <w:szCs w:val="21"/>
                      <w:highlight w:val="none"/>
                    </w:rPr>
                  </w:pPr>
                </w:p>
              </w:tc>
              <w:tc>
                <w:tcPr>
                  <w:tcW w:w="809" w:type="dxa"/>
                  <w:vMerge w:val="restart"/>
                  <w:noWrap w:val="0"/>
                  <w:vAlign w:val="center"/>
                </w:tcPr>
                <w:p w14:paraId="3F80A0CA">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粪大肠菌群</w:t>
                  </w:r>
                </w:p>
              </w:tc>
              <w:tc>
                <w:tcPr>
                  <w:tcW w:w="1278" w:type="dxa"/>
                  <w:vMerge w:val="restart"/>
                  <w:noWrap w:val="0"/>
                  <w:vAlign w:val="center"/>
                </w:tcPr>
                <w:p w14:paraId="481EC75B">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r>
                    <w:rPr>
                      <w:rFonts w:hint="default" w:ascii="Times New Roman" w:hAnsi="Times New Roman"/>
                      <w:color w:val="auto"/>
                      <w:sz w:val="21"/>
                      <w:szCs w:val="21"/>
                      <w:highlight w:val="none"/>
                      <w:lang w:val="en-US" w:eastAsia="zh-CN"/>
                    </w:rPr>
                    <w:t>1000MPN/L</w:t>
                  </w:r>
                </w:p>
              </w:tc>
            </w:tr>
            <w:tr w14:paraId="430DB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426" w:type="dxa"/>
                  <w:noWrap w:val="0"/>
                  <w:vAlign w:val="center"/>
                </w:tcPr>
                <w:p w14:paraId="0D232D33">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535" w:type="dxa"/>
                  <w:noWrap w:val="0"/>
                  <w:vAlign w:val="center"/>
                </w:tcPr>
                <w:p w14:paraId="13D81949">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default"/>
                      <w:color w:val="auto"/>
                      <w:szCs w:val="21"/>
                      <w:highlight w:val="none"/>
                    </w:rPr>
                    <w:t>DW00</w:t>
                  </w:r>
                  <w:r>
                    <w:rPr>
                      <w:rFonts w:hint="eastAsia"/>
                      <w:color w:val="auto"/>
                      <w:szCs w:val="21"/>
                      <w:highlight w:val="none"/>
                      <w:lang w:val="en-US" w:eastAsia="zh-CN"/>
                    </w:rPr>
                    <w:t>2</w:t>
                  </w:r>
                </w:p>
              </w:tc>
              <w:tc>
                <w:tcPr>
                  <w:tcW w:w="1421" w:type="dxa"/>
                  <w:noWrap w:val="0"/>
                  <w:vAlign w:val="center"/>
                </w:tcPr>
                <w:p w14:paraId="77B0E317">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130.559302</w:t>
                  </w:r>
                </w:p>
              </w:tc>
              <w:tc>
                <w:tcPr>
                  <w:tcW w:w="1187" w:type="dxa"/>
                  <w:noWrap w:val="0"/>
                  <w:vAlign w:val="center"/>
                </w:tcPr>
                <w:p w14:paraId="49A071AB">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46.2682349</w:t>
                  </w:r>
                </w:p>
              </w:tc>
              <w:tc>
                <w:tcPr>
                  <w:tcW w:w="881" w:type="dxa"/>
                  <w:noWrap w:val="0"/>
                  <w:vAlign w:val="center"/>
                </w:tcPr>
                <w:p w14:paraId="1A1E4C95">
                  <w:pPr>
                    <w:keepNext w:val="0"/>
                    <w:keepLines w:val="0"/>
                    <w:suppressLineNumbers w:val="0"/>
                    <w:spacing w:before="0" w:beforeAutospacing="0" w:after="0" w:afterAutospacing="0"/>
                    <w:ind w:left="0" w:right="0"/>
                    <w:jc w:val="center"/>
                    <w:rPr>
                      <w:rFonts w:hint="default"/>
                      <w:color w:val="auto"/>
                      <w:szCs w:val="21"/>
                      <w:highlight w:val="none"/>
                      <w:lang w:val="en-US"/>
                    </w:rPr>
                  </w:pPr>
                  <w:r>
                    <w:rPr>
                      <w:rFonts w:hint="default" w:ascii="Times New Roman" w:hAnsi="Times New Roman" w:eastAsia="宋体" w:cs="Times New Roman"/>
                      <w:color w:val="auto"/>
                      <w:kern w:val="0"/>
                      <w:sz w:val="21"/>
                      <w:szCs w:val="21"/>
                      <w:lang w:val="en-US" w:eastAsia="zh-CN"/>
                    </w:rPr>
                    <w:t>28293.71</w:t>
                  </w:r>
                </w:p>
              </w:tc>
              <w:tc>
                <w:tcPr>
                  <w:tcW w:w="1082" w:type="dxa"/>
                  <w:noWrap w:val="0"/>
                  <w:vAlign w:val="center"/>
                </w:tcPr>
                <w:p w14:paraId="060C9376">
                  <w:pPr>
                    <w:keepNext w:val="0"/>
                    <w:keepLines w:val="0"/>
                    <w:suppressLineNumbers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val="en-US" w:eastAsia="zh-CN"/>
                    </w:rPr>
                    <w:t>经厂内污水处理站处理后排入桦南浦华净源水务有限公司（桦南浦华净源水务有限公司（桦南县污水处理厂））</w:t>
                  </w:r>
                </w:p>
              </w:tc>
              <w:tc>
                <w:tcPr>
                  <w:tcW w:w="426" w:type="dxa"/>
                  <w:noWrap w:val="0"/>
                  <w:vAlign w:val="center"/>
                </w:tcPr>
                <w:p w14:paraId="0E2D24B3">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lang w:val="en-US" w:eastAsia="zh-CN"/>
                    </w:rPr>
                    <w:t>间歇</w:t>
                  </w:r>
                  <w:r>
                    <w:rPr>
                      <w:rFonts w:hint="default"/>
                      <w:color w:val="auto"/>
                      <w:szCs w:val="21"/>
                      <w:highlight w:val="none"/>
                    </w:rPr>
                    <w:t>排放</w:t>
                  </w:r>
                </w:p>
              </w:tc>
              <w:tc>
                <w:tcPr>
                  <w:tcW w:w="426" w:type="dxa"/>
                  <w:noWrap w:val="0"/>
                  <w:vAlign w:val="center"/>
                </w:tcPr>
                <w:p w14:paraId="4CF2DC1F">
                  <w:pPr>
                    <w:keepNext w:val="0"/>
                    <w:keepLines w:val="0"/>
                    <w:suppressLineNumbers w:val="0"/>
                    <w:spacing w:before="0" w:beforeAutospacing="0" w:after="0" w:afterAutospacing="0"/>
                    <w:ind w:left="0" w:right="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426" w:type="dxa"/>
                  <w:vMerge w:val="continue"/>
                  <w:noWrap w:val="0"/>
                  <w:vAlign w:val="center"/>
                </w:tcPr>
                <w:p w14:paraId="11545A1C">
                  <w:pPr>
                    <w:keepNext w:val="0"/>
                    <w:keepLines w:val="0"/>
                    <w:suppressLineNumbers w:val="0"/>
                    <w:spacing w:before="0" w:beforeAutospacing="0" w:after="0" w:afterAutospacing="0"/>
                    <w:ind w:left="0" w:right="0"/>
                    <w:jc w:val="center"/>
                    <w:rPr>
                      <w:rFonts w:hint="default"/>
                      <w:color w:val="auto"/>
                      <w:szCs w:val="21"/>
                      <w:highlight w:val="none"/>
                    </w:rPr>
                  </w:pPr>
                </w:p>
              </w:tc>
              <w:tc>
                <w:tcPr>
                  <w:tcW w:w="809" w:type="dxa"/>
                  <w:vMerge w:val="continue"/>
                  <w:noWrap w:val="0"/>
                  <w:vAlign w:val="center"/>
                </w:tcPr>
                <w:p w14:paraId="2BA02C9E">
                  <w:pPr>
                    <w:keepNext w:val="0"/>
                    <w:keepLines w:val="0"/>
                    <w:suppressLineNumbers w:val="0"/>
                    <w:spacing w:before="0" w:beforeAutospacing="0" w:after="0" w:afterAutospacing="0"/>
                    <w:ind w:left="0" w:right="0"/>
                    <w:jc w:val="center"/>
                    <w:rPr>
                      <w:rFonts w:hint="default"/>
                      <w:color w:val="auto"/>
                      <w:szCs w:val="21"/>
                      <w:highlight w:val="none"/>
                    </w:rPr>
                  </w:pPr>
                </w:p>
              </w:tc>
              <w:tc>
                <w:tcPr>
                  <w:tcW w:w="1278" w:type="dxa"/>
                  <w:vMerge w:val="continue"/>
                  <w:noWrap w:val="0"/>
                  <w:vAlign w:val="center"/>
                </w:tcPr>
                <w:p w14:paraId="7A935D07">
                  <w:pPr>
                    <w:pStyle w:val="33"/>
                    <w:keepNext w:val="0"/>
                    <w:keepLines w:val="0"/>
                    <w:suppressLineNumbers w:val="0"/>
                    <w:ind w:left="0" w:right="0"/>
                    <w:jc w:val="center"/>
                    <w:rPr>
                      <w:rFonts w:hint="default" w:ascii="Times New Roman" w:hAnsi="Times New Roman"/>
                      <w:color w:val="auto"/>
                      <w:sz w:val="21"/>
                      <w:szCs w:val="21"/>
                      <w:highlight w:val="none"/>
                      <w:lang w:val="en-US" w:eastAsia="zh-CN"/>
                    </w:rPr>
                  </w:pPr>
                </w:p>
              </w:tc>
            </w:tr>
          </w:tbl>
          <w:p w14:paraId="166106BD">
            <w:pPr>
              <w:keepNext w:val="0"/>
              <w:keepLines w:val="0"/>
              <w:suppressLineNumbers w:val="0"/>
              <w:spacing w:before="0" w:beforeAutospacing="0" w:after="0" w:afterAutospacing="0" w:line="360" w:lineRule="auto"/>
              <w:ind w:left="0" w:right="0" w:firstLine="480" w:firstLineChars="200"/>
              <w:rPr>
                <w:rFonts w:hint="default" w:eastAsia="宋体" w:cs="Times New Roman"/>
                <w:color w:val="auto"/>
                <w:sz w:val="24"/>
                <w:szCs w:val="24"/>
                <w:lang w:val="en-US" w:eastAsia="zh-CN"/>
              </w:rPr>
            </w:pPr>
            <w:r>
              <w:rPr>
                <w:rFonts w:hint="eastAsia" w:eastAsia="宋体" w:cs="Times New Roman"/>
                <w:color w:val="auto"/>
                <w:sz w:val="24"/>
                <w:szCs w:val="24"/>
                <w:lang w:val="en-US" w:eastAsia="zh-CN"/>
              </w:rPr>
              <w:t>4、监测要求</w:t>
            </w:r>
          </w:p>
          <w:p w14:paraId="48E1BB0B">
            <w:pPr>
              <w:keepNext w:val="0"/>
              <w:keepLines w:val="0"/>
              <w:suppressLineNumbers w:val="0"/>
              <w:spacing w:before="0" w:beforeAutospacing="0" w:after="0" w:afterAutospacing="0" w:line="360" w:lineRule="auto"/>
              <w:ind w:left="0" w:right="0" w:firstLine="480" w:firstLineChars="200"/>
              <w:rPr>
                <w:rFonts w:hint="eastAsia" w:eastAsia="宋体" w:cs="Times New Roman"/>
                <w:color w:val="auto"/>
                <w:sz w:val="24"/>
                <w:szCs w:val="24"/>
                <w:lang w:eastAsia="zh-CN"/>
              </w:rPr>
            </w:pPr>
            <w:r>
              <w:rPr>
                <w:rFonts w:hint="default" w:eastAsia="宋体" w:cs="Times New Roman"/>
                <w:color w:val="auto"/>
                <w:sz w:val="24"/>
                <w:szCs w:val="24"/>
                <w:lang w:val="en-US" w:eastAsia="zh-CN"/>
              </w:rPr>
              <w:t>本次环评根据《排污单位自行监测技术指南 农副食品加工业》（HJ 986-2018）和《排污许可证申请与核发技术规范 农副食品加工工业</w:t>
            </w:r>
            <w:r>
              <w:rPr>
                <w:rFonts w:hint="eastAsia" w:eastAsia="宋体" w:cs="Times New Roman"/>
                <w:color w:val="auto"/>
                <w:sz w:val="24"/>
                <w:szCs w:val="24"/>
                <w:lang w:val="en-US" w:eastAsia="zh-CN"/>
              </w:rPr>
              <w:t>-</w:t>
            </w:r>
            <w:r>
              <w:rPr>
                <w:rFonts w:hint="default" w:eastAsia="宋体" w:cs="Times New Roman"/>
                <w:color w:val="auto"/>
                <w:sz w:val="24"/>
                <w:szCs w:val="24"/>
                <w:lang w:val="en-US" w:eastAsia="zh-CN"/>
              </w:rPr>
              <w:t>饲料加工、植物油加工工业》（HJ 1110</w:t>
            </w:r>
            <w:r>
              <w:rPr>
                <w:rFonts w:hint="eastAsia" w:eastAsia="宋体" w:cs="Times New Roman"/>
                <w:color w:val="auto"/>
                <w:sz w:val="24"/>
                <w:szCs w:val="24"/>
                <w:lang w:val="en-US" w:eastAsia="zh-CN"/>
              </w:rPr>
              <w:t>-</w:t>
            </w:r>
            <w:r>
              <w:rPr>
                <w:rFonts w:hint="default" w:eastAsia="宋体" w:cs="Times New Roman"/>
                <w:color w:val="auto"/>
                <w:sz w:val="24"/>
                <w:szCs w:val="24"/>
                <w:lang w:val="en-US" w:eastAsia="zh-CN"/>
              </w:rPr>
              <w:t>2020）</w:t>
            </w:r>
            <w:r>
              <w:rPr>
                <w:rFonts w:hint="eastAsia" w:eastAsia="宋体" w:cs="Times New Roman"/>
                <w:color w:val="auto"/>
                <w:sz w:val="24"/>
                <w:szCs w:val="24"/>
                <w:lang w:eastAsia="zh-CN"/>
              </w:rPr>
              <w:t>提出项目生产运行阶段的污染源监测计划，详见下表：</w:t>
            </w:r>
          </w:p>
          <w:p w14:paraId="2C239C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color w:val="auto"/>
                <w:sz w:val="24"/>
                <w:szCs w:val="24"/>
              </w:rPr>
            </w:pPr>
            <w:r>
              <w:rPr>
                <w:rFonts w:hint="eastAsia" w:eastAsia="宋体"/>
                <w:b/>
                <w:bCs/>
                <w:color w:val="auto"/>
                <w:sz w:val="24"/>
                <w:szCs w:val="24"/>
              </w:rPr>
              <w:t>表4-1</w:t>
            </w:r>
            <w:r>
              <w:rPr>
                <w:rFonts w:hint="eastAsia"/>
                <w:b/>
                <w:bCs/>
                <w:color w:val="auto"/>
                <w:sz w:val="24"/>
                <w:szCs w:val="24"/>
                <w:lang w:val="en-US" w:eastAsia="zh-CN"/>
              </w:rPr>
              <w:t>3</w:t>
            </w:r>
            <w:r>
              <w:rPr>
                <w:rFonts w:hint="eastAsia" w:eastAsia="宋体"/>
                <w:b/>
                <w:bCs/>
                <w:color w:val="auto"/>
                <w:sz w:val="24"/>
                <w:szCs w:val="24"/>
              </w:rPr>
              <w:t xml:space="preserve"> 废水监测方案</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3493"/>
              <w:gridCol w:w="1818"/>
              <w:gridCol w:w="2237"/>
            </w:tblGrid>
            <w:tr w14:paraId="59679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noWrap w:val="0"/>
                  <w:vAlign w:val="center"/>
                </w:tcPr>
                <w:p w14:paraId="4C3C416A">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监测点位</w:t>
                  </w:r>
                </w:p>
              </w:tc>
              <w:tc>
                <w:tcPr>
                  <w:tcW w:w="1968" w:type="pct"/>
                  <w:noWrap w:val="0"/>
                  <w:vAlign w:val="center"/>
                </w:tcPr>
                <w:p w14:paraId="4BEEC7D5">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监测指标</w:t>
                  </w:r>
                </w:p>
              </w:tc>
              <w:tc>
                <w:tcPr>
                  <w:tcW w:w="1024" w:type="pct"/>
                  <w:noWrap w:val="0"/>
                  <w:vAlign w:val="center"/>
                </w:tcPr>
                <w:p w14:paraId="4CAE0CC0">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监测频次</w:t>
                  </w:r>
                </w:p>
              </w:tc>
              <w:tc>
                <w:tcPr>
                  <w:tcW w:w="1260" w:type="pct"/>
                  <w:noWrap w:val="0"/>
                  <w:vAlign w:val="center"/>
                </w:tcPr>
                <w:p w14:paraId="6BCDDE4E">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执行标准</w:t>
                  </w:r>
                </w:p>
              </w:tc>
            </w:tr>
            <w:tr w14:paraId="7B22B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restart"/>
                  <w:noWrap w:val="0"/>
                  <w:vAlign w:val="center"/>
                </w:tcPr>
                <w:p w14:paraId="336CBAD1">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生产</w:t>
                  </w:r>
                  <w:r>
                    <w:rPr>
                      <w:rFonts w:hint="eastAsia" w:ascii="Times New Roman" w:hAnsi="Times New Roman" w:eastAsia="宋体" w:cs="Times New Roman"/>
                      <w:color w:val="auto"/>
                      <w:sz w:val="21"/>
                      <w:szCs w:val="21"/>
                      <w:highlight w:val="none"/>
                      <w:lang w:val="en-US" w:eastAsia="zh-CN"/>
                    </w:rPr>
                    <w:t>污水总排放口</w:t>
                  </w:r>
                </w:p>
              </w:tc>
              <w:tc>
                <w:tcPr>
                  <w:tcW w:w="1968" w:type="pct"/>
                  <w:noWrap w:val="0"/>
                  <w:vAlign w:val="center"/>
                </w:tcPr>
                <w:p w14:paraId="3F76F127">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流量、pH值、化学需氧量、氨氮</w:t>
                  </w:r>
                </w:p>
              </w:tc>
              <w:tc>
                <w:tcPr>
                  <w:tcW w:w="1024" w:type="pct"/>
                  <w:noWrap w:val="0"/>
                  <w:vAlign w:val="center"/>
                </w:tcPr>
                <w:p w14:paraId="1C75E186">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自动监测</w:t>
                  </w:r>
                </w:p>
              </w:tc>
              <w:tc>
                <w:tcPr>
                  <w:tcW w:w="1260" w:type="pct"/>
                  <w:vMerge w:val="restart"/>
                  <w:noWrap w:val="0"/>
                  <w:vAlign w:val="center"/>
                </w:tcPr>
                <w:p w14:paraId="4C8BB9D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桦南浦华净源水务有限公司（桦南县污水处理厂）</w:t>
                  </w:r>
                  <w:r>
                    <w:rPr>
                      <w:rFonts w:hint="eastAsia" w:ascii="Times New Roman" w:hAnsi="Times New Roman" w:eastAsia="宋体" w:cs="Times New Roman"/>
                      <w:color w:val="auto"/>
                      <w:kern w:val="2"/>
                      <w:sz w:val="21"/>
                      <w:szCs w:val="21"/>
                      <w:highlight w:val="none"/>
                      <w:lang w:val="en-US" w:eastAsia="zh-CN" w:bidi="ar-SA"/>
                    </w:rPr>
                    <w:t>进水水质指标</w:t>
                  </w:r>
                </w:p>
              </w:tc>
            </w:tr>
            <w:tr w14:paraId="287174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0E4EC88A">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0157E040">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总磷</w:t>
                  </w:r>
                </w:p>
              </w:tc>
              <w:tc>
                <w:tcPr>
                  <w:tcW w:w="1024" w:type="pct"/>
                  <w:noWrap w:val="0"/>
                  <w:vAlign w:val="center"/>
                </w:tcPr>
                <w:p w14:paraId="315D5035">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季度</w:t>
                  </w:r>
                </w:p>
              </w:tc>
              <w:tc>
                <w:tcPr>
                  <w:tcW w:w="1260" w:type="pct"/>
                  <w:vMerge w:val="continue"/>
                  <w:noWrap w:val="0"/>
                  <w:vAlign w:val="center"/>
                </w:tcPr>
                <w:p w14:paraId="142D542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7AF56D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22F09C6D">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1C54CE42">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1024" w:type="pct"/>
                  <w:noWrap w:val="0"/>
                  <w:vAlign w:val="center"/>
                </w:tcPr>
                <w:p w14:paraId="2BB18194">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季度</w:t>
                  </w:r>
                </w:p>
              </w:tc>
              <w:tc>
                <w:tcPr>
                  <w:tcW w:w="1260" w:type="pct"/>
                  <w:vMerge w:val="continue"/>
                  <w:noWrap w:val="0"/>
                  <w:vAlign w:val="center"/>
                </w:tcPr>
                <w:p w14:paraId="0FE8B95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16A3B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2EB96058">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663F776C">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悬浮物、五日生化需氧量</w:t>
                  </w:r>
                </w:p>
              </w:tc>
              <w:tc>
                <w:tcPr>
                  <w:tcW w:w="1024" w:type="pct"/>
                  <w:noWrap w:val="0"/>
                  <w:vAlign w:val="center"/>
                </w:tcPr>
                <w:p w14:paraId="6E9535DD">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季度</w:t>
                  </w:r>
                </w:p>
              </w:tc>
              <w:tc>
                <w:tcPr>
                  <w:tcW w:w="1260" w:type="pct"/>
                  <w:vMerge w:val="continue"/>
                  <w:noWrap w:val="0"/>
                  <w:vAlign w:val="center"/>
                </w:tcPr>
                <w:p w14:paraId="5757CEDC">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4F7D69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1B9B08A8">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7E346CD6">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动植物油</w:t>
                  </w:r>
                </w:p>
              </w:tc>
              <w:tc>
                <w:tcPr>
                  <w:tcW w:w="1024" w:type="pct"/>
                  <w:noWrap w:val="0"/>
                  <w:vAlign w:val="center"/>
                </w:tcPr>
                <w:p w14:paraId="774E9D5D">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季度</w:t>
                  </w:r>
                </w:p>
              </w:tc>
              <w:tc>
                <w:tcPr>
                  <w:tcW w:w="1260" w:type="pct"/>
                  <w:vMerge w:val="continue"/>
                  <w:noWrap w:val="0"/>
                  <w:vAlign w:val="center"/>
                </w:tcPr>
                <w:p w14:paraId="3BAB5F4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061EA0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restart"/>
                  <w:noWrap w:val="0"/>
                  <w:vAlign w:val="center"/>
                </w:tcPr>
                <w:p w14:paraId="5303EAE6">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eastAsia="宋体"/>
                      <w:color w:val="auto"/>
                      <w:sz w:val="21"/>
                      <w:szCs w:val="21"/>
                      <w:lang w:val="en-US" w:eastAsia="zh-CN"/>
                    </w:rPr>
                    <w:t>生活污水总排放口</w:t>
                  </w:r>
                </w:p>
              </w:tc>
              <w:tc>
                <w:tcPr>
                  <w:tcW w:w="1968" w:type="pct"/>
                  <w:noWrap w:val="0"/>
                  <w:vAlign w:val="center"/>
                </w:tcPr>
                <w:p w14:paraId="0BCEB515">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流量、pH值、化学需氧量、氨氮</w:t>
                  </w:r>
                </w:p>
              </w:tc>
              <w:tc>
                <w:tcPr>
                  <w:tcW w:w="1024" w:type="pct"/>
                  <w:noWrap w:val="0"/>
                  <w:vAlign w:val="center"/>
                </w:tcPr>
                <w:p w14:paraId="56AE84BB">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自动监测</w:t>
                  </w:r>
                </w:p>
              </w:tc>
              <w:tc>
                <w:tcPr>
                  <w:tcW w:w="1260" w:type="pct"/>
                  <w:vMerge w:val="restart"/>
                  <w:noWrap w:val="0"/>
                  <w:vAlign w:val="center"/>
                </w:tcPr>
                <w:p w14:paraId="331094C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桦南浦华净源水务有限公司（桦南县污水处理厂）</w:t>
                  </w:r>
                  <w:r>
                    <w:rPr>
                      <w:rFonts w:hint="eastAsia" w:ascii="Times New Roman" w:hAnsi="Times New Roman" w:eastAsia="宋体" w:cs="Times New Roman"/>
                      <w:color w:val="auto"/>
                      <w:kern w:val="2"/>
                      <w:sz w:val="21"/>
                      <w:szCs w:val="21"/>
                      <w:highlight w:val="none"/>
                      <w:lang w:val="en-US" w:eastAsia="zh-CN" w:bidi="ar-SA"/>
                    </w:rPr>
                    <w:t>进水水质指标</w:t>
                  </w:r>
                </w:p>
              </w:tc>
            </w:tr>
            <w:tr w14:paraId="4C32E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165B30E4">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4B1B668D">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总磷</w:t>
                  </w:r>
                </w:p>
              </w:tc>
              <w:tc>
                <w:tcPr>
                  <w:tcW w:w="1024" w:type="pct"/>
                  <w:noWrap w:val="0"/>
                  <w:vAlign w:val="center"/>
                </w:tcPr>
                <w:p w14:paraId="7FFDEE53">
                  <w:pPr>
                    <w:keepNext w:val="0"/>
                    <w:keepLines w:val="0"/>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月</w:t>
                  </w:r>
                </w:p>
              </w:tc>
              <w:tc>
                <w:tcPr>
                  <w:tcW w:w="1260" w:type="pct"/>
                  <w:vMerge w:val="continue"/>
                  <w:noWrap w:val="0"/>
                  <w:vAlign w:val="center"/>
                </w:tcPr>
                <w:p w14:paraId="5D8CA47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32BC89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02511E3E">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143EA180">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1024" w:type="pct"/>
                  <w:noWrap w:val="0"/>
                  <w:vAlign w:val="center"/>
                </w:tcPr>
                <w:p w14:paraId="0DF3AC52">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月</w:t>
                  </w:r>
                </w:p>
              </w:tc>
              <w:tc>
                <w:tcPr>
                  <w:tcW w:w="1260" w:type="pct"/>
                  <w:vMerge w:val="continue"/>
                  <w:noWrap w:val="0"/>
                  <w:vAlign w:val="center"/>
                </w:tcPr>
                <w:p w14:paraId="4256229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r w14:paraId="74181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746" w:type="pct"/>
                  <w:vMerge w:val="continue"/>
                  <w:noWrap w:val="0"/>
                  <w:vAlign w:val="center"/>
                </w:tcPr>
                <w:p w14:paraId="2EAD668C">
                  <w:pPr>
                    <w:keepNext w:val="0"/>
                    <w:keepLines w:val="0"/>
                    <w:widowControl/>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p>
              </w:tc>
              <w:tc>
                <w:tcPr>
                  <w:tcW w:w="1968" w:type="pct"/>
                  <w:noWrap w:val="0"/>
                  <w:vAlign w:val="center"/>
                </w:tcPr>
                <w:p w14:paraId="75B33EFC">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悬浮物、五日生化需氧量</w:t>
                  </w:r>
                </w:p>
              </w:tc>
              <w:tc>
                <w:tcPr>
                  <w:tcW w:w="1024" w:type="pct"/>
                  <w:noWrap w:val="0"/>
                  <w:vAlign w:val="center"/>
                </w:tcPr>
                <w:p w14:paraId="618ECB41">
                  <w:pPr>
                    <w:keepNext w:val="0"/>
                    <w:keepLines w:val="0"/>
                    <w:suppressLineNumbers w:val="0"/>
                    <w:spacing w:before="0" w:beforeAutospacing="0" w:after="0" w:afterAutospacing="0" w:line="240" w:lineRule="auto"/>
                    <w:ind w:left="0" w:right="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月</w:t>
                  </w:r>
                </w:p>
              </w:tc>
              <w:tc>
                <w:tcPr>
                  <w:tcW w:w="1260" w:type="pct"/>
                  <w:vMerge w:val="continue"/>
                  <w:noWrap w:val="0"/>
                  <w:vAlign w:val="center"/>
                </w:tcPr>
                <w:p w14:paraId="56F42456">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p>
              </w:tc>
            </w:tr>
          </w:tbl>
          <w:p w14:paraId="1267DD45">
            <w:pPr>
              <w:keepNext w:val="0"/>
              <w:keepLines w:val="0"/>
              <w:suppressLineNumbers w:val="0"/>
              <w:spacing w:before="0" w:beforeAutospacing="0" w:after="0" w:afterAutospacing="0" w:line="360" w:lineRule="auto"/>
              <w:ind w:left="0" w:right="0" w:firstLine="480" w:firstLineChars="200"/>
              <w:rPr>
                <w:rFonts w:hint="default" w:eastAsia="宋体" w:cs="Times New Roman"/>
                <w:color w:val="auto"/>
                <w:sz w:val="24"/>
                <w:szCs w:val="24"/>
                <w:lang w:val="en-US" w:eastAsia="zh-CN"/>
              </w:rPr>
            </w:pPr>
            <w:r>
              <w:rPr>
                <w:rFonts w:hint="eastAsia" w:eastAsia="宋体" w:cs="Times New Roman"/>
                <w:color w:val="auto"/>
                <w:sz w:val="24"/>
                <w:szCs w:val="24"/>
                <w:lang w:val="en-US" w:eastAsia="zh-CN"/>
              </w:rPr>
              <w:t>5、污染治理措施达标分析</w:t>
            </w:r>
          </w:p>
          <w:p w14:paraId="2BA5104F">
            <w:pPr>
              <w:keepNext w:val="0"/>
              <w:keepLines w:val="0"/>
              <w:suppressLineNumbers w:val="0"/>
              <w:spacing w:before="0" w:beforeAutospacing="0" w:after="0" w:afterAutospacing="0" w:line="360" w:lineRule="auto"/>
              <w:ind w:left="0" w:right="0" w:firstLine="480" w:firstLineChars="200"/>
              <w:rPr>
                <w:rFonts w:hint="default" w:eastAsia="宋体" w:cs="Times New Roman"/>
                <w:color w:val="auto"/>
                <w:sz w:val="24"/>
                <w:szCs w:val="24"/>
                <w:lang w:val="en-US" w:eastAsia="zh-CN"/>
              </w:rPr>
            </w:pPr>
            <w:r>
              <w:rPr>
                <w:rFonts w:hint="eastAsia" w:eastAsia="宋体" w:cs="Times New Roman"/>
                <w:color w:val="auto"/>
                <w:sz w:val="24"/>
                <w:szCs w:val="24"/>
                <w:lang w:val="en-US" w:eastAsia="zh-CN"/>
              </w:rPr>
              <w:t>综合以上分析可知，</w:t>
            </w:r>
            <w:r>
              <w:rPr>
                <w:rFonts w:hint="eastAsia" w:cs="Times New Roman"/>
                <w:color w:val="auto"/>
                <w:sz w:val="24"/>
                <w:szCs w:val="24"/>
                <w:lang w:val="en-US" w:eastAsia="zh-CN"/>
              </w:rPr>
              <w:t>本项目生活用本项目废水主要为生产废水和生活废水，生活废水通过污水管网排入市政管线。</w:t>
            </w:r>
            <w:r>
              <w:rPr>
                <w:rFonts w:hint="eastAsia" w:cs="Times New Roman"/>
                <w:smallCaps w:val="0"/>
                <w:color w:val="auto"/>
                <w:sz w:val="24"/>
                <w:szCs w:val="24"/>
                <w:highlight w:val="none"/>
                <w:lang w:val="en-US" w:eastAsia="zh-CN"/>
              </w:rPr>
              <w:t>生产废水包括锅炉排污水、设备清洗水、浸出废水，锅炉废水部分用于厂区洒水降尘和灰渣加湿，剩余部分和设备清洗水、浸出废水一同排入厂内污水处理站</w:t>
            </w:r>
            <w:r>
              <w:rPr>
                <w:rFonts w:hint="eastAsia" w:cs="Times New Roman"/>
                <w:color w:val="auto"/>
                <w:sz w:val="24"/>
                <w:szCs w:val="24"/>
                <w:lang w:val="en-US" w:eastAsia="zh-CN"/>
              </w:rPr>
              <w:t>，处理达标后排入市政管网，进入桦南浦华净源水务有限公司（桦南县污水处理厂）。</w:t>
            </w:r>
            <w:r>
              <w:rPr>
                <w:rFonts w:hint="eastAsia" w:eastAsia="宋体" w:cs="Times New Roman"/>
                <w:color w:val="auto"/>
                <w:sz w:val="24"/>
                <w:szCs w:val="24"/>
                <w:lang w:val="en-US" w:eastAsia="zh-CN"/>
              </w:rPr>
              <w:t>根据类比分析数据结合污水处理站处理效率，本项目所排放的废水中各项污染物均能够满足</w:t>
            </w:r>
            <w:r>
              <w:rPr>
                <w:rFonts w:hint="eastAsia" w:cs="Times New Roman"/>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进水水质指标。</w:t>
            </w:r>
          </w:p>
          <w:p w14:paraId="7834F14A">
            <w:pPr>
              <w:keepNext w:val="0"/>
              <w:keepLines w:val="0"/>
              <w:suppressLineNumbers w:val="0"/>
              <w:spacing w:before="0" w:beforeAutospacing="0" w:after="0" w:afterAutospacing="0" w:line="360" w:lineRule="auto"/>
              <w:ind w:left="0" w:right="0" w:firstLine="480" w:firstLineChars="200"/>
              <w:rPr>
                <w:rFonts w:hint="default" w:eastAsia="宋体" w:cs="Times New Roman"/>
                <w:color w:val="auto"/>
                <w:sz w:val="24"/>
                <w:szCs w:val="24"/>
                <w:lang w:val="en-US" w:eastAsia="zh-CN"/>
              </w:rPr>
            </w:pPr>
            <w:r>
              <w:rPr>
                <w:rFonts w:hint="eastAsia" w:eastAsia="宋体" w:cs="Times New Roman"/>
                <w:color w:val="auto"/>
                <w:sz w:val="24"/>
                <w:szCs w:val="24"/>
                <w:lang w:val="en-US" w:eastAsia="zh-CN"/>
              </w:rPr>
              <w:t>6、依托</w:t>
            </w:r>
            <w:r>
              <w:rPr>
                <w:rFonts w:hint="eastAsia" w:cs="Times New Roman"/>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的可行性分析</w:t>
            </w:r>
          </w:p>
          <w:p w14:paraId="34A6118B">
            <w:pPr>
              <w:spacing w:line="360" w:lineRule="auto"/>
              <w:ind w:firstLine="480" w:firstLineChars="200"/>
              <w:rPr>
                <w:rFonts w:eastAsia="黑体"/>
                <w:bCs/>
                <w:color w:val="auto"/>
                <w:sz w:val="28"/>
                <w:szCs w:val="28"/>
              </w:rPr>
            </w:pPr>
            <w:r>
              <w:rPr>
                <w:rFonts w:hint="eastAsia" w:eastAsia="宋体" w:cs="Times New Roman"/>
                <w:color w:val="auto"/>
                <w:sz w:val="24"/>
                <w:szCs w:val="24"/>
                <w:lang w:val="en-US" w:eastAsia="zh-CN"/>
              </w:rPr>
              <w:t>厂区排水管道流入</w:t>
            </w:r>
            <w:r>
              <w:rPr>
                <w:rFonts w:hint="eastAsia" w:cs="Times New Roman"/>
                <w:b w:val="0"/>
                <w:bCs w:val="0"/>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处置，处理后满足《城镇污水处理厂污染物排放标准》（GB18918-2002）一级A后排</w:t>
            </w:r>
            <w:r>
              <w:rPr>
                <w:rFonts w:hint="eastAsia" w:cs="Times New Roman"/>
                <w:color w:val="auto"/>
                <w:sz w:val="24"/>
                <w:szCs w:val="24"/>
                <w:lang w:val="en-US" w:eastAsia="zh-CN"/>
              </w:rPr>
              <w:t>放</w:t>
            </w:r>
            <w:r>
              <w:rPr>
                <w:rFonts w:hint="eastAsia" w:eastAsia="宋体" w:cs="Times New Roman"/>
                <w:color w:val="auto"/>
                <w:sz w:val="24"/>
                <w:szCs w:val="24"/>
                <w:lang w:val="en-US" w:eastAsia="zh-CN"/>
              </w:rPr>
              <w:t>。</w:t>
            </w:r>
            <w:r>
              <w:rPr>
                <w:rFonts w:hint="eastAsia" w:cs="Times New Roman"/>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设计处理能力为日处理污水1.5万立方米，厂区</w:t>
            </w:r>
            <w:r>
              <w:rPr>
                <w:rFonts w:hint="eastAsia" w:cs="Times New Roman"/>
                <w:color w:val="auto"/>
                <w:sz w:val="24"/>
                <w:szCs w:val="24"/>
                <w:lang w:val="en-US" w:eastAsia="zh-CN"/>
              </w:rPr>
              <w:t>主体</w:t>
            </w:r>
            <w:r>
              <w:rPr>
                <w:rFonts w:hint="eastAsia" w:eastAsia="宋体" w:cs="Times New Roman"/>
                <w:color w:val="auto"/>
                <w:sz w:val="24"/>
                <w:szCs w:val="24"/>
                <w:lang w:val="en-US" w:eastAsia="zh-CN"/>
              </w:rPr>
              <w:t>工艺采用三级A/O处理工艺，污泥采用机械浓缩脱水工艺，经处理后的污水水质排放标准为《城镇污水处理厂污染物排放标准》（GB18918-2002）一级A标准。本项目产生废水</w:t>
            </w:r>
            <w:r>
              <w:rPr>
                <w:rFonts w:hint="eastAsia" w:cs="Times New Roman"/>
                <w:color w:val="auto"/>
                <w:sz w:val="24"/>
                <w:szCs w:val="24"/>
                <w:lang w:val="en-US" w:eastAsia="zh-CN"/>
              </w:rPr>
              <w:t>94.31</w:t>
            </w:r>
            <w:r>
              <w:rPr>
                <w:rFonts w:hint="eastAsia" w:eastAsia="宋体" w:cs="Times New Roman"/>
                <w:color w:val="auto"/>
                <w:sz w:val="24"/>
                <w:szCs w:val="24"/>
                <w:lang w:val="en-US" w:eastAsia="zh-CN"/>
              </w:rPr>
              <w:t>t/d，仅占</w:t>
            </w:r>
            <w:r>
              <w:rPr>
                <w:rFonts w:hint="eastAsia" w:cs="Times New Roman"/>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日处理能力的</w:t>
            </w:r>
            <w:r>
              <w:rPr>
                <w:rFonts w:hint="eastAsia" w:cs="Times New Roman"/>
                <w:color w:val="auto"/>
                <w:sz w:val="24"/>
                <w:szCs w:val="24"/>
                <w:lang w:val="en-US" w:eastAsia="zh-CN"/>
              </w:rPr>
              <w:t>0.63</w:t>
            </w:r>
            <w:r>
              <w:rPr>
                <w:rFonts w:hint="eastAsia" w:eastAsia="宋体" w:cs="Times New Roman"/>
                <w:color w:val="auto"/>
                <w:sz w:val="24"/>
                <w:szCs w:val="24"/>
                <w:lang w:val="en-US" w:eastAsia="zh-CN"/>
              </w:rPr>
              <w:t>%，因此，本项目污水依托</w:t>
            </w:r>
            <w:r>
              <w:rPr>
                <w:rFonts w:hint="eastAsia" w:cs="Times New Roman"/>
                <w:color w:val="auto"/>
                <w:sz w:val="24"/>
                <w:szCs w:val="24"/>
                <w:lang w:val="en-US" w:eastAsia="zh-CN"/>
              </w:rPr>
              <w:t>桦南浦华净源水务有限公司（桦南县污水处理厂）</w:t>
            </w:r>
            <w:r>
              <w:rPr>
                <w:rFonts w:hint="eastAsia" w:eastAsia="宋体" w:cs="Times New Roman"/>
                <w:color w:val="auto"/>
                <w:sz w:val="24"/>
                <w:szCs w:val="24"/>
                <w:lang w:val="en-US" w:eastAsia="zh-CN"/>
              </w:rPr>
              <w:t>可行。</w:t>
            </w:r>
          </w:p>
          <w:p w14:paraId="50245E92">
            <w:pPr>
              <w:spacing w:line="360" w:lineRule="auto"/>
              <w:jc w:val="left"/>
              <w:rPr>
                <w:rFonts w:eastAsia="黑体"/>
                <w:bCs/>
                <w:color w:val="auto"/>
                <w:sz w:val="28"/>
                <w:szCs w:val="28"/>
              </w:rPr>
            </w:pPr>
            <w:r>
              <w:rPr>
                <w:rFonts w:eastAsia="黑体"/>
                <w:bCs/>
                <w:color w:val="auto"/>
                <w:sz w:val="28"/>
                <w:szCs w:val="28"/>
              </w:rPr>
              <w:t>三、噪声</w:t>
            </w:r>
          </w:p>
          <w:p w14:paraId="4DD2DE3A">
            <w:pPr>
              <w:spacing w:line="360" w:lineRule="auto"/>
              <w:ind w:firstLine="480" w:firstLineChars="200"/>
              <w:rPr>
                <w:color w:val="auto"/>
                <w:sz w:val="24"/>
              </w:rPr>
            </w:pPr>
            <w:r>
              <w:rPr>
                <w:rFonts w:hint="eastAsia"/>
                <w:color w:val="auto"/>
                <w:sz w:val="24"/>
              </w:rPr>
              <w:t>1、噪声影响分析</w:t>
            </w:r>
          </w:p>
          <w:p w14:paraId="75662880">
            <w:pPr>
              <w:spacing w:line="360" w:lineRule="auto"/>
              <w:ind w:firstLine="480" w:firstLineChars="200"/>
              <w:rPr>
                <w:color w:val="auto"/>
                <w:sz w:val="24"/>
              </w:rPr>
            </w:pPr>
            <w:r>
              <w:rPr>
                <w:rFonts w:hint="eastAsia"/>
                <w:color w:val="auto"/>
                <w:sz w:val="24"/>
              </w:rPr>
              <w:t>本项目噪声主要来源于厂内的一些机械设备运行时产生的噪声，主要为加工设备、各类风机、泵类、包装机等。未采取减振降噪措施前，主要高噪声污染源在距离设备1m处噪声源强及经采取降噪措施后的排放情况见表4-1</w:t>
            </w:r>
            <w:r>
              <w:rPr>
                <w:rFonts w:hint="eastAsia"/>
                <w:color w:val="auto"/>
                <w:sz w:val="24"/>
                <w:lang w:val="en-US" w:eastAsia="zh-CN"/>
              </w:rPr>
              <w:t>4</w:t>
            </w:r>
            <w:r>
              <w:rPr>
                <w:rFonts w:hint="eastAsia"/>
                <w:color w:val="auto"/>
                <w:sz w:val="24"/>
              </w:rPr>
              <w:t>。</w:t>
            </w:r>
          </w:p>
          <w:p w14:paraId="2EB24318">
            <w:pPr>
              <w:pStyle w:val="160"/>
              <w:spacing w:line="360" w:lineRule="auto"/>
              <w:rPr>
                <w:rFonts w:hint="eastAsia"/>
                <w:color w:val="auto"/>
                <w:sz w:val="24"/>
              </w:rPr>
            </w:pPr>
            <w:r>
              <w:rPr>
                <w:rFonts w:hint="eastAsia"/>
                <w:color w:val="auto"/>
                <w:sz w:val="24"/>
              </w:rPr>
              <w:t>表4-1</w:t>
            </w:r>
            <w:r>
              <w:rPr>
                <w:rFonts w:hint="eastAsia"/>
                <w:color w:val="auto"/>
                <w:sz w:val="24"/>
                <w:lang w:val="en-US" w:eastAsia="zh-CN"/>
              </w:rPr>
              <w:t>4</w:t>
            </w:r>
            <w:r>
              <w:rPr>
                <w:rFonts w:hint="eastAsia"/>
                <w:color w:val="auto"/>
                <w:sz w:val="24"/>
              </w:rPr>
              <w:t xml:space="preserve"> 本项目主要噪声设备</w:t>
            </w:r>
          </w:p>
          <w:tbl>
            <w:tblPr>
              <w:tblStyle w:val="142"/>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85"/>
              <w:gridCol w:w="817"/>
              <w:gridCol w:w="660"/>
              <w:gridCol w:w="914"/>
              <w:gridCol w:w="316"/>
              <w:gridCol w:w="316"/>
              <w:gridCol w:w="407"/>
              <w:gridCol w:w="1051"/>
              <w:gridCol w:w="686"/>
              <w:gridCol w:w="391"/>
              <w:gridCol w:w="686"/>
              <w:gridCol w:w="946"/>
              <w:gridCol w:w="994"/>
            </w:tblGrid>
            <w:tr w14:paraId="0CB95E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57" w:hRule="atLeast"/>
              </w:trPr>
              <w:tc>
                <w:tcPr>
                  <w:tcW w:w="386" w:type="pct"/>
                  <w:vMerge w:val="restart"/>
                  <w:tcBorders>
                    <w:tl2br w:val="nil"/>
                    <w:tr2bl w:val="nil"/>
                  </w:tcBorders>
                  <w:noWrap w:val="0"/>
                  <w:textDirection w:val="tbRlV"/>
                  <w:vAlign w:val="center"/>
                </w:tcPr>
                <w:p w14:paraId="5F9F31C4">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序号</w:t>
                  </w:r>
                </w:p>
              </w:tc>
              <w:tc>
                <w:tcPr>
                  <w:tcW w:w="460" w:type="pct"/>
                  <w:vMerge w:val="restart"/>
                  <w:tcBorders>
                    <w:tl2br w:val="nil"/>
                    <w:tr2bl w:val="nil"/>
                  </w:tcBorders>
                  <w:noWrap w:val="0"/>
                  <w:vAlign w:val="center"/>
                </w:tcPr>
                <w:p w14:paraId="0AA4252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声源名称</w:t>
                  </w:r>
                </w:p>
              </w:tc>
              <w:tc>
                <w:tcPr>
                  <w:tcW w:w="372" w:type="pct"/>
                  <w:vMerge w:val="restart"/>
                  <w:tcBorders>
                    <w:tl2br w:val="nil"/>
                    <w:tr2bl w:val="nil"/>
                  </w:tcBorders>
                  <w:noWrap w:val="0"/>
                  <w:vAlign w:val="center"/>
                </w:tcPr>
                <w:p w14:paraId="0A9F25FD">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声功率级/dB(A)</w:t>
                  </w:r>
                </w:p>
              </w:tc>
              <w:tc>
                <w:tcPr>
                  <w:tcW w:w="515" w:type="pct"/>
                  <w:vMerge w:val="restart"/>
                  <w:tcBorders>
                    <w:tl2br w:val="nil"/>
                    <w:tr2bl w:val="nil"/>
                  </w:tcBorders>
                  <w:noWrap w:val="0"/>
                  <w:vAlign w:val="center"/>
                </w:tcPr>
                <w:p w14:paraId="17E7E88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声源控制措施</w:t>
                  </w:r>
                </w:p>
              </w:tc>
              <w:tc>
                <w:tcPr>
                  <w:tcW w:w="585" w:type="pct"/>
                  <w:gridSpan w:val="3"/>
                  <w:tcBorders>
                    <w:tl2br w:val="nil"/>
                    <w:tr2bl w:val="nil"/>
                  </w:tcBorders>
                  <w:noWrap w:val="0"/>
                  <w:vAlign w:val="center"/>
                </w:tcPr>
                <w:p w14:paraId="24729FF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空间相对位置/m</w:t>
                  </w:r>
                </w:p>
              </w:tc>
              <w:tc>
                <w:tcPr>
                  <w:tcW w:w="592" w:type="pct"/>
                  <w:vMerge w:val="restart"/>
                  <w:tcBorders>
                    <w:tl2br w:val="nil"/>
                    <w:tr2bl w:val="nil"/>
                  </w:tcBorders>
                  <w:noWrap w:val="0"/>
                  <w:vAlign w:val="center"/>
                </w:tcPr>
                <w:p w14:paraId="7AFA18E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距室内边界距离/m</w:t>
                  </w:r>
                </w:p>
              </w:tc>
              <w:tc>
                <w:tcPr>
                  <w:tcW w:w="386" w:type="pct"/>
                  <w:vMerge w:val="restart"/>
                  <w:tcBorders>
                    <w:tl2br w:val="nil"/>
                    <w:tr2bl w:val="nil"/>
                  </w:tcBorders>
                  <w:noWrap w:val="0"/>
                  <w:vAlign w:val="center"/>
                </w:tcPr>
                <w:p w14:paraId="1A53C69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室内边界声级/dB(A)</w:t>
                  </w:r>
                </w:p>
              </w:tc>
              <w:tc>
                <w:tcPr>
                  <w:tcW w:w="220" w:type="pct"/>
                  <w:vMerge w:val="restart"/>
                  <w:tcBorders>
                    <w:tl2br w:val="nil"/>
                    <w:tr2bl w:val="nil"/>
                  </w:tcBorders>
                  <w:noWrap w:val="0"/>
                  <w:vAlign w:val="center"/>
                </w:tcPr>
                <w:p w14:paraId="04E8FDDA">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运行时段</w:t>
                  </w:r>
                </w:p>
              </w:tc>
              <w:tc>
                <w:tcPr>
                  <w:tcW w:w="386" w:type="pct"/>
                  <w:vMerge w:val="restart"/>
                  <w:tcBorders>
                    <w:tl2br w:val="nil"/>
                    <w:tr2bl w:val="nil"/>
                  </w:tcBorders>
                  <w:noWrap w:val="0"/>
                  <w:vAlign w:val="center"/>
                </w:tcPr>
                <w:p w14:paraId="0038FB8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建筑物插入损失/dB(A)</w:t>
                  </w:r>
                </w:p>
              </w:tc>
              <w:tc>
                <w:tcPr>
                  <w:tcW w:w="1093" w:type="pct"/>
                  <w:gridSpan w:val="2"/>
                  <w:tcBorders>
                    <w:tl2br w:val="nil"/>
                    <w:tr2bl w:val="nil"/>
                  </w:tcBorders>
                  <w:noWrap w:val="0"/>
                  <w:vAlign w:val="center"/>
                </w:tcPr>
                <w:p w14:paraId="3DF0B199">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建筑物外噪声</w:t>
                  </w:r>
                </w:p>
              </w:tc>
            </w:tr>
            <w:tr w14:paraId="7E412D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62" w:hRule="atLeast"/>
              </w:trPr>
              <w:tc>
                <w:tcPr>
                  <w:tcW w:w="386" w:type="pct"/>
                  <w:vMerge w:val="continue"/>
                  <w:tcBorders>
                    <w:tl2br w:val="nil"/>
                    <w:tr2bl w:val="nil"/>
                  </w:tcBorders>
                  <w:noWrap w:val="0"/>
                  <w:textDirection w:val="tbRlV"/>
                  <w:vAlign w:val="center"/>
                </w:tcPr>
                <w:p w14:paraId="78EFAE1F">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460" w:type="pct"/>
                  <w:vMerge w:val="continue"/>
                  <w:tcBorders>
                    <w:tl2br w:val="nil"/>
                    <w:tr2bl w:val="nil"/>
                  </w:tcBorders>
                  <w:noWrap w:val="0"/>
                  <w:vAlign w:val="center"/>
                </w:tcPr>
                <w:p w14:paraId="0B1602F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372" w:type="pct"/>
                  <w:vMerge w:val="continue"/>
                  <w:tcBorders>
                    <w:tl2br w:val="nil"/>
                    <w:tr2bl w:val="nil"/>
                  </w:tcBorders>
                  <w:noWrap w:val="0"/>
                  <w:vAlign w:val="center"/>
                </w:tcPr>
                <w:p w14:paraId="705E97D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515" w:type="pct"/>
                  <w:vMerge w:val="continue"/>
                  <w:tcBorders>
                    <w:tl2br w:val="nil"/>
                    <w:tr2bl w:val="nil"/>
                  </w:tcBorders>
                  <w:noWrap w:val="0"/>
                  <w:vAlign w:val="center"/>
                </w:tcPr>
                <w:p w14:paraId="4A59E6BE">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178" w:type="pct"/>
                  <w:tcBorders>
                    <w:tl2br w:val="nil"/>
                    <w:tr2bl w:val="nil"/>
                  </w:tcBorders>
                  <w:noWrap w:val="0"/>
                  <w:vAlign w:val="center"/>
                </w:tcPr>
                <w:p w14:paraId="7A9006E4">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X</w:t>
                  </w:r>
                </w:p>
              </w:tc>
              <w:tc>
                <w:tcPr>
                  <w:tcW w:w="178" w:type="pct"/>
                  <w:tcBorders>
                    <w:tl2br w:val="nil"/>
                    <w:tr2bl w:val="nil"/>
                  </w:tcBorders>
                  <w:noWrap w:val="0"/>
                  <w:vAlign w:val="center"/>
                </w:tcPr>
                <w:p w14:paraId="6024955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Y</w:t>
                  </w:r>
                </w:p>
              </w:tc>
              <w:tc>
                <w:tcPr>
                  <w:tcW w:w="229" w:type="pct"/>
                  <w:tcBorders>
                    <w:tl2br w:val="nil"/>
                    <w:tr2bl w:val="nil"/>
                  </w:tcBorders>
                  <w:noWrap w:val="0"/>
                  <w:vAlign w:val="center"/>
                </w:tcPr>
                <w:p w14:paraId="7E16924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Z</w:t>
                  </w:r>
                </w:p>
              </w:tc>
              <w:tc>
                <w:tcPr>
                  <w:tcW w:w="592" w:type="pct"/>
                  <w:vMerge w:val="continue"/>
                  <w:tcBorders>
                    <w:tl2br w:val="nil"/>
                    <w:tr2bl w:val="nil"/>
                  </w:tcBorders>
                  <w:noWrap w:val="0"/>
                  <w:vAlign w:val="center"/>
                </w:tcPr>
                <w:p w14:paraId="3B88710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386" w:type="pct"/>
                  <w:vMerge w:val="continue"/>
                  <w:tcBorders>
                    <w:tl2br w:val="nil"/>
                    <w:tr2bl w:val="nil"/>
                  </w:tcBorders>
                  <w:noWrap w:val="0"/>
                  <w:vAlign w:val="center"/>
                </w:tcPr>
                <w:p w14:paraId="4DBF0131">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220" w:type="pct"/>
                  <w:vMerge w:val="continue"/>
                  <w:tcBorders>
                    <w:tl2br w:val="nil"/>
                    <w:tr2bl w:val="nil"/>
                  </w:tcBorders>
                  <w:noWrap w:val="0"/>
                  <w:vAlign w:val="center"/>
                </w:tcPr>
                <w:p w14:paraId="231AD4BA">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386" w:type="pct"/>
                  <w:vMerge w:val="continue"/>
                  <w:tcBorders>
                    <w:tl2br w:val="nil"/>
                    <w:tr2bl w:val="nil"/>
                  </w:tcBorders>
                  <w:noWrap w:val="0"/>
                  <w:vAlign w:val="center"/>
                </w:tcPr>
                <w:p w14:paraId="40D52A3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p>
              </w:tc>
              <w:tc>
                <w:tcPr>
                  <w:tcW w:w="533" w:type="pct"/>
                  <w:tcBorders>
                    <w:tl2br w:val="nil"/>
                    <w:tr2bl w:val="nil"/>
                  </w:tcBorders>
                  <w:noWrap w:val="0"/>
                  <w:vAlign w:val="center"/>
                </w:tcPr>
                <w:p w14:paraId="5F1162C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声压级/dB(A)</w:t>
                  </w:r>
                </w:p>
              </w:tc>
              <w:tc>
                <w:tcPr>
                  <w:tcW w:w="560" w:type="pct"/>
                  <w:tcBorders>
                    <w:tl2br w:val="nil"/>
                    <w:tr2bl w:val="nil"/>
                  </w:tcBorders>
                  <w:noWrap w:val="0"/>
                  <w:vAlign w:val="center"/>
                </w:tcPr>
                <w:p w14:paraId="015A6AD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建筑物外距离/m</w:t>
                  </w:r>
                </w:p>
              </w:tc>
            </w:tr>
            <w:tr w14:paraId="3C3826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2" w:hRule="atLeast"/>
              </w:trPr>
              <w:tc>
                <w:tcPr>
                  <w:tcW w:w="386" w:type="pct"/>
                  <w:tcBorders>
                    <w:tl2br w:val="nil"/>
                    <w:tr2bl w:val="nil"/>
                  </w:tcBorders>
                  <w:noWrap w:val="0"/>
                  <w:vAlign w:val="center"/>
                </w:tcPr>
                <w:p w14:paraId="3DBA8C5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460" w:type="pct"/>
                  <w:tcBorders>
                    <w:tl2br w:val="nil"/>
                    <w:tr2bl w:val="nil"/>
                  </w:tcBorders>
                  <w:noWrap w:val="0"/>
                  <w:vAlign w:val="center"/>
                </w:tcPr>
                <w:p w14:paraId="5BDD9AB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泵</w:t>
                  </w:r>
                </w:p>
              </w:tc>
              <w:tc>
                <w:tcPr>
                  <w:tcW w:w="372" w:type="pct"/>
                  <w:tcBorders>
                    <w:tl2br w:val="nil"/>
                    <w:tr2bl w:val="nil"/>
                  </w:tcBorders>
                  <w:noWrap w:val="0"/>
                  <w:vAlign w:val="center"/>
                </w:tcPr>
                <w:p w14:paraId="607B57B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eastAsia="zh-CN"/>
                    </w:rPr>
                    <w:t>80</w:t>
                  </w:r>
                </w:p>
              </w:tc>
              <w:tc>
                <w:tcPr>
                  <w:tcW w:w="515" w:type="pct"/>
                  <w:tcBorders>
                    <w:tl2br w:val="nil"/>
                    <w:tr2bl w:val="nil"/>
                  </w:tcBorders>
                  <w:noWrap w:val="0"/>
                  <w:vAlign w:val="center"/>
                </w:tcPr>
                <w:p w14:paraId="2DE85BDA">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减震、隔声等</w:t>
                  </w:r>
                </w:p>
              </w:tc>
              <w:tc>
                <w:tcPr>
                  <w:tcW w:w="178" w:type="pct"/>
                  <w:tcBorders>
                    <w:tl2br w:val="nil"/>
                    <w:tr2bl w:val="nil"/>
                  </w:tcBorders>
                  <w:noWrap w:val="0"/>
                  <w:vAlign w:val="center"/>
                </w:tcPr>
                <w:p w14:paraId="3771E803">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140</w:t>
                  </w:r>
                </w:p>
              </w:tc>
              <w:tc>
                <w:tcPr>
                  <w:tcW w:w="178" w:type="pct"/>
                  <w:tcBorders>
                    <w:tl2br w:val="nil"/>
                    <w:tr2bl w:val="nil"/>
                  </w:tcBorders>
                  <w:noWrap w:val="0"/>
                  <w:vAlign w:val="center"/>
                </w:tcPr>
                <w:p w14:paraId="478EAA9E">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30</w:t>
                  </w:r>
                </w:p>
              </w:tc>
              <w:tc>
                <w:tcPr>
                  <w:tcW w:w="229" w:type="pct"/>
                  <w:tcBorders>
                    <w:tl2br w:val="nil"/>
                    <w:tr2bl w:val="nil"/>
                  </w:tcBorders>
                  <w:noWrap w:val="0"/>
                  <w:vAlign w:val="center"/>
                </w:tcPr>
                <w:p w14:paraId="226B167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7A1E6D5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w:t>
                  </w:r>
                </w:p>
              </w:tc>
              <w:tc>
                <w:tcPr>
                  <w:tcW w:w="386" w:type="pct"/>
                  <w:tcBorders>
                    <w:tl2br w:val="nil"/>
                    <w:tr2bl w:val="nil"/>
                  </w:tcBorders>
                  <w:noWrap w:val="0"/>
                  <w:vAlign w:val="center"/>
                </w:tcPr>
                <w:p w14:paraId="48BFE67F">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220" w:type="pct"/>
                  <w:tcBorders>
                    <w:tl2br w:val="nil"/>
                    <w:tr2bl w:val="nil"/>
                  </w:tcBorders>
                  <w:noWrap w:val="0"/>
                  <w:vAlign w:val="center"/>
                </w:tcPr>
                <w:p w14:paraId="2B7A53D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14444C7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0B9DF19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64D35F5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7C4C26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25" w:hRule="atLeast"/>
              </w:trPr>
              <w:tc>
                <w:tcPr>
                  <w:tcW w:w="386" w:type="pct"/>
                  <w:tcBorders>
                    <w:tl2br w:val="nil"/>
                    <w:tr2bl w:val="nil"/>
                  </w:tcBorders>
                  <w:noWrap w:val="0"/>
                  <w:vAlign w:val="center"/>
                </w:tcPr>
                <w:p w14:paraId="3313BE7B">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w:t>
                  </w:r>
                </w:p>
              </w:tc>
              <w:tc>
                <w:tcPr>
                  <w:tcW w:w="460" w:type="pct"/>
                  <w:tcBorders>
                    <w:tl2br w:val="nil"/>
                    <w:tr2bl w:val="nil"/>
                  </w:tcBorders>
                  <w:noWrap w:val="0"/>
                  <w:vAlign w:val="center"/>
                </w:tcPr>
                <w:p w14:paraId="0642F12B">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风机</w:t>
                  </w:r>
                </w:p>
              </w:tc>
              <w:tc>
                <w:tcPr>
                  <w:tcW w:w="372" w:type="pct"/>
                  <w:tcBorders>
                    <w:tl2br w:val="nil"/>
                    <w:tr2bl w:val="nil"/>
                  </w:tcBorders>
                  <w:noWrap w:val="0"/>
                  <w:vAlign w:val="center"/>
                </w:tcPr>
                <w:p w14:paraId="692D452B">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eastAsia="zh-CN"/>
                    </w:rPr>
                    <w:t>8</w:t>
                  </w:r>
                  <w:r>
                    <w:rPr>
                      <w:rFonts w:hint="eastAsia" w:ascii="Times New Roman" w:hAnsi="Times New Roman" w:cs="Times New Roman"/>
                      <w:color w:val="auto"/>
                      <w:szCs w:val="21"/>
                      <w:highlight w:val="none"/>
                      <w:lang w:val="en-US" w:eastAsia="zh-CN"/>
                    </w:rPr>
                    <w:t>0</w:t>
                  </w:r>
                </w:p>
              </w:tc>
              <w:tc>
                <w:tcPr>
                  <w:tcW w:w="515" w:type="pct"/>
                  <w:tcBorders>
                    <w:tl2br w:val="nil"/>
                    <w:tr2bl w:val="nil"/>
                  </w:tcBorders>
                  <w:noWrap w:val="0"/>
                  <w:vAlign w:val="center"/>
                </w:tcPr>
                <w:p w14:paraId="1073754E">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减震、隔声</w:t>
                  </w:r>
                  <w:r>
                    <w:rPr>
                      <w:rFonts w:hint="eastAsia" w:cs="Times New Roman"/>
                      <w:color w:val="auto"/>
                      <w:szCs w:val="21"/>
                      <w:highlight w:val="none"/>
                      <w:lang w:val="en-US" w:eastAsia="zh-CN"/>
                    </w:rPr>
                    <w:t>、消声设施</w:t>
                  </w:r>
                  <w:r>
                    <w:rPr>
                      <w:rFonts w:hint="default" w:ascii="Times New Roman" w:hAnsi="Times New Roman" w:cs="Times New Roman"/>
                      <w:color w:val="auto"/>
                      <w:szCs w:val="21"/>
                      <w:highlight w:val="none"/>
                      <w:lang w:val="en-US" w:eastAsia="zh-CN"/>
                    </w:rPr>
                    <w:t>等</w:t>
                  </w:r>
                </w:p>
              </w:tc>
              <w:tc>
                <w:tcPr>
                  <w:tcW w:w="178" w:type="pct"/>
                  <w:tcBorders>
                    <w:tl2br w:val="nil"/>
                    <w:tr2bl w:val="nil"/>
                  </w:tcBorders>
                  <w:noWrap w:val="0"/>
                  <w:vAlign w:val="center"/>
                </w:tcPr>
                <w:p w14:paraId="67171A38">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135</w:t>
                  </w:r>
                </w:p>
              </w:tc>
              <w:tc>
                <w:tcPr>
                  <w:tcW w:w="178" w:type="pct"/>
                  <w:tcBorders>
                    <w:tl2br w:val="nil"/>
                    <w:tr2bl w:val="nil"/>
                  </w:tcBorders>
                  <w:noWrap w:val="0"/>
                  <w:vAlign w:val="center"/>
                </w:tcPr>
                <w:p w14:paraId="28C2ABDA">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69</w:t>
                  </w:r>
                </w:p>
              </w:tc>
              <w:tc>
                <w:tcPr>
                  <w:tcW w:w="229" w:type="pct"/>
                  <w:tcBorders>
                    <w:tl2br w:val="nil"/>
                    <w:tr2bl w:val="nil"/>
                  </w:tcBorders>
                  <w:noWrap w:val="0"/>
                  <w:vAlign w:val="center"/>
                </w:tcPr>
                <w:p w14:paraId="6CFA2A7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1F78E2B9">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w:t>
                  </w:r>
                </w:p>
              </w:tc>
              <w:tc>
                <w:tcPr>
                  <w:tcW w:w="386" w:type="pct"/>
                  <w:tcBorders>
                    <w:tl2br w:val="nil"/>
                    <w:tr2bl w:val="nil"/>
                  </w:tcBorders>
                  <w:noWrap w:val="0"/>
                  <w:vAlign w:val="center"/>
                </w:tcPr>
                <w:p w14:paraId="20D01E2F">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220" w:type="pct"/>
                  <w:tcBorders>
                    <w:tl2br w:val="nil"/>
                    <w:tr2bl w:val="nil"/>
                  </w:tcBorders>
                  <w:noWrap w:val="0"/>
                  <w:vAlign w:val="center"/>
                </w:tcPr>
                <w:p w14:paraId="304D3FC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29F4DF9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739940A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77CA0581">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65D601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437A91A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460" w:type="pct"/>
                  <w:tcBorders>
                    <w:tl2br w:val="nil"/>
                    <w:tr2bl w:val="nil"/>
                  </w:tcBorders>
                  <w:noWrap w:val="0"/>
                  <w:vAlign w:val="center"/>
                </w:tcPr>
                <w:p w14:paraId="68D0B6EA">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eastAsia="zh-CN"/>
                    </w:rPr>
                  </w:pPr>
                  <w:r>
                    <w:rPr>
                      <w:rStyle w:val="87"/>
                      <w:rFonts w:ascii="Times New Roman"/>
                      <w:color w:val="auto"/>
                      <w:sz w:val="21"/>
                    </w:rPr>
                    <w:t>浸出器</w:t>
                  </w:r>
                </w:p>
              </w:tc>
              <w:tc>
                <w:tcPr>
                  <w:tcW w:w="372" w:type="pct"/>
                  <w:tcBorders>
                    <w:tl2br w:val="nil"/>
                    <w:tr2bl w:val="nil"/>
                  </w:tcBorders>
                  <w:noWrap w:val="0"/>
                  <w:vAlign w:val="center"/>
                </w:tcPr>
                <w:p w14:paraId="3B4D39D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eastAsia" w:ascii="Times New Roman" w:hAnsi="Times New Roman" w:cs="Times New Roman"/>
                      <w:color w:val="auto"/>
                      <w:szCs w:val="21"/>
                      <w:highlight w:val="none"/>
                      <w:lang w:val="en-US" w:eastAsia="zh-CN"/>
                    </w:rPr>
                    <w:t>75</w:t>
                  </w:r>
                </w:p>
              </w:tc>
              <w:tc>
                <w:tcPr>
                  <w:tcW w:w="515" w:type="pct"/>
                  <w:tcBorders>
                    <w:tl2br w:val="nil"/>
                    <w:tr2bl w:val="nil"/>
                  </w:tcBorders>
                  <w:noWrap w:val="0"/>
                  <w:vAlign w:val="center"/>
                </w:tcPr>
                <w:p w14:paraId="724BBB6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7D50ED59">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100</w:t>
                  </w:r>
                </w:p>
              </w:tc>
              <w:tc>
                <w:tcPr>
                  <w:tcW w:w="178" w:type="pct"/>
                  <w:tcBorders>
                    <w:tl2br w:val="nil"/>
                    <w:tr2bl w:val="nil"/>
                  </w:tcBorders>
                  <w:noWrap w:val="0"/>
                  <w:vAlign w:val="center"/>
                </w:tcPr>
                <w:p w14:paraId="1D484A9F">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30</w:t>
                  </w:r>
                </w:p>
              </w:tc>
              <w:tc>
                <w:tcPr>
                  <w:tcW w:w="229" w:type="pct"/>
                  <w:tcBorders>
                    <w:tl2br w:val="nil"/>
                    <w:tr2bl w:val="nil"/>
                  </w:tcBorders>
                  <w:noWrap w:val="0"/>
                  <w:vAlign w:val="center"/>
                </w:tcPr>
                <w:p w14:paraId="3B7DC15B">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3CB836ED">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11</w:t>
                  </w:r>
                </w:p>
              </w:tc>
              <w:tc>
                <w:tcPr>
                  <w:tcW w:w="386" w:type="pct"/>
                  <w:tcBorders>
                    <w:tl2br w:val="nil"/>
                    <w:tr2bl w:val="nil"/>
                  </w:tcBorders>
                  <w:noWrap w:val="0"/>
                  <w:vAlign w:val="center"/>
                </w:tcPr>
                <w:p w14:paraId="4F187809">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220" w:type="pct"/>
                  <w:tcBorders>
                    <w:tl2br w:val="nil"/>
                    <w:tr2bl w:val="nil"/>
                  </w:tcBorders>
                  <w:noWrap w:val="0"/>
                  <w:vAlign w:val="center"/>
                </w:tcPr>
                <w:p w14:paraId="0D92AC3A">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55BD80AB">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03013D94">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50</w:t>
                  </w:r>
                </w:p>
              </w:tc>
              <w:tc>
                <w:tcPr>
                  <w:tcW w:w="560" w:type="pct"/>
                  <w:tcBorders>
                    <w:tl2br w:val="nil"/>
                    <w:tr2bl w:val="nil"/>
                  </w:tcBorders>
                  <w:noWrap w:val="0"/>
                  <w:vAlign w:val="center"/>
                </w:tcPr>
                <w:p w14:paraId="78F627BE">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7785F0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7063352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460" w:type="pct"/>
                  <w:tcBorders>
                    <w:tl2br w:val="nil"/>
                    <w:tr2bl w:val="nil"/>
                  </w:tcBorders>
                  <w:noWrap w:val="0"/>
                  <w:vAlign w:val="center"/>
                </w:tcPr>
                <w:p w14:paraId="0E04F2B7">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eastAsia="zh-CN"/>
                    </w:rPr>
                  </w:pPr>
                  <w:r>
                    <w:rPr>
                      <w:rFonts w:hint="eastAsia"/>
                      <w:bCs/>
                      <w:color w:val="auto"/>
                      <w:kern w:val="0"/>
                      <w:szCs w:val="21"/>
                      <w:highlight w:val="none"/>
                      <w:lang w:bidi="ar"/>
                    </w:rPr>
                    <w:t>蒸脱机</w:t>
                  </w:r>
                </w:p>
              </w:tc>
              <w:tc>
                <w:tcPr>
                  <w:tcW w:w="372" w:type="pct"/>
                  <w:tcBorders>
                    <w:tl2br w:val="nil"/>
                    <w:tr2bl w:val="nil"/>
                  </w:tcBorders>
                  <w:noWrap w:val="0"/>
                  <w:vAlign w:val="center"/>
                </w:tcPr>
                <w:p w14:paraId="391D9C4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80</w:t>
                  </w:r>
                </w:p>
              </w:tc>
              <w:tc>
                <w:tcPr>
                  <w:tcW w:w="515" w:type="pct"/>
                  <w:tcBorders>
                    <w:tl2br w:val="nil"/>
                    <w:tr2bl w:val="nil"/>
                  </w:tcBorders>
                  <w:noWrap w:val="0"/>
                  <w:vAlign w:val="center"/>
                </w:tcPr>
                <w:p w14:paraId="01A8F1E6">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0761C190">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100</w:t>
                  </w:r>
                </w:p>
              </w:tc>
              <w:tc>
                <w:tcPr>
                  <w:tcW w:w="178" w:type="pct"/>
                  <w:tcBorders>
                    <w:tl2br w:val="nil"/>
                    <w:tr2bl w:val="nil"/>
                  </w:tcBorders>
                  <w:noWrap w:val="0"/>
                  <w:vAlign w:val="center"/>
                </w:tcPr>
                <w:p w14:paraId="1C51B515">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45</w:t>
                  </w:r>
                </w:p>
              </w:tc>
              <w:tc>
                <w:tcPr>
                  <w:tcW w:w="229" w:type="pct"/>
                  <w:tcBorders>
                    <w:tl2br w:val="nil"/>
                    <w:tr2bl w:val="nil"/>
                  </w:tcBorders>
                  <w:noWrap w:val="0"/>
                  <w:vAlign w:val="center"/>
                </w:tcPr>
                <w:p w14:paraId="1E999F1F">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4EF23AA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11</w:t>
                  </w:r>
                </w:p>
              </w:tc>
              <w:tc>
                <w:tcPr>
                  <w:tcW w:w="386" w:type="pct"/>
                  <w:tcBorders>
                    <w:tl2br w:val="nil"/>
                    <w:tr2bl w:val="nil"/>
                  </w:tcBorders>
                  <w:noWrap w:val="0"/>
                  <w:vAlign w:val="center"/>
                </w:tcPr>
                <w:p w14:paraId="1237C148">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220" w:type="pct"/>
                  <w:tcBorders>
                    <w:tl2br w:val="nil"/>
                    <w:tr2bl w:val="nil"/>
                  </w:tcBorders>
                  <w:noWrap w:val="0"/>
                  <w:vAlign w:val="center"/>
                </w:tcPr>
                <w:p w14:paraId="269DE8B7">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4E1D0984">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4C1BD0E8">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7BD0E678">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2C32EB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144A36D0">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460" w:type="pct"/>
                  <w:tcBorders>
                    <w:tl2br w:val="nil"/>
                    <w:tr2bl w:val="nil"/>
                  </w:tcBorders>
                  <w:noWrap w:val="0"/>
                  <w:vAlign w:val="center"/>
                </w:tcPr>
                <w:p w14:paraId="30217534">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eastAsia="zh-CN"/>
                    </w:rPr>
                  </w:pPr>
                  <w:r>
                    <w:rPr>
                      <w:rStyle w:val="87"/>
                      <w:rFonts w:ascii="Times New Roman"/>
                      <w:color w:val="auto"/>
                      <w:sz w:val="21"/>
                    </w:rPr>
                    <w:t>冷凝器</w:t>
                  </w:r>
                </w:p>
              </w:tc>
              <w:tc>
                <w:tcPr>
                  <w:tcW w:w="372" w:type="pct"/>
                  <w:tcBorders>
                    <w:tl2br w:val="nil"/>
                    <w:tr2bl w:val="nil"/>
                  </w:tcBorders>
                  <w:noWrap w:val="0"/>
                  <w:vAlign w:val="center"/>
                </w:tcPr>
                <w:p w14:paraId="6A9E8A3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80</w:t>
                  </w:r>
                </w:p>
              </w:tc>
              <w:tc>
                <w:tcPr>
                  <w:tcW w:w="515" w:type="pct"/>
                  <w:tcBorders>
                    <w:tl2br w:val="nil"/>
                    <w:tr2bl w:val="nil"/>
                  </w:tcBorders>
                  <w:noWrap w:val="0"/>
                  <w:vAlign w:val="center"/>
                </w:tcPr>
                <w:p w14:paraId="2B36DB0A">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2507EE83">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100</w:t>
                  </w:r>
                </w:p>
              </w:tc>
              <w:tc>
                <w:tcPr>
                  <w:tcW w:w="178" w:type="pct"/>
                  <w:tcBorders>
                    <w:tl2br w:val="nil"/>
                    <w:tr2bl w:val="nil"/>
                  </w:tcBorders>
                  <w:noWrap w:val="0"/>
                  <w:vAlign w:val="center"/>
                </w:tcPr>
                <w:p w14:paraId="110F98FD">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50</w:t>
                  </w:r>
                </w:p>
              </w:tc>
              <w:tc>
                <w:tcPr>
                  <w:tcW w:w="229" w:type="pct"/>
                  <w:tcBorders>
                    <w:tl2br w:val="nil"/>
                    <w:tr2bl w:val="nil"/>
                  </w:tcBorders>
                  <w:noWrap w:val="0"/>
                  <w:vAlign w:val="center"/>
                </w:tcPr>
                <w:p w14:paraId="68986389">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632349B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386" w:type="pct"/>
                  <w:tcBorders>
                    <w:tl2br w:val="nil"/>
                    <w:tr2bl w:val="nil"/>
                  </w:tcBorders>
                  <w:noWrap w:val="0"/>
                  <w:vAlign w:val="center"/>
                </w:tcPr>
                <w:p w14:paraId="7FFA180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70</w:t>
                  </w:r>
                </w:p>
              </w:tc>
              <w:tc>
                <w:tcPr>
                  <w:tcW w:w="220" w:type="pct"/>
                  <w:tcBorders>
                    <w:tl2br w:val="nil"/>
                    <w:tr2bl w:val="nil"/>
                  </w:tcBorders>
                  <w:noWrap w:val="0"/>
                  <w:vAlign w:val="center"/>
                </w:tcPr>
                <w:p w14:paraId="6F3BC71B">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121DB035">
                  <w:pPr>
                    <w:keepNext w:val="0"/>
                    <w:keepLines w:val="0"/>
                    <w:suppressLineNumbers w:val="0"/>
                    <w:spacing w:before="0" w:beforeAutospacing="0" w:after="0" w:afterAutospacing="0" w:line="0" w:lineRule="atLeast"/>
                    <w:ind w:left="0" w:right="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31ACD8D3">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3FB2E5E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06EA8E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2148F111">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w:t>
                  </w:r>
                </w:p>
              </w:tc>
              <w:tc>
                <w:tcPr>
                  <w:tcW w:w="460" w:type="pct"/>
                  <w:tcBorders>
                    <w:tl2br w:val="nil"/>
                    <w:tr2bl w:val="nil"/>
                  </w:tcBorders>
                  <w:noWrap w:val="0"/>
                  <w:vAlign w:val="center"/>
                </w:tcPr>
                <w:p w14:paraId="2A28267C">
                  <w:pPr>
                    <w:keepNext w:val="0"/>
                    <w:keepLines w:val="0"/>
                    <w:suppressLineNumbers w:val="0"/>
                    <w:spacing w:before="0" w:beforeAutospacing="0" w:after="0" w:afterAutospacing="0" w:line="0" w:lineRule="atLeast"/>
                    <w:ind w:left="0" w:leftChars="0" w:right="0" w:rightChars="0"/>
                    <w:jc w:val="center"/>
                    <w:rPr>
                      <w:rStyle w:val="87"/>
                      <w:rFonts w:ascii="Times New Roman"/>
                      <w:color w:val="auto"/>
                      <w:sz w:val="21"/>
                    </w:rPr>
                  </w:pPr>
                  <w:r>
                    <w:rPr>
                      <w:rFonts w:hint="eastAsia"/>
                      <w:bCs/>
                      <w:color w:val="auto"/>
                      <w:kern w:val="0"/>
                      <w:szCs w:val="21"/>
                      <w:highlight w:val="none"/>
                      <w:lang w:bidi="ar"/>
                    </w:rPr>
                    <w:t>旋风捕集器</w:t>
                  </w:r>
                </w:p>
              </w:tc>
              <w:tc>
                <w:tcPr>
                  <w:tcW w:w="372" w:type="pct"/>
                  <w:tcBorders>
                    <w:tl2br w:val="nil"/>
                    <w:tr2bl w:val="nil"/>
                  </w:tcBorders>
                  <w:noWrap w:val="0"/>
                  <w:vAlign w:val="center"/>
                </w:tcPr>
                <w:p w14:paraId="26B1746E">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80</w:t>
                  </w:r>
                </w:p>
              </w:tc>
              <w:tc>
                <w:tcPr>
                  <w:tcW w:w="515" w:type="pct"/>
                  <w:tcBorders>
                    <w:tl2br w:val="nil"/>
                    <w:tr2bl w:val="nil"/>
                  </w:tcBorders>
                  <w:noWrap w:val="0"/>
                  <w:vAlign w:val="center"/>
                </w:tcPr>
                <w:p w14:paraId="1C9B0E8C">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1C5484C9">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105</w:t>
                  </w:r>
                </w:p>
              </w:tc>
              <w:tc>
                <w:tcPr>
                  <w:tcW w:w="178" w:type="pct"/>
                  <w:tcBorders>
                    <w:tl2br w:val="nil"/>
                    <w:tr2bl w:val="nil"/>
                  </w:tcBorders>
                  <w:noWrap w:val="0"/>
                  <w:vAlign w:val="center"/>
                </w:tcPr>
                <w:p w14:paraId="37800877">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51</w:t>
                  </w:r>
                </w:p>
              </w:tc>
              <w:tc>
                <w:tcPr>
                  <w:tcW w:w="229" w:type="pct"/>
                  <w:tcBorders>
                    <w:tl2br w:val="nil"/>
                    <w:tr2bl w:val="nil"/>
                  </w:tcBorders>
                  <w:noWrap w:val="0"/>
                  <w:vAlign w:val="center"/>
                </w:tcPr>
                <w:p w14:paraId="25AE0EE2">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1.2</w:t>
                  </w:r>
                </w:p>
              </w:tc>
              <w:tc>
                <w:tcPr>
                  <w:tcW w:w="592" w:type="pct"/>
                  <w:tcBorders>
                    <w:tl2br w:val="nil"/>
                    <w:tr2bl w:val="nil"/>
                  </w:tcBorders>
                  <w:noWrap w:val="0"/>
                  <w:vAlign w:val="center"/>
                </w:tcPr>
                <w:p w14:paraId="286AFD9E">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10</w:t>
                  </w:r>
                </w:p>
              </w:tc>
              <w:tc>
                <w:tcPr>
                  <w:tcW w:w="386" w:type="pct"/>
                  <w:tcBorders>
                    <w:tl2br w:val="nil"/>
                    <w:tr2bl w:val="nil"/>
                  </w:tcBorders>
                  <w:noWrap w:val="0"/>
                  <w:vAlign w:val="center"/>
                </w:tcPr>
                <w:p w14:paraId="5F906BF5">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w:t>
                  </w:r>
                </w:p>
              </w:tc>
              <w:tc>
                <w:tcPr>
                  <w:tcW w:w="220" w:type="pct"/>
                  <w:tcBorders>
                    <w:tl2br w:val="nil"/>
                    <w:tr2bl w:val="nil"/>
                  </w:tcBorders>
                  <w:noWrap w:val="0"/>
                  <w:vAlign w:val="center"/>
                </w:tcPr>
                <w:p w14:paraId="21DF3F7A">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08CA7C56">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33AE5B2F">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4282BBCC">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08A03F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3248D167">
                  <w:pPr>
                    <w:keepNext w:val="0"/>
                    <w:keepLines w:val="0"/>
                    <w:suppressLineNumbers w:val="0"/>
                    <w:spacing w:before="0" w:beforeAutospacing="0" w:after="0" w:afterAutospacing="0" w:line="0" w:lineRule="atLeast"/>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w:t>
                  </w:r>
                </w:p>
              </w:tc>
              <w:tc>
                <w:tcPr>
                  <w:tcW w:w="460" w:type="pct"/>
                  <w:tcBorders>
                    <w:tl2br w:val="nil"/>
                    <w:tr2bl w:val="nil"/>
                  </w:tcBorders>
                  <w:noWrap w:val="0"/>
                  <w:vAlign w:val="center"/>
                </w:tcPr>
                <w:p w14:paraId="23B7B629">
                  <w:pPr>
                    <w:keepNext w:val="0"/>
                    <w:keepLines w:val="0"/>
                    <w:suppressLineNumbers w:val="0"/>
                    <w:spacing w:before="0" w:beforeAutospacing="0" w:after="0" w:afterAutospacing="0" w:line="0" w:lineRule="atLeast"/>
                    <w:ind w:left="0" w:leftChars="0" w:right="0" w:rightChars="0"/>
                    <w:jc w:val="center"/>
                    <w:rPr>
                      <w:rFonts w:hint="eastAsia"/>
                      <w:bCs/>
                      <w:color w:val="auto"/>
                      <w:kern w:val="0"/>
                      <w:szCs w:val="21"/>
                      <w:highlight w:val="none"/>
                      <w:lang w:bidi="ar"/>
                    </w:rPr>
                  </w:pPr>
                  <w:r>
                    <w:rPr>
                      <w:rFonts w:hint="eastAsia"/>
                      <w:bCs/>
                      <w:color w:val="auto"/>
                      <w:kern w:val="0"/>
                      <w:szCs w:val="21"/>
                      <w:highlight w:val="none"/>
                      <w:lang w:bidi="ar"/>
                    </w:rPr>
                    <w:t>湿式捕集器</w:t>
                  </w:r>
                </w:p>
              </w:tc>
              <w:tc>
                <w:tcPr>
                  <w:tcW w:w="372" w:type="pct"/>
                  <w:tcBorders>
                    <w:tl2br w:val="nil"/>
                    <w:tr2bl w:val="nil"/>
                  </w:tcBorders>
                  <w:noWrap w:val="0"/>
                  <w:vAlign w:val="center"/>
                </w:tcPr>
                <w:p w14:paraId="72750A60">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80</w:t>
                  </w:r>
                </w:p>
              </w:tc>
              <w:tc>
                <w:tcPr>
                  <w:tcW w:w="515" w:type="pct"/>
                  <w:tcBorders>
                    <w:tl2br w:val="nil"/>
                    <w:tr2bl w:val="nil"/>
                  </w:tcBorders>
                  <w:noWrap w:val="0"/>
                  <w:vAlign w:val="center"/>
                </w:tcPr>
                <w:p w14:paraId="3401CEF8">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69EDC231">
                  <w:pPr>
                    <w:keepNext w:val="0"/>
                    <w:keepLines w:val="0"/>
                    <w:suppressLineNumbers w:val="0"/>
                    <w:spacing w:before="0" w:beforeAutospacing="0" w:after="0" w:afterAutospacing="0" w:line="0" w:lineRule="atLeast"/>
                    <w:ind w:left="0" w:leftChars="0" w:right="0" w:right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103</w:t>
                  </w:r>
                </w:p>
              </w:tc>
              <w:tc>
                <w:tcPr>
                  <w:tcW w:w="178" w:type="pct"/>
                  <w:tcBorders>
                    <w:tl2br w:val="nil"/>
                    <w:tr2bl w:val="nil"/>
                  </w:tcBorders>
                  <w:noWrap w:val="0"/>
                  <w:vAlign w:val="center"/>
                </w:tcPr>
                <w:p w14:paraId="62D47621">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51</w:t>
                  </w:r>
                </w:p>
              </w:tc>
              <w:tc>
                <w:tcPr>
                  <w:tcW w:w="229" w:type="pct"/>
                  <w:tcBorders>
                    <w:tl2br w:val="nil"/>
                    <w:tr2bl w:val="nil"/>
                  </w:tcBorders>
                  <w:noWrap w:val="0"/>
                  <w:vAlign w:val="center"/>
                </w:tcPr>
                <w:p w14:paraId="3995A2EE">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1.2</w:t>
                  </w:r>
                </w:p>
              </w:tc>
              <w:tc>
                <w:tcPr>
                  <w:tcW w:w="592" w:type="pct"/>
                  <w:tcBorders>
                    <w:tl2br w:val="nil"/>
                    <w:tr2bl w:val="nil"/>
                  </w:tcBorders>
                  <w:noWrap w:val="0"/>
                  <w:vAlign w:val="center"/>
                </w:tcPr>
                <w:p w14:paraId="119559E7">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10</w:t>
                  </w:r>
                </w:p>
              </w:tc>
              <w:tc>
                <w:tcPr>
                  <w:tcW w:w="386" w:type="pct"/>
                  <w:tcBorders>
                    <w:tl2br w:val="nil"/>
                    <w:tr2bl w:val="nil"/>
                  </w:tcBorders>
                  <w:noWrap w:val="0"/>
                  <w:vAlign w:val="center"/>
                </w:tcPr>
                <w:p w14:paraId="21F149D7">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70</w:t>
                  </w:r>
                </w:p>
              </w:tc>
              <w:tc>
                <w:tcPr>
                  <w:tcW w:w="220" w:type="pct"/>
                  <w:tcBorders>
                    <w:tl2br w:val="nil"/>
                    <w:tr2bl w:val="nil"/>
                  </w:tcBorders>
                  <w:noWrap w:val="0"/>
                  <w:vAlign w:val="center"/>
                </w:tcPr>
                <w:p w14:paraId="0FCC1FE7">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42518CAD">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35B9744B">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55</w:t>
                  </w:r>
                </w:p>
              </w:tc>
              <w:tc>
                <w:tcPr>
                  <w:tcW w:w="560" w:type="pct"/>
                  <w:tcBorders>
                    <w:tl2br w:val="nil"/>
                    <w:tr2bl w:val="nil"/>
                  </w:tcBorders>
                  <w:noWrap w:val="0"/>
                  <w:vAlign w:val="center"/>
                </w:tcPr>
                <w:p w14:paraId="1105A4A0">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5E9972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21" w:hRule="atLeast"/>
              </w:trPr>
              <w:tc>
                <w:tcPr>
                  <w:tcW w:w="386" w:type="pct"/>
                  <w:tcBorders>
                    <w:tl2br w:val="nil"/>
                    <w:tr2bl w:val="nil"/>
                  </w:tcBorders>
                  <w:noWrap w:val="0"/>
                  <w:vAlign w:val="center"/>
                </w:tcPr>
                <w:p w14:paraId="28AFCFCA">
                  <w:pPr>
                    <w:keepNext w:val="0"/>
                    <w:keepLines w:val="0"/>
                    <w:suppressLineNumbers w:val="0"/>
                    <w:spacing w:before="0" w:beforeAutospacing="0" w:after="0" w:afterAutospacing="0" w:line="0" w:lineRule="atLeast"/>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8</w:t>
                  </w:r>
                </w:p>
              </w:tc>
              <w:tc>
                <w:tcPr>
                  <w:tcW w:w="460" w:type="pct"/>
                  <w:tcBorders>
                    <w:tl2br w:val="nil"/>
                    <w:tr2bl w:val="nil"/>
                  </w:tcBorders>
                  <w:noWrap w:val="0"/>
                  <w:vAlign w:val="center"/>
                </w:tcPr>
                <w:p w14:paraId="37FC5F90">
                  <w:pPr>
                    <w:keepNext w:val="0"/>
                    <w:keepLines w:val="0"/>
                    <w:suppressLineNumbers w:val="0"/>
                    <w:spacing w:before="0" w:beforeAutospacing="0" w:after="0" w:afterAutospacing="0" w:line="0" w:lineRule="atLeast"/>
                    <w:ind w:left="0" w:leftChars="0" w:right="0" w:rightChars="0"/>
                    <w:jc w:val="center"/>
                    <w:rPr>
                      <w:rFonts w:hint="eastAsia"/>
                      <w:bCs/>
                      <w:color w:val="auto"/>
                      <w:kern w:val="0"/>
                      <w:szCs w:val="21"/>
                      <w:highlight w:val="none"/>
                      <w:lang w:bidi="ar"/>
                    </w:rPr>
                  </w:pPr>
                  <w:r>
                    <w:rPr>
                      <w:rFonts w:hint="eastAsia"/>
                      <w:bCs/>
                      <w:color w:val="auto"/>
                      <w:kern w:val="0"/>
                      <w:szCs w:val="21"/>
                      <w:highlight w:val="none"/>
                      <w:lang w:bidi="ar"/>
                    </w:rPr>
                    <w:t>毛油精提塔</w:t>
                  </w:r>
                </w:p>
              </w:tc>
              <w:tc>
                <w:tcPr>
                  <w:tcW w:w="372" w:type="pct"/>
                  <w:tcBorders>
                    <w:tl2br w:val="nil"/>
                    <w:tr2bl w:val="nil"/>
                  </w:tcBorders>
                  <w:noWrap w:val="0"/>
                  <w:vAlign w:val="center"/>
                </w:tcPr>
                <w:p w14:paraId="6846ACBE">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515" w:type="pct"/>
                  <w:tcBorders>
                    <w:tl2br w:val="nil"/>
                    <w:tr2bl w:val="nil"/>
                  </w:tcBorders>
                  <w:noWrap w:val="0"/>
                  <w:vAlign w:val="center"/>
                </w:tcPr>
                <w:p w14:paraId="174497D9">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减震、隔声等</w:t>
                  </w:r>
                </w:p>
              </w:tc>
              <w:tc>
                <w:tcPr>
                  <w:tcW w:w="178" w:type="pct"/>
                  <w:tcBorders>
                    <w:tl2br w:val="nil"/>
                    <w:tr2bl w:val="nil"/>
                  </w:tcBorders>
                  <w:noWrap w:val="0"/>
                  <w:vAlign w:val="center"/>
                </w:tcPr>
                <w:p w14:paraId="0D69EA3B">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100</w:t>
                  </w:r>
                </w:p>
              </w:tc>
              <w:tc>
                <w:tcPr>
                  <w:tcW w:w="178" w:type="pct"/>
                  <w:tcBorders>
                    <w:tl2br w:val="nil"/>
                    <w:tr2bl w:val="nil"/>
                  </w:tcBorders>
                  <w:noWrap w:val="0"/>
                  <w:vAlign w:val="center"/>
                </w:tcPr>
                <w:p w14:paraId="37096FF3">
                  <w:pPr>
                    <w:keepNext w:val="0"/>
                    <w:keepLines w:val="0"/>
                    <w:suppressLineNumbers w:val="0"/>
                    <w:spacing w:before="0" w:beforeAutospacing="0" w:after="0" w:afterAutospacing="0" w:line="0" w:lineRule="atLeast"/>
                    <w:ind w:left="0" w:leftChars="0" w:right="0" w:right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32</w:t>
                  </w:r>
                </w:p>
              </w:tc>
              <w:tc>
                <w:tcPr>
                  <w:tcW w:w="229" w:type="pct"/>
                  <w:tcBorders>
                    <w:tl2br w:val="nil"/>
                    <w:tr2bl w:val="nil"/>
                  </w:tcBorders>
                  <w:noWrap w:val="0"/>
                  <w:vAlign w:val="center"/>
                </w:tcPr>
                <w:p w14:paraId="17B220D6">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w:t>
                  </w:r>
                </w:p>
              </w:tc>
              <w:tc>
                <w:tcPr>
                  <w:tcW w:w="592" w:type="pct"/>
                  <w:tcBorders>
                    <w:tl2br w:val="nil"/>
                    <w:tr2bl w:val="nil"/>
                  </w:tcBorders>
                  <w:noWrap w:val="0"/>
                  <w:vAlign w:val="center"/>
                </w:tcPr>
                <w:p w14:paraId="5314C651">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11</w:t>
                  </w:r>
                </w:p>
              </w:tc>
              <w:tc>
                <w:tcPr>
                  <w:tcW w:w="386" w:type="pct"/>
                  <w:tcBorders>
                    <w:tl2br w:val="nil"/>
                    <w:tr2bl w:val="nil"/>
                  </w:tcBorders>
                  <w:noWrap w:val="0"/>
                  <w:vAlign w:val="center"/>
                </w:tcPr>
                <w:p w14:paraId="77F481FA">
                  <w:pPr>
                    <w:keepNext w:val="0"/>
                    <w:keepLines w:val="0"/>
                    <w:suppressLineNumbers w:val="0"/>
                    <w:spacing w:before="0" w:beforeAutospacing="0" w:after="0" w:afterAutospacing="0" w:line="0" w:lineRule="atLeast"/>
                    <w:ind w:left="0" w:leftChars="0" w:right="0" w:rightChars="0"/>
                    <w:jc w:val="center"/>
                    <w:rPr>
                      <w:rFonts w:hint="eastAsia"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65</w:t>
                  </w:r>
                </w:p>
              </w:tc>
              <w:tc>
                <w:tcPr>
                  <w:tcW w:w="220" w:type="pct"/>
                  <w:tcBorders>
                    <w:tl2br w:val="nil"/>
                    <w:tr2bl w:val="nil"/>
                  </w:tcBorders>
                  <w:noWrap w:val="0"/>
                  <w:vAlign w:val="center"/>
                </w:tcPr>
                <w:p w14:paraId="27FE1093">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24h</w:t>
                  </w:r>
                </w:p>
              </w:tc>
              <w:tc>
                <w:tcPr>
                  <w:tcW w:w="386" w:type="pct"/>
                  <w:tcBorders>
                    <w:tl2br w:val="nil"/>
                    <w:tr2bl w:val="nil"/>
                  </w:tcBorders>
                  <w:noWrap w:val="0"/>
                  <w:vAlign w:val="center"/>
                </w:tcPr>
                <w:p w14:paraId="4B79AD49">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15</w:t>
                  </w:r>
                </w:p>
              </w:tc>
              <w:tc>
                <w:tcPr>
                  <w:tcW w:w="533" w:type="pct"/>
                  <w:tcBorders>
                    <w:tl2br w:val="nil"/>
                    <w:tr2bl w:val="nil"/>
                  </w:tcBorders>
                  <w:noWrap w:val="0"/>
                  <w:vAlign w:val="center"/>
                </w:tcPr>
                <w:p w14:paraId="76B2F947">
                  <w:pPr>
                    <w:keepNext w:val="0"/>
                    <w:keepLines w:val="0"/>
                    <w:suppressLineNumbers w:val="0"/>
                    <w:spacing w:before="0" w:beforeAutospacing="0" w:after="0" w:afterAutospacing="0" w:line="0" w:lineRule="atLeast"/>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50</w:t>
                  </w:r>
                </w:p>
              </w:tc>
              <w:tc>
                <w:tcPr>
                  <w:tcW w:w="560" w:type="pct"/>
                  <w:tcBorders>
                    <w:tl2br w:val="nil"/>
                    <w:tr2bl w:val="nil"/>
                  </w:tcBorders>
                  <w:noWrap w:val="0"/>
                  <w:vAlign w:val="center"/>
                </w:tcPr>
                <w:p w14:paraId="3D77D441">
                  <w:pPr>
                    <w:keepNext w:val="0"/>
                    <w:keepLines w:val="0"/>
                    <w:suppressLineNumbers w:val="0"/>
                    <w:spacing w:before="0" w:beforeAutospacing="0" w:after="0" w:afterAutospacing="0" w:line="0" w:lineRule="atLeast"/>
                    <w:ind w:left="0" w:leftChars="0" w:right="0" w:right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bl>
          <w:p w14:paraId="5B92577D">
            <w:pPr>
              <w:spacing w:line="360" w:lineRule="auto"/>
              <w:ind w:firstLine="480" w:firstLineChars="200"/>
              <w:rPr>
                <w:rFonts w:hint="eastAsia"/>
                <w:color w:val="auto"/>
                <w:sz w:val="24"/>
              </w:rPr>
            </w:pPr>
            <w:r>
              <w:rPr>
                <w:rFonts w:hint="eastAsia" w:ascii="Times New Roman" w:hAnsi="Times New Roman" w:eastAsia="宋体" w:cs="Times New Roman"/>
                <w:smallCaps w:val="0"/>
                <w:color w:val="auto"/>
                <w:kern w:val="2"/>
                <w:sz w:val="24"/>
                <w:szCs w:val="24"/>
                <w:highlight w:val="none"/>
                <w:lang w:val="en-US" w:eastAsia="zh-CN" w:bidi="ar-SA"/>
              </w:rPr>
              <w:t>由于本项目设备主要是生产设备，源强较小，对外环境影响较小</w:t>
            </w:r>
            <w:r>
              <w:rPr>
                <w:rFonts w:hint="default" w:ascii="Times New Roman" w:hAnsi="Times New Roman" w:eastAsia="宋体" w:cs="Times New Roman"/>
                <w:bCs/>
                <w:smallCaps w:val="0"/>
                <w:color w:val="auto"/>
                <w:kern w:val="2"/>
                <w:sz w:val="24"/>
                <w:szCs w:val="24"/>
                <w:highlight w:val="none"/>
                <w:lang w:val="en-US" w:eastAsia="zh-CN" w:bidi="ar-SA"/>
              </w:rPr>
              <w:t>。通过上述相应减振、隔声、降噪、加强管理和设备合理布局等措施，再经墙体隔声以及距离衰减后各设备均位于</w:t>
            </w:r>
            <w:r>
              <w:rPr>
                <w:rFonts w:hint="eastAsia" w:ascii="Times New Roman" w:hAnsi="Times New Roman" w:eastAsia="宋体" w:cs="Times New Roman"/>
                <w:bCs/>
                <w:smallCaps w:val="0"/>
                <w:color w:val="auto"/>
                <w:kern w:val="2"/>
                <w:sz w:val="24"/>
                <w:szCs w:val="24"/>
                <w:highlight w:val="none"/>
                <w:lang w:val="en-US" w:eastAsia="zh-CN" w:bidi="ar-SA"/>
              </w:rPr>
              <w:t>院</w:t>
            </w:r>
            <w:r>
              <w:rPr>
                <w:rFonts w:hint="default" w:ascii="Times New Roman" w:hAnsi="Times New Roman" w:eastAsia="宋体" w:cs="Times New Roman"/>
                <w:bCs/>
                <w:smallCaps w:val="0"/>
                <w:color w:val="auto"/>
                <w:kern w:val="2"/>
                <w:sz w:val="24"/>
                <w:szCs w:val="24"/>
                <w:highlight w:val="none"/>
                <w:lang w:val="en-US" w:eastAsia="zh-CN" w:bidi="ar-SA"/>
              </w:rPr>
              <w:t>内，采取基础减振、建筑物隔声等措施后，再经距离衰减，到达厂界处，厂界噪声可控制在</w:t>
            </w:r>
            <w:r>
              <w:rPr>
                <w:rFonts w:hint="eastAsia" w:ascii="Times New Roman" w:hAnsi="Times New Roman" w:cs="Times New Roman"/>
                <w:bCs/>
                <w:smallCaps w:val="0"/>
                <w:color w:val="auto"/>
                <w:kern w:val="2"/>
                <w:sz w:val="24"/>
                <w:szCs w:val="24"/>
                <w:highlight w:val="none"/>
                <w:lang w:val="en-US" w:eastAsia="zh-CN" w:bidi="ar-SA"/>
              </w:rPr>
              <w:t>65</w:t>
            </w:r>
            <w:r>
              <w:rPr>
                <w:rFonts w:hint="default" w:ascii="Times New Roman" w:hAnsi="Times New Roman" w:eastAsia="宋体" w:cs="Times New Roman"/>
                <w:bCs/>
                <w:smallCaps w:val="0"/>
                <w:color w:val="auto"/>
                <w:kern w:val="2"/>
                <w:sz w:val="24"/>
                <w:szCs w:val="24"/>
                <w:highlight w:val="none"/>
                <w:lang w:val="en-US" w:eastAsia="zh-CN" w:bidi="ar-SA"/>
              </w:rPr>
              <w:t>dB（A）</w:t>
            </w:r>
            <w:r>
              <w:rPr>
                <w:rFonts w:hint="eastAsia" w:ascii="Times New Roman" w:hAnsi="Times New Roman" w:eastAsia="宋体" w:cs="Times New Roman"/>
                <w:bCs/>
                <w:smallCaps w:val="0"/>
                <w:color w:val="auto"/>
                <w:kern w:val="2"/>
                <w:sz w:val="24"/>
                <w:szCs w:val="24"/>
                <w:highlight w:val="none"/>
                <w:lang w:val="en-US" w:eastAsia="zh-CN" w:bidi="ar-SA"/>
              </w:rPr>
              <w:t>以下</w:t>
            </w:r>
            <w:r>
              <w:rPr>
                <w:rFonts w:hint="default" w:ascii="Times New Roman" w:hAnsi="Times New Roman" w:eastAsia="宋体" w:cs="Times New Roman"/>
                <w:bCs/>
                <w:smallCaps w:val="0"/>
                <w:color w:val="auto"/>
                <w:kern w:val="2"/>
                <w:sz w:val="24"/>
                <w:szCs w:val="24"/>
                <w:highlight w:val="none"/>
                <w:lang w:val="en-US" w:eastAsia="zh-CN" w:bidi="ar-SA"/>
              </w:rPr>
              <w:t>。</w:t>
            </w:r>
            <w:r>
              <w:rPr>
                <w:rFonts w:hint="default" w:ascii="Times New Roman" w:hAnsi="Times New Roman" w:eastAsia="宋体" w:cs="Times New Roman"/>
                <w:color w:val="auto"/>
                <w:kern w:val="0"/>
                <w:sz w:val="24"/>
                <w:highlight w:val="none"/>
              </w:rPr>
              <w:t>厂址</w:t>
            </w:r>
            <w:r>
              <w:rPr>
                <w:rFonts w:hint="default" w:ascii="Times New Roman" w:hAnsi="Times New Roman" w:eastAsia="宋体" w:cs="Times New Roman"/>
                <w:color w:val="auto"/>
                <w:spacing w:val="1"/>
                <w:sz w:val="24"/>
                <w:highlight w:val="none"/>
              </w:rPr>
              <w:t>东侧为</w:t>
            </w:r>
            <w:r>
              <w:rPr>
                <w:rFonts w:hint="eastAsia" w:cs="Times New Roman"/>
                <w:color w:val="auto"/>
                <w:spacing w:val="1"/>
                <w:sz w:val="24"/>
                <w:highlight w:val="none"/>
                <w:lang w:val="en-US" w:eastAsia="zh-CN"/>
              </w:rPr>
              <w:t>双果路</w:t>
            </w:r>
            <w:r>
              <w:rPr>
                <w:rFonts w:hint="default" w:ascii="Times New Roman" w:hAnsi="Times New Roman" w:eastAsia="宋体" w:cs="Times New Roman"/>
                <w:color w:val="auto"/>
                <w:spacing w:val="1"/>
                <w:sz w:val="24"/>
                <w:highlight w:val="none"/>
              </w:rPr>
              <w:t>（城市支路）</w:t>
            </w:r>
            <w:r>
              <w:rPr>
                <w:rFonts w:hint="default" w:ascii="Times New Roman" w:hAnsi="Times New Roman" w:eastAsia="宋体" w:cs="Times New Roman"/>
                <w:color w:val="auto"/>
                <w:spacing w:val="1"/>
                <w:sz w:val="24"/>
                <w:highlight w:val="none"/>
                <w:lang w:eastAsia="zh-CN"/>
              </w:rPr>
              <w:t>，</w:t>
            </w:r>
            <w:r>
              <w:rPr>
                <w:rFonts w:hint="eastAsia" w:ascii="Times New Roman" w:hAnsi="Times New Roman" w:eastAsia="宋体" w:cs="Times New Roman"/>
                <w:color w:val="auto"/>
                <w:spacing w:val="1"/>
                <w:sz w:val="24"/>
                <w:highlight w:val="none"/>
                <w:lang w:val="en-US" w:eastAsia="zh-CN"/>
              </w:rPr>
              <w:t>北</w:t>
            </w:r>
            <w:r>
              <w:rPr>
                <w:rFonts w:hint="default" w:ascii="Times New Roman" w:hAnsi="Times New Roman" w:eastAsia="宋体" w:cs="Times New Roman"/>
                <w:color w:val="auto"/>
                <w:spacing w:val="1"/>
                <w:sz w:val="24"/>
                <w:highlight w:val="none"/>
              </w:rPr>
              <w:t>侧为</w:t>
            </w:r>
            <w:r>
              <w:rPr>
                <w:rFonts w:hint="eastAsia" w:ascii="Times New Roman" w:hAnsi="Times New Roman" w:eastAsia="宋体" w:cs="Times New Roman"/>
                <w:color w:val="auto"/>
                <w:spacing w:val="1"/>
                <w:sz w:val="24"/>
                <w:highlight w:val="none"/>
                <w:lang w:val="en-US" w:eastAsia="zh-CN"/>
              </w:rPr>
              <w:t>龙兴街</w:t>
            </w:r>
            <w:r>
              <w:rPr>
                <w:rFonts w:hint="default" w:ascii="Times New Roman" w:hAnsi="Times New Roman" w:eastAsia="宋体" w:cs="Times New Roman"/>
                <w:color w:val="auto"/>
                <w:spacing w:val="1"/>
                <w:sz w:val="24"/>
                <w:highlight w:val="none"/>
              </w:rPr>
              <w:t>（城市支路）</w:t>
            </w:r>
            <w:r>
              <w:rPr>
                <w:rFonts w:hint="default" w:ascii="Times New Roman" w:hAnsi="Times New Roman" w:eastAsia="宋体" w:cs="Times New Roman"/>
                <w:color w:val="auto"/>
                <w:spacing w:val="1"/>
                <w:sz w:val="24"/>
                <w:highlight w:val="none"/>
                <w:lang w:eastAsia="zh-CN"/>
              </w:rPr>
              <w:t>，</w:t>
            </w:r>
            <w:r>
              <w:rPr>
                <w:rFonts w:hint="default" w:ascii="Times New Roman" w:hAnsi="Times New Roman" w:eastAsia="宋体" w:cs="Times New Roman"/>
                <w:color w:val="auto"/>
                <w:kern w:val="0"/>
                <w:sz w:val="24"/>
                <w:highlight w:val="none"/>
              </w:rPr>
              <w:t>本项目所涉道路</w:t>
            </w:r>
            <w:r>
              <w:rPr>
                <w:rFonts w:hint="default" w:ascii="Times New Roman" w:hAnsi="Times New Roman" w:eastAsia="宋体" w:cs="Times New Roman"/>
                <w:color w:val="auto"/>
                <w:kern w:val="0"/>
                <w:sz w:val="24"/>
                <w:highlight w:val="none"/>
                <w:lang w:val="en-US" w:eastAsia="zh-CN"/>
              </w:rPr>
              <w:t>均</w:t>
            </w:r>
            <w:r>
              <w:rPr>
                <w:rFonts w:hint="default" w:ascii="Times New Roman" w:hAnsi="Times New Roman" w:eastAsia="宋体" w:cs="Times New Roman"/>
                <w:color w:val="auto"/>
                <w:kern w:val="0"/>
                <w:sz w:val="24"/>
                <w:highlight w:val="none"/>
              </w:rPr>
              <w:t>为支路，不属于《声环境质量标准》GB3096-2008中规定的交通干线。</w:t>
            </w:r>
            <w:r>
              <w:rPr>
                <w:rFonts w:hint="eastAsia" w:cs="Times New Roman"/>
                <w:color w:val="auto"/>
                <w:kern w:val="0"/>
                <w:sz w:val="24"/>
                <w:highlight w:val="none"/>
                <w:lang w:val="en-US" w:eastAsia="zh-CN"/>
              </w:rPr>
              <w:t>根据《黑龙江桦南经济开发区总体规划》（2021-2035）</w:t>
            </w:r>
            <w:r>
              <w:rPr>
                <w:bCs/>
                <w:color w:val="auto"/>
                <w:sz w:val="24"/>
              </w:rPr>
              <w:t>厂界</w:t>
            </w:r>
            <w:r>
              <w:rPr>
                <w:rFonts w:hint="eastAsia"/>
                <w:bCs/>
                <w:color w:val="auto"/>
                <w:sz w:val="24"/>
                <w:lang w:val="en-US" w:eastAsia="zh-CN"/>
              </w:rPr>
              <w:t>四周</w:t>
            </w:r>
            <w:r>
              <w:rPr>
                <w:bCs/>
                <w:color w:val="auto"/>
                <w:sz w:val="24"/>
              </w:rPr>
              <w:t>噪声满足《工业企业厂界环境噪声排放标准》（GB12348-2008）表1中</w:t>
            </w:r>
            <w:r>
              <w:rPr>
                <w:rFonts w:hint="eastAsia"/>
                <w:color w:val="auto"/>
                <w:sz w:val="24"/>
              </w:rPr>
              <w:t>3</w:t>
            </w:r>
            <w:r>
              <w:rPr>
                <w:color w:val="auto"/>
                <w:sz w:val="24"/>
              </w:rPr>
              <w:t>类标准（昼间≤6</w:t>
            </w:r>
            <w:r>
              <w:rPr>
                <w:rFonts w:hint="eastAsia"/>
                <w:color w:val="auto"/>
                <w:sz w:val="24"/>
              </w:rPr>
              <w:t>5</w:t>
            </w:r>
            <w:r>
              <w:rPr>
                <w:color w:val="auto"/>
                <w:sz w:val="24"/>
              </w:rPr>
              <w:t>dB（A），夜间≤</w:t>
            </w:r>
            <w:r>
              <w:rPr>
                <w:rFonts w:hint="eastAsia"/>
                <w:color w:val="auto"/>
                <w:sz w:val="24"/>
              </w:rPr>
              <w:t>55</w:t>
            </w:r>
            <w:r>
              <w:rPr>
                <w:color w:val="auto"/>
                <w:sz w:val="24"/>
              </w:rPr>
              <w:t>dB（A））。</w:t>
            </w:r>
          </w:p>
          <w:p w14:paraId="19DD1846">
            <w:pPr>
              <w:keepNext w:val="0"/>
              <w:keepLines w:val="0"/>
              <w:suppressLineNumbers w:val="0"/>
              <w:spacing w:before="0" w:beforeAutospacing="0" w:after="0" w:afterAutospacing="0" w:line="360" w:lineRule="auto"/>
              <w:ind w:left="0" w:right="0" w:firstLine="360" w:firstLineChars="150"/>
              <w:textAlignment w:val="center"/>
              <w:rPr>
                <w:rFonts w:hint="default" w:ascii="Times New Roman" w:hAnsi="Times New Roman" w:eastAsia="宋体" w:cs="Times New Roman"/>
                <w:b w:val="0"/>
                <w:bCs w:val="0"/>
                <w:smallCaps w:val="0"/>
                <w:color w:val="auto"/>
                <w:kern w:val="0"/>
                <w:sz w:val="24"/>
                <w:szCs w:val="24"/>
                <w:highlight w:val="none"/>
                <w:lang w:val="en-US" w:eastAsia="zh-CN" w:bidi="ar"/>
              </w:rPr>
            </w:pPr>
            <w:r>
              <w:rPr>
                <w:rFonts w:hint="eastAsia" w:ascii="Times New Roman" w:hAnsi="Times New Roman" w:eastAsia="宋体" w:cs="Times New Roman"/>
                <w:b w:val="0"/>
                <w:bCs w:val="0"/>
                <w:smallCaps w:val="0"/>
                <w:color w:val="auto"/>
                <w:kern w:val="0"/>
                <w:sz w:val="24"/>
                <w:szCs w:val="24"/>
                <w:highlight w:val="none"/>
                <w:lang w:val="en-US" w:eastAsia="zh-CN" w:bidi="ar"/>
              </w:rPr>
              <w:t>（</w:t>
            </w:r>
            <w:r>
              <w:rPr>
                <w:rFonts w:hint="eastAsia" w:cs="Times New Roman"/>
                <w:b w:val="0"/>
                <w:bCs w:val="0"/>
                <w:smallCaps w:val="0"/>
                <w:color w:val="auto"/>
                <w:kern w:val="0"/>
                <w:sz w:val="24"/>
                <w:szCs w:val="24"/>
                <w:highlight w:val="none"/>
                <w:lang w:val="en-US" w:eastAsia="zh-CN" w:bidi="ar"/>
              </w:rPr>
              <w:t>1</w:t>
            </w:r>
            <w:r>
              <w:rPr>
                <w:rFonts w:hint="eastAsia" w:ascii="Times New Roman" w:hAnsi="Times New Roman" w:eastAsia="宋体" w:cs="Times New Roman"/>
                <w:b w:val="0"/>
                <w:bCs w:val="0"/>
                <w:smallCaps w:val="0"/>
                <w:color w:val="auto"/>
                <w:kern w:val="0"/>
                <w:sz w:val="24"/>
                <w:szCs w:val="24"/>
                <w:highlight w:val="none"/>
                <w:lang w:val="en-US" w:eastAsia="zh-CN" w:bidi="ar"/>
              </w:rPr>
              <w:t>）噪声影响预测模式</w:t>
            </w:r>
          </w:p>
          <w:p w14:paraId="79F2BE95">
            <w:pPr>
              <w:keepNext w:val="0"/>
              <w:keepLines w:val="0"/>
              <w:suppressLineNumbers w:val="0"/>
              <w:spacing w:before="0" w:beforeAutospacing="0" w:after="0" w:afterAutospacing="0" w:line="360" w:lineRule="auto"/>
              <w:ind w:left="0" w:right="0" w:firstLine="360" w:firstLineChars="150"/>
              <w:textAlignment w:val="center"/>
              <w:rPr>
                <w:rFonts w:hint="eastAsia" w:ascii="Times New Roman" w:hAnsi="Times New Roman" w:eastAsia="宋体" w:cs="Times New Roman"/>
                <w:b w:val="0"/>
                <w:bCs w:val="0"/>
                <w:smallCaps w:val="0"/>
                <w:color w:val="auto"/>
                <w:kern w:val="0"/>
                <w:sz w:val="24"/>
                <w:szCs w:val="24"/>
                <w:highlight w:val="none"/>
                <w:lang w:val="en-US" w:eastAsia="zh-CN" w:bidi="ar"/>
              </w:rPr>
            </w:pPr>
            <w:r>
              <w:rPr>
                <w:rFonts w:hint="eastAsia" w:ascii="Times New Roman" w:hAnsi="Times New Roman" w:eastAsia="宋体" w:cs="Times New Roman"/>
                <w:b w:val="0"/>
                <w:bCs w:val="0"/>
                <w:smallCaps w:val="0"/>
                <w:color w:val="auto"/>
                <w:kern w:val="0"/>
                <w:sz w:val="24"/>
                <w:szCs w:val="24"/>
                <w:highlight w:val="none"/>
                <w:lang w:val="en-US" w:eastAsia="zh-CN" w:bidi="ar"/>
              </w:rPr>
              <w:t>本评价采取《环境影响评价技术导则 声环境》（HJ2.4-2021）中的工业噪声模式预测本项目各噪声源对周围环境的影响。</w:t>
            </w:r>
          </w:p>
          <w:p w14:paraId="07FEB595">
            <w:pPr>
              <w:keepNext w:val="0"/>
              <w:keepLines w:val="0"/>
              <w:suppressLineNumbers w:val="0"/>
              <w:spacing w:before="0" w:beforeAutospacing="0" w:after="0" w:afterAutospacing="0" w:line="360" w:lineRule="auto"/>
              <w:ind w:left="0" w:right="0" w:firstLine="360" w:firstLineChars="150"/>
              <w:textAlignment w:val="center"/>
              <w:rPr>
                <w:rFonts w:hint="default" w:ascii="Times New Roman" w:hAnsi="Times New Roman" w:eastAsia="宋体" w:cs="Times New Roman"/>
                <w:b w:val="0"/>
                <w:bCs w:val="0"/>
                <w:smallCaps w:val="0"/>
                <w:color w:val="auto"/>
                <w:kern w:val="0"/>
                <w:sz w:val="24"/>
                <w:szCs w:val="24"/>
                <w:highlight w:val="none"/>
                <w:lang w:val="en-US" w:eastAsia="zh-CN" w:bidi="ar"/>
              </w:rPr>
            </w:pPr>
            <w:r>
              <w:rPr>
                <w:rFonts w:hint="eastAsia" w:ascii="Times New Roman" w:hAnsi="Times New Roman" w:eastAsia="宋体" w:cs="Times New Roman"/>
                <w:b w:val="0"/>
                <w:bCs w:val="0"/>
                <w:smallCaps w:val="0"/>
                <w:color w:val="auto"/>
                <w:kern w:val="0"/>
                <w:sz w:val="24"/>
                <w:szCs w:val="24"/>
                <w:highlight w:val="none"/>
                <w:lang w:val="en-US" w:eastAsia="zh-CN" w:bidi="ar"/>
              </w:rPr>
              <w:t>经计算，噪声结果见表4-</w:t>
            </w:r>
            <w:r>
              <w:rPr>
                <w:rFonts w:hint="eastAsia" w:cs="Times New Roman"/>
                <w:b w:val="0"/>
                <w:bCs w:val="0"/>
                <w:smallCaps w:val="0"/>
                <w:color w:val="auto"/>
                <w:kern w:val="0"/>
                <w:sz w:val="24"/>
                <w:szCs w:val="24"/>
                <w:highlight w:val="none"/>
                <w:lang w:val="en-US" w:eastAsia="zh-CN" w:bidi="ar"/>
              </w:rPr>
              <w:t>15</w:t>
            </w:r>
            <w:r>
              <w:rPr>
                <w:rFonts w:hint="eastAsia" w:ascii="Times New Roman" w:hAnsi="Times New Roman" w:eastAsia="宋体" w:cs="Times New Roman"/>
                <w:b w:val="0"/>
                <w:bCs w:val="0"/>
                <w:smallCaps w:val="0"/>
                <w:color w:val="auto"/>
                <w:kern w:val="0"/>
                <w:sz w:val="24"/>
                <w:szCs w:val="24"/>
                <w:highlight w:val="none"/>
                <w:lang w:val="en-US" w:eastAsia="zh-CN" w:bidi="ar"/>
              </w:rPr>
              <w:t>。</w:t>
            </w:r>
          </w:p>
          <w:p w14:paraId="20735BC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outlineLvl w:val="9"/>
              <w:rPr>
                <w:rFonts w:hint="eastAsia" w:ascii="Times New Roman" w:hAnsi="Times New Roman" w:eastAsia="宋体" w:cs="Times New Roman"/>
                <w:b/>
                <w:bCs/>
                <w:smallCaps w:val="0"/>
                <w:color w:val="auto"/>
                <w:kern w:val="0"/>
                <w:sz w:val="24"/>
                <w:szCs w:val="24"/>
                <w:highlight w:val="none"/>
                <w:lang w:val="en-US" w:eastAsia="zh-CN" w:bidi="ar-SA"/>
              </w:rPr>
            </w:pPr>
            <w:r>
              <w:rPr>
                <w:rFonts w:hint="eastAsia" w:ascii="Times New Roman" w:hAnsi="Times New Roman" w:eastAsia="宋体" w:cs="Times New Roman"/>
                <w:b/>
                <w:bCs/>
                <w:smallCaps w:val="0"/>
                <w:color w:val="auto"/>
                <w:kern w:val="0"/>
                <w:sz w:val="24"/>
                <w:szCs w:val="24"/>
                <w:highlight w:val="none"/>
                <w:lang w:val="en-US" w:eastAsia="zh-CN" w:bidi="ar-SA"/>
              </w:rPr>
              <w:t>表4-</w:t>
            </w:r>
            <w:r>
              <w:rPr>
                <w:rFonts w:hint="eastAsia" w:cs="Times New Roman"/>
                <w:b/>
                <w:bCs/>
                <w:smallCaps w:val="0"/>
                <w:color w:val="auto"/>
                <w:kern w:val="0"/>
                <w:sz w:val="24"/>
                <w:szCs w:val="24"/>
                <w:highlight w:val="none"/>
                <w:lang w:val="en-US" w:eastAsia="zh-CN" w:bidi="ar-SA"/>
              </w:rPr>
              <w:t>15</w:t>
            </w:r>
            <w:r>
              <w:rPr>
                <w:rFonts w:hint="eastAsia" w:ascii="Times New Roman" w:hAnsi="Times New Roman" w:eastAsia="宋体" w:cs="Times New Roman"/>
                <w:b/>
                <w:bCs/>
                <w:smallCaps w:val="0"/>
                <w:color w:val="auto"/>
                <w:kern w:val="0"/>
                <w:sz w:val="24"/>
                <w:szCs w:val="24"/>
                <w:highlight w:val="none"/>
                <w:lang w:val="en-US" w:eastAsia="zh-CN" w:bidi="ar-SA"/>
              </w:rPr>
              <w:t xml:space="preserve">  运营期间厂界噪声预测结果   单位：dB（A）</w:t>
            </w:r>
          </w:p>
          <w:tbl>
            <w:tblPr>
              <w:tblStyle w:val="3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1588"/>
              <w:gridCol w:w="2573"/>
              <w:gridCol w:w="3148"/>
            </w:tblGrid>
            <w:tr w14:paraId="32E71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vMerge w:val="restart"/>
                  <w:tcBorders>
                    <w:tl2br w:val="nil"/>
                    <w:tr2bl w:val="nil"/>
                  </w:tcBorders>
                  <w:noWrap w:val="0"/>
                  <w:vAlign w:val="center"/>
                </w:tcPr>
                <w:p w14:paraId="1E98A419">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预测点</w:t>
                  </w:r>
                </w:p>
              </w:tc>
              <w:tc>
                <w:tcPr>
                  <w:tcW w:w="4119" w:type="pct"/>
                  <w:gridSpan w:val="3"/>
                  <w:tcBorders>
                    <w:tl2br w:val="nil"/>
                    <w:tr2bl w:val="nil"/>
                  </w:tcBorders>
                  <w:noWrap w:val="0"/>
                  <w:vAlign w:val="center"/>
                </w:tcPr>
                <w:p w14:paraId="63520E06">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厂界贡献值</w:t>
                  </w:r>
                </w:p>
              </w:tc>
            </w:tr>
            <w:tr w14:paraId="1A21D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vMerge w:val="continue"/>
                  <w:tcBorders>
                    <w:tl2br w:val="nil"/>
                    <w:tr2bl w:val="nil"/>
                  </w:tcBorders>
                  <w:noWrap w:val="0"/>
                  <w:vAlign w:val="center"/>
                </w:tcPr>
                <w:p w14:paraId="19B2832C">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p>
              </w:tc>
              <w:tc>
                <w:tcPr>
                  <w:tcW w:w="895" w:type="pct"/>
                  <w:tcBorders>
                    <w:tl2br w:val="nil"/>
                    <w:tr2bl w:val="nil"/>
                  </w:tcBorders>
                  <w:noWrap w:val="0"/>
                  <w:vAlign w:val="center"/>
                </w:tcPr>
                <w:p w14:paraId="06183A45">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昼间</w:t>
                  </w:r>
                </w:p>
              </w:tc>
              <w:tc>
                <w:tcPr>
                  <w:tcW w:w="1450" w:type="pct"/>
                  <w:tcBorders>
                    <w:tl2br w:val="nil"/>
                    <w:tr2bl w:val="nil"/>
                  </w:tcBorders>
                  <w:noWrap w:val="0"/>
                  <w:vAlign w:val="center"/>
                </w:tcPr>
                <w:p w14:paraId="45FAF535">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夜间</w:t>
                  </w:r>
                </w:p>
              </w:tc>
              <w:tc>
                <w:tcPr>
                  <w:tcW w:w="1773" w:type="pct"/>
                  <w:tcBorders>
                    <w:tl2br w:val="nil"/>
                    <w:tr2bl w:val="nil"/>
                  </w:tcBorders>
                  <w:noWrap w:val="0"/>
                  <w:vAlign w:val="center"/>
                </w:tcPr>
                <w:p w14:paraId="58191C30">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评价结果</w:t>
                  </w:r>
                </w:p>
              </w:tc>
            </w:tr>
            <w:tr w14:paraId="38D438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tcBorders>
                    <w:tl2br w:val="nil"/>
                    <w:tr2bl w:val="nil"/>
                  </w:tcBorders>
                  <w:noWrap w:val="0"/>
                  <w:vAlign w:val="center"/>
                </w:tcPr>
                <w:p w14:paraId="5163561F">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厂界北侧</w:t>
                  </w:r>
                </w:p>
              </w:tc>
              <w:tc>
                <w:tcPr>
                  <w:tcW w:w="895" w:type="pct"/>
                  <w:tcBorders>
                    <w:tl2br w:val="nil"/>
                    <w:tr2bl w:val="nil"/>
                  </w:tcBorders>
                  <w:noWrap w:val="0"/>
                  <w:vAlign w:val="center"/>
                </w:tcPr>
                <w:p w14:paraId="526784B9">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22.9</w:t>
                  </w:r>
                </w:p>
              </w:tc>
              <w:tc>
                <w:tcPr>
                  <w:tcW w:w="2384" w:type="dxa"/>
                  <w:tcBorders>
                    <w:tl2br w:val="nil"/>
                    <w:tr2bl w:val="nil"/>
                  </w:tcBorders>
                  <w:noWrap w:val="0"/>
                  <w:vAlign w:val="center"/>
                </w:tcPr>
                <w:p w14:paraId="4B0F572E">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22.9</w:t>
                  </w:r>
                </w:p>
              </w:tc>
              <w:tc>
                <w:tcPr>
                  <w:tcW w:w="1773" w:type="pct"/>
                  <w:vMerge w:val="restart"/>
                  <w:tcBorders>
                    <w:tl2br w:val="nil"/>
                    <w:tr2bl w:val="nil"/>
                  </w:tcBorders>
                  <w:noWrap w:val="0"/>
                  <w:vAlign w:val="center"/>
                </w:tcPr>
                <w:p w14:paraId="19D36459">
                  <w:pPr>
                    <w:keepNext w:val="0"/>
                    <w:keepLines w:val="0"/>
                    <w:widowControl/>
                    <w:suppressLineNumbers w:val="0"/>
                    <w:bidi w:val="0"/>
                    <w:spacing w:before="0" w:beforeAutospacing="0" w:after="0" w:afterAutospacing="0" w:line="312" w:lineRule="auto"/>
                    <w:ind w:left="0" w:right="0"/>
                    <w:jc w:val="center"/>
                    <w:rPr>
                      <w:rFonts w:hint="default" w:ascii="Times New Roman" w:hAnsi="Times New Roman" w:eastAsia="宋体" w:cs="Times New Roman"/>
                      <w:smallCaps w:val="0"/>
                      <w:color w:val="auto"/>
                      <w:sz w:val="21"/>
                      <w:szCs w:val="20"/>
                      <w:highlight w:val="none"/>
                      <w:lang w:val="en-US" w:eastAsia="zh-CN" w:bidi="ar-SA"/>
                    </w:rPr>
                  </w:pPr>
                  <w:r>
                    <w:rPr>
                      <w:rFonts w:hint="eastAsia" w:cs="Times New Roman"/>
                      <w:smallCaps w:val="0"/>
                      <w:color w:val="auto"/>
                      <w:sz w:val="21"/>
                      <w:szCs w:val="20"/>
                      <w:highlight w:val="none"/>
                      <w:lang w:val="en-US" w:eastAsia="zh-CN" w:bidi="ar-SA"/>
                    </w:rPr>
                    <w:t>厂界四周噪声满足《工业企业厂界环境噪声排放标准》（GB12348-2008）表1中3类标准（昼间≤65dB（A），夜间≤55dB（A））</w:t>
                  </w:r>
                  <w:r>
                    <w:rPr>
                      <w:rFonts w:hint="default" w:ascii="Times New Roman" w:hAnsi="Times New Roman" w:eastAsia="宋体" w:cs="Times New Roman"/>
                      <w:smallCaps w:val="0"/>
                      <w:color w:val="auto"/>
                      <w:sz w:val="21"/>
                      <w:szCs w:val="20"/>
                      <w:highlight w:val="none"/>
                      <w:lang w:val="en-US" w:eastAsia="zh-CN" w:bidi="ar-SA"/>
                    </w:rPr>
                    <w:t>。</w:t>
                  </w:r>
                </w:p>
              </w:tc>
            </w:tr>
            <w:tr w14:paraId="2249A7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tcBorders>
                    <w:tl2br w:val="nil"/>
                    <w:tr2bl w:val="nil"/>
                  </w:tcBorders>
                  <w:noWrap w:val="0"/>
                  <w:vAlign w:val="center"/>
                </w:tcPr>
                <w:p w14:paraId="336B863B">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厂界西侧</w:t>
                  </w:r>
                </w:p>
              </w:tc>
              <w:tc>
                <w:tcPr>
                  <w:tcW w:w="895" w:type="pct"/>
                  <w:tcBorders>
                    <w:tl2br w:val="nil"/>
                    <w:tr2bl w:val="nil"/>
                  </w:tcBorders>
                  <w:noWrap w:val="0"/>
                  <w:vAlign w:val="center"/>
                </w:tcPr>
                <w:p w14:paraId="263B2BF3">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Cs w:val="20"/>
                      <w:highlight w:val="none"/>
                      <w:lang w:val="en-US" w:eastAsia="zh-CN"/>
                    </w:rPr>
                    <w:t>27.4</w:t>
                  </w:r>
                </w:p>
              </w:tc>
              <w:tc>
                <w:tcPr>
                  <w:tcW w:w="2384" w:type="dxa"/>
                  <w:tcBorders>
                    <w:tl2br w:val="nil"/>
                    <w:tr2bl w:val="nil"/>
                  </w:tcBorders>
                  <w:noWrap w:val="0"/>
                  <w:vAlign w:val="center"/>
                </w:tcPr>
                <w:p w14:paraId="31473773">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Cs w:val="20"/>
                      <w:highlight w:val="none"/>
                      <w:lang w:val="en-US" w:eastAsia="zh-CN"/>
                    </w:rPr>
                    <w:t>27.4</w:t>
                  </w:r>
                </w:p>
              </w:tc>
              <w:tc>
                <w:tcPr>
                  <w:tcW w:w="1773" w:type="pct"/>
                  <w:vMerge w:val="continue"/>
                  <w:tcBorders>
                    <w:tl2br w:val="nil"/>
                    <w:tr2bl w:val="nil"/>
                  </w:tcBorders>
                  <w:noWrap w:val="0"/>
                  <w:vAlign w:val="center"/>
                </w:tcPr>
                <w:p w14:paraId="513EB221">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p>
              </w:tc>
            </w:tr>
            <w:tr w14:paraId="774215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tcBorders>
                    <w:tl2br w:val="nil"/>
                    <w:tr2bl w:val="nil"/>
                  </w:tcBorders>
                  <w:noWrap w:val="0"/>
                  <w:vAlign w:val="center"/>
                </w:tcPr>
                <w:p w14:paraId="7EE79B03">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厂界南侧</w:t>
                  </w:r>
                </w:p>
              </w:tc>
              <w:tc>
                <w:tcPr>
                  <w:tcW w:w="895" w:type="pct"/>
                  <w:tcBorders>
                    <w:tl2br w:val="nil"/>
                    <w:tr2bl w:val="nil"/>
                  </w:tcBorders>
                  <w:noWrap w:val="0"/>
                  <w:vAlign w:val="center"/>
                </w:tcPr>
                <w:p w14:paraId="24BA9F3D">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21.0</w:t>
                  </w:r>
                </w:p>
              </w:tc>
              <w:tc>
                <w:tcPr>
                  <w:tcW w:w="2384" w:type="dxa"/>
                  <w:tcBorders>
                    <w:tl2br w:val="nil"/>
                    <w:tr2bl w:val="nil"/>
                  </w:tcBorders>
                  <w:noWrap w:val="0"/>
                  <w:vAlign w:val="center"/>
                </w:tcPr>
                <w:p w14:paraId="20735722">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21.0</w:t>
                  </w:r>
                </w:p>
              </w:tc>
              <w:tc>
                <w:tcPr>
                  <w:tcW w:w="1773" w:type="pct"/>
                  <w:vMerge w:val="continue"/>
                  <w:tcBorders>
                    <w:tl2br w:val="nil"/>
                    <w:tr2bl w:val="nil"/>
                  </w:tcBorders>
                  <w:noWrap w:val="0"/>
                  <w:vAlign w:val="center"/>
                </w:tcPr>
                <w:p w14:paraId="69663BF5">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p>
              </w:tc>
            </w:tr>
            <w:tr w14:paraId="345B82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0" w:type="pct"/>
                  <w:tcBorders>
                    <w:tl2br w:val="nil"/>
                    <w:tr2bl w:val="nil"/>
                  </w:tcBorders>
                  <w:noWrap w:val="0"/>
                  <w:vAlign w:val="center"/>
                </w:tcPr>
                <w:p w14:paraId="3B18DF95">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r>
                    <w:rPr>
                      <w:rFonts w:hint="eastAsia" w:ascii="Times New Roman" w:hAnsi="Times New Roman" w:eastAsia="宋体" w:cs="Times New Roman"/>
                      <w:smallCaps w:val="0"/>
                      <w:color w:val="auto"/>
                      <w:sz w:val="21"/>
                      <w:szCs w:val="20"/>
                      <w:highlight w:val="none"/>
                      <w:lang w:val="en-US" w:eastAsia="zh-CN" w:bidi="ar-SA"/>
                    </w:rPr>
                    <w:t>厂界东侧</w:t>
                  </w:r>
                </w:p>
              </w:tc>
              <w:tc>
                <w:tcPr>
                  <w:tcW w:w="895" w:type="pct"/>
                  <w:tcBorders>
                    <w:tl2br w:val="nil"/>
                    <w:tr2bl w:val="nil"/>
                  </w:tcBorders>
                  <w:noWrap w:val="0"/>
                  <w:vAlign w:val="center"/>
                </w:tcPr>
                <w:p w14:paraId="56F2012D">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24.0</w:t>
                  </w:r>
                </w:p>
              </w:tc>
              <w:tc>
                <w:tcPr>
                  <w:tcW w:w="2384" w:type="dxa"/>
                  <w:tcBorders>
                    <w:tl2br w:val="nil"/>
                    <w:tr2bl w:val="nil"/>
                  </w:tcBorders>
                  <w:noWrap w:val="0"/>
                  <w:vAlign w:val="center"/>
                </w:tcPr>
                <w:p w14:paraId="25CE533B">
                  <w:pPr>
                    <w:keepNext w:val="0"/>
                    <w:keepLines w:val="0"/>
                    <w:widowControl/>
                    <w:suppressLineNumbers w:val="0"/>
                    <w:bidi w:val="0"/>
                    <w:spacing w:before="0" w:beforeAutospacing="0" w:after="0" w:afterAutospacing="0" w:line="312" w:lineRule="auto"/>
                    <w:ind w:left="0" w:leftChars="0" w:right="0" w:rightChars="0"/>
                    <w:jc w:val="center"/>
                    <w:rPr>
                      <w:rFonts w:hint="default" w:ascii="Times New Roman" w:hAnsi="Times New Roman" w:eastAsia="宋体" w:cs="Times New Roman"/>
                      <w:smallCaps w:val="0"/>
                      <w:color w:val="auto"/>
                      <w:szCs w:val="20"/>
                      <w:highlight w:val="none"/>
                      <w:lang w:val="en-US" w:eastAsia="zh-CN"/>
                    </w:rPr>
                  </w:pPr>
                  <w:r>
                    <w:rPr>
                      <w:rFonts w:hint="eastAsia" w:ascii="Times New Roman" w:hAnsi="Times New Roman" w:cs="Times New Roman"/>
                      <w:smallCaps w:val="0"/>
                      <w:color w:val="auto"/>
                      <w:sz w:val="21"/>
                      <w:szCs w:val="20"/>
                      <w:highlight w:val="none"/>
                      <w:lang w:val="en-US" w:eastAsia="zh-CN" w:bidi="ar-SA"/>
                    </w:rPr>
                    <w:t>24.0</w:t>
                  </w:r>
                </w:p>
              </w:tc>
              <w:tc>
                <w:tcPr>
                  <w:tcW w:w="1773" w:type="pct"/>
                  <w:vMerge w:val="continue"/>
                  <w:tcBorders>
                    <w:tl2br w:val="nil"/>
                    <w:tr2bl w:val="nil"/>
                  </w:tcBorders>
                  <w:noWrap w:val="0"/>
                  <w:vAlign w:val="center"/>
                </w:tcPr>
                <w:p w14:paraId="02594D7D">
                  <w:pPr>
                    <w:keepNext w:val="0"/>
                    <w:keepLines w:val="0"/>
                    <w:widowControl/>
                    <w:suppressLineNumbers w:val="0"/>
                    <w:bidi w:val="0"/>
                    <w:spacing w:before="0" w:beforeAutospacing="0" w:after="0" w:afterAutospacing="0" w:line="312" w:lineRule="auto"/>
                    <w:ind w:left="0" w:right="0"/>
                    <w:jc w:val="center"/>
                    <w:rPr>
                      <w:rFonts w:hint="eastAsia" w:ascii="Times New Roman" w:hAnsi="Times New Roman" w:eastAsia="宋体" w:cs="Times New Roman"/>
                      <w:smallCaps w:val="0"/>
                      <w:color w:val="auto"/>
                      <w:sz w:val="21"/>
                      <w:szCs w:val="20"/>
                      <w:highlight w:val="none"/>
                      <w:lang w:val="en-US" w:eastAsia="zh-CN" w:bidi="ar-SA"/>
                    </w:rPr>
                  </w:pPr>
                </w:p>
              </w:tc>
            </w:tr>
          </w:tbl>
          <w:p w14:paraId="60AADA79">
            <w:pPr>
              <w:pStyle w:val="145"/>
              <w:rPr>
                <w:rFonts w:hint="eastAsia" w:ascii="Times New Roman" w:hAnsi="Times New Roman" w:cs="Times New Roman"/>
                <w:color w:val="auto"/>
              </w:rPr>
            </w:pPr>
            <w:r>
              <w:rPr>
                <w:rFonts w:hint="eastAsia" w:ascii="Times New Roman" w:hAnsi="Times New Roman" w:eastAsia="宋体" w:cs="Times New Roman"/>
                <w:smallCaps w:val="0"/>
                <w:color w:val="auto"/>
                <w:kern w:val="0"/>
                <w:sz w:val="24"/>
                <w:highlight w:val="none"/>
                <w:lang w:val="en-US" w:eastAsia="zh-CN" w:bidi="ar"/>
              </w:rPr>
              <w:t>综上</w:t>
            </w:r>
            <w:r>
              <w:rPr>
                <w:rFonts w:hint="eastAsia" w:ascii="Times New Roman" w:hAnsi="Times New Roman" w:cs="Times New Roman"/>
                <w:smallCaps w:val="0"/>
                <w:color w:val="auto"/>
                <w:kern w:val="0"/>
                <w:sz w:val="24"/>
                <w:highlight w:val="none"/>
                <w:lang w:val="en-US" w:eastAsia="zh-CN" w:bidi="ar"/>
              </w:rPr>
              <w:t>厂界四周噪声满足《工业企业厂界环境噪声排放标准》（GB12348-2008）表1中3类标准（昼间≤65dB（A），夜间≤55dB（A））</w:t>
            </w:r>
            <w:r>
              <w:rPr>
                <w:rFonts w:hint="eastAsia" w:ascii="Times New Roman" w:hAnsi="Times New Roman" w:eastAsia="宋体" w:cs="Times New Roman"/>
                <w:smallCaps w:val="0"/>
                <w:color w:val="auto"/>
                <w:kern w:val="0"/>
                <w:sz w:val="24"/>
                <w:highlight w:val="none"/>
                <w:lang w:val="en-US" w:eastAsia="zh-CN" w:bidi="ar"/>
              </w:rPr>
              <w:t>。</w:t>
            </w:r>
          </w:p>
          <w:p w14:paraId="7BD27091">
            <w:pPr>
              <w:pStyle w:val="145"/>
              <w:rPr>
                <w:rFonts w:ascii="Times New Roman" w:hAnsi="Times New Roman" w:cs="Times New Roman"/>
                <w:color w:val="auto"/>
              </w:rPr>
            </w:pPr>
            <w:r>
              <w:rPr>
                <w:rFonts w:hint="eastAsia" w:ascii="Times New Roman" w:hAnsi="Times New Roman" w:cs="Times New Roman"/>
                <w:color w:val="auto"/>
              </w:rPr>
              <w:t>3</w:t>
            </w:r>
            <w:r>
              <w:rPr>
                <w:rFonts w:ascii="Times New Roman" w:hAnsi="Times New Roman" w:cs="Times New Roman"/>
                <w:color w:val="auto"/>
              </w:rPr>
              <w:t>、监测计划</w:t>
            </w:r>
          </w:p>
          <w:p w14:paraId="67B788D5">
            <w:pPr>
              <w:spacing w:line="360" w:lineRule="auto"/>
              <w:ind w:firstLine="480" w:firstLineChars="200"/>
              <w:contextualSpacing/>
              <w:rPr>
                <w:color w:val="auto"/>
                <w:sz w:val="24"/>
              </w:rPr>
            </w:pPr>
            <w:r>
              <w:rPr>
                <w:rFonts w:hint="eastAsia" w:ascii="Times New Roman" w:hAnsi="Times New Roman" w:eastAsia="宋体" w:cs="Times New Roman"/>
                <w:smallCaps w:val="0"/>
                <w:color w:val="auto"/>
                <w:sz w:val="24"/>
                <w:highlight w:val="none"/>
                <w:lang w:val="zh-CN"/>
              </w:rPr>
              <w:t>（</w:t>
            </w:r>
            <w:r>
              <w:rPr>
                <w:rFonts w:hint="eastAsia" w:cs="Times New Roman"/>
                <w:smallCaps w:val="0"/>
                <w:color w:val="auto"/>
                <w:sz w:val="24"/>
                <w:highlight w:val="none"/>
                <w:lang w:val="en-US" w:eastAsia="zh-CN"/>
              </w:rPr>
              <w:t>2</w:t>
            </w:r>
            <w:r>
              <w:rPr>
                <w:rFonts w:hint="eastAsia" w:ascii="Times New Roman" w:hAnsi="Times New Roman" w:eastAsia="宋体" w:cs="Times New Roman"/>
                <w:smallCaps w:val="0"/>
                <w:color w:val="auto"/>
                <w:sz w:val="24"/>
                <w:highlight w:val="none"/>
                <w:lang w:val="zh-CN"/>
              </w:rPr>
              <w:t>）</w:t>
            </w:r>
            <w:r>
              <w:rPr>
                <w:rFonts w:hint="default" w:ascii="Times New Roman" w:hAnsi="Times New Roman" w:eastAsia="宋体" w:cs="Times New Roman"/>
                <w:bCs/>
                <w:smallCaps w:val="0"/>
                <w:color w:val="auto"/>
                <w:sz w:val="24"/>
                <w:highlight w:val="none"/>
              </w:rPr>
              <w:t>声环境监测计划</w:t>
            </w:r>
            <w:r>
              <w:rPr>
                <w:rFonts w:hint="eastAsia" w:ascii="Times New Roman" w:hAnsi="Times New Roman" w:eastAsia="宋体" w:cs="Times New Roman"/>
                <w:smallCaps w:val="0"/>
                <w:color w:val="auto"/>
                <w:sz w:val="24"/>
                <w:highlight w:val="none"/>
              </w:rPr>
              <w:t>根据《排污单位自行监测技术指南</w:t>
            </w:r>
            <w:r>
              <w:rPr>
                <w:rFonts w:hint="default" w:ascii="Times New Roman" w:hAnsi="Times New Roman" w:eastAsia="宋体" w:cs="Times New Roman"/>
                <w:smallCaps w:val="0"/>
                <w:color w:val="auto"/>
                <w:sz w:val="24"/>
                <w:highlight w:val="none"/>
              </w:rPr>
              <w:t xml:space="preserve"> </w:t>
            </w:r>
            <w:r>
              <w:rPr>
                <w:rFonts w:hint="eastAsia" w:ascii="Times New Roman" w:hAnsi="Times New Roman" w:eastAsia="宋体" w:cs="Times New Roman"/>
                <w:smallCaps w:val="0"/>
                <w:color w:val="auto"/>
                <w:sz w:val="24"/>
                <w:highlight w:val="none"/>
              </w:rPr>
              <w:t>总则》（</w:t>
            </w:r>
            <w:r>
              <w:rPr>
                <w:rFonts w:hint="default" w:ascii="Times New Roman" w:hAnsi="Times New Roman" w:eastAsia="宋体" w:cs="Times New Roman"/>
                <w:smallCaps w:val="0"/>
                <w:color w:val="auto"/>
                <w:sz w:val="24"/>
                <w:highlight w:val="none"/>
              </w:rPr>
              <w:t>HJ819-2017</w:t>
            </w:r>
            <w:r>
              <w:rPr>
                <w:rFonts w:hint="eastAsia" w:ascii="Times New Roman" w:hAnsi="Times New Roman" w:eastAsia="宋体" w:cs="Times New Roman"/>
                <w:smallCaps w:val="0"/>
                <w:color w:val="auto"/>
                <w:sz w:val="24"/>
                <w:highlight w:val="none"/>
              </w:rPr>
              <w:t>）制定本项目监测计划要求，对厂界噪声进行监测。</w:t>
            </w:r>
          </w:p>
          <w:p w14:paraId="586AE8AA">
            <w:pPr>
              <w:spacing w:line="360" w:lineRule="auto"/>
              <w:contextualSpacing/>
              <w:jc w:val="center"/>
              <w:rPr>
                <w:b/>
                <w:color w:val="auto"/>
                <w:sz w:val="24"/>
              </w:rPr>
            </w:pPr>
            <w:r>
              <w:rPr>
                <w:b/>
                <w:color w:val="auto"/>
                <w:sz w:val="24"/>
              </w:rPr>
              <w:t>表4-</w:t>
            </w:r>
            <w:r>
              <w:rPr>
                <w:rFonts w:hint="eastAsia"/>
                <w:b/>
                <w:color w:val="auto"/>
                <w:sz w:val="24"/>
              </w:rPr>
              <w:t>1</w:t>
            </w:r>
            <w:r>
              <w:rPr>
                <w:rFonts w:hint="eastAsia"/>
                <w:b/>
                <w:color w:val="auto"/>
                <w:sz w:val="24"/>
                <w:lang w:val="en-US" w:eastAsia="zh-CN"/>
              </w:rPr>
              <w:t>5</w:t>
            </w:r>
            <w:r>
              <w:rPr>
                <w:b/>
                <w:color w:val="auto"/>
                <w:sz w:val="24"/>
              </w:rPr>
              <w:t xml:space="preserve"> 项目噪声监测计划表</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8"/>
              <w:gridCol w:w="1701"/>
              <w:gridCol w:w="2410"/>
              <w:gridCol w:w="3078"/>
            </w:tblGrid>
            <w:tr w14:paraId="12D24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8" w:type="dxa"/>
                  <w:tcBorders>
                    <w:top w:val="single" w:color="auto" w:sz="12" w:space="0"/>
                    <w:left w:val="nil"/>
                  </w:tcBorders>
                  <w:vAlign w:val="center"/>
                </w:tcPr>
                <w:p w14:paraId="06EB789B">
                  <w:pPr>
                    <w:contextualSpacing/>
                    <w:jc w:val="center"/>
                    <w:rPr>
                      <w:color w:val="auto"/>
                      <w:kern w:val="0"/>
                      <w:szCs w:val="21"/>
                    </w:rPr>
                  </w:pPr>
                  <w:r>
                    <w:rPr>
                      <w:color w:val="auto"/>
                      <w:kern w:val="0"/>
                      <w:szCs w:val="21"/>
                    </w:rPr>
                    <w:t>类别</w:t>
                  </w:r>
                </w:p>
              </w:tc>
              <w:tc>
                <w:tcPr>
                  <w:tcW w:w="1701" w:type="dxa"/>
                  <w:tcBorders>
                    <w:top w:val="single" w:color="auto" w:sz="12" w:space="0"/>
                  </w:tcBorders>
                  <w:vAlign w:val="center"/>
                </w:tcPr>
                <w:p w14:paraId="02DC668C">
                  <w:pPr>
                    <w:contextualSpacing/>
                    <w:jc w:val="center"/>
                    <w:rPr>
                      <w:color w:val="auto"/>
                      <w:kern w:val="0"/>
                      <w:szCs w:val="21"/>
                    </w:rPr>
                  </w:pPr>
                  <w:r>
                    <w:rPr>
                      <w:color w:val="auto"/>
                      <w:kern w:val="0"/>
                      <w:szCs w:val="21"/>
                    </w:rPr>
                    <w:t>监测点位</w:t>
                  </w:r>
                </w:p>
              </w:tc>
              <w:tc>
                <w:tcPr>
                  <w:tcW w:w="2410" w:type="dxa"/>
                  <w:tcBorders>
                    <w:top w:val="single" w:color="auto" w:sz="12" w:space="0"/>
                  </w:tcBorders>
                  <w:vAlign w:val="center"/>
                </w:tcPr>
                <w:p w14:paraId="3210F024">
                  <w:pPr>
                    <w:contextualSpacing/>
                    <w:jc w:val="center"/>
                    <w:rPr>
                      <w:color w:val="auto"/>
                      <w:kern w:val="0"/>
                      <w:szCs w:val="21"/>
                    </w:rPr>
                  </w:pPr>
                  <w:r>
                    <w:rPr>
                      <w:color w:val="auto"/>
                      <w:kern w:val="0"/>
                      <w:szCs w:val="21"/>
                    </w:rPr>
                    <w:t>监测项目</w:t>
                  </w:r>
                </w:p>
              </w:tc>
              <w:tc>
                <w:tcPr>
                  <w:tcW w:w="3078" w:type="dxa"/>
                  <w:tcBorders>
                    <w:top w:val="single" w:color="auto" w:sz="12" w:space="0"/>
                    <w:right w:val="nil"/>
                  </w:tcBorders>
                  <w:vAlign w:val="center"/>
                </w:tcPr>
                <w:p w14:paraId="66291636">
                  <w:pPr>
                    <w:contextualSpacing/>
                    <w:jc w:val="center"/>
                    <w:rPr>
                      <w:color w:val="auto"/>
                      <w:kern w:val="0"/>
                      <w:szCs w:val="21"/>
                    </w:rPr>
                  </w:pPr>
                  <w:r>
                    <w:rPr>
                      <w:color w:val="auto"/>
                      <w:kern w:val="0"/>
                      <w:szCs w:val="21"/>
                    </w:rPr>
                    <w:t>监测频次</w:t>
                  </w:r>
                </w:p>
              </w:tc>
            </w:tr>
            <w:tr w14:paraId="11B9C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28" w:type="dxa"/>
                  <w:tcBorders>
                    <w:left w:val="nil"/>
                    <w:bottom w:val="single" w:color="auto" w:sz="12" w:space="0"/>
                  </w:tcBorders>
                  <w:vAlign w:val="center"/>
                </w:tcPr>
                <w:p w14:paraId="3CFF757C">
                  <w:pPr>
                    <w:contextualSpacing/>
                    <w:jc w:val="center"/>
                    <w:rPr>
                      <w:color w:val="auto"/>
                      <w:kern w:val="0"/>
                      <w:szCs w:val="21"/>
                    </w:rPr>
                  </w:pPr>
                  <w:r>
                    <w:rPr>
                      <w:color w:val="auto"/>
                      <w:kern w:val="0"/>
                      <w:szCs w:val="21"/>
                    </w:rPr>
                    <w:t>厂界噪声</w:t>
                  </w:r>
                </w:p>
              </w:tc>
              <w:tc>
                <w:tcPr>
                  <w:tcW w:w="1701" w:type="dxa"/>
                  <w:tcBorders>
                    <w:bottom w:val="single" w:color="auto" w:sz="12" w:space="0"/>
                  </w:tcBorders>
                  <w:vAlign w:val="center"/>
                </w:tcPr>
                <w:p w14:paraId="2F75A3B8">
                  <w:pPr>
                    <w:contextualSpacing/>
                    <w:jc w:val="center"/>
                    <w:rPr>
                      <w:color w:val="auto"/>
                      <w:kern w:val="0"/>
                      <w:szCs w:val="21"/>
                    </w:rPr>
                  </w:pPr>
                  <w:r>
                    <w:rPr>
                      <w:color w:val="auto"/>
                      <w:kern w:val="0"/>
                      <w:szCs w:val="21"/>
                    </w:rPr>
                    <w:t>厂界四周</w:t>
                  </w:r>
                </w:p>
              </w:tc>
              <w:tc>
                <w:tcPr>
                  <w:tcW w:w="2410" w:type="dxa"/>
                  <w:tcBorders>
                    <w:bottom w:val="single" w:color="auto" w:sz="12" w:space="0"/>
                  </w:tcBorders>
                  <w:vAlign w:val="center"/>
                </w:tcPr>
                <w:p w14:paraId="30C4AC3C">
                  <w:pPr>
                    <w:contextualSpacing/>
                    <w:jc w:val="center"/>
                    <w:rPr>
                      <w:color w:val="auto"/>
                      <w:kern w:val="0"/>
                      <w:szCs w:val="21"/>
                    </w:rPr>
                  </w:pPr>
                  <w:r>
                    <w:rPr>
                      <w:color w:val="auto"/>
                      <w:kern w:val="0"/>
                      <w:szCs w:val="21"/>
                    </w:rPr>
                    <w:t>昼夜等效连续A声级</w:t>
                  </w:r>
                </w:p>
              </w:tc>
              <w:tc>
                <w:tcPr>
                  <w:tcW w:w="3078" w:type="dxa"/>
                  <w:tcBorders>
                    <w:bottom w:val="single" w:color="auto" w:sz="12" w:space="0"/>
                    <w:right w:val="nil"/>
                  </w:tcBorders>
                  <w:vAlign w:val="center"/>
                </w:tcPr>
                <w:p w14:paraId="12CB31A9">
                  <w:pPr>
                    <w:contextualSpacing/>
                    <w:jc w:val="center"/>
                    <w:rPr>
                      <w:color w:val="auto"/>
                      <w:kern w:val="0"/>
                      <w:szCs w:val="21"/>
                    </w:rPr>
                  </w:pPr>
                  <w:r>
                    <w:rPr>
                      <w:color w:val="auto"/>
                      <w:kern w:val="0"/>
                      <w:szCs w:val="21"/>
                    </w:rPr>
                    <w:t xml:space="preserve">1次/季度 </w:t>
                  </w:r>
                </w:p>
              </w:tc>
            </w:tr>
          </w:tbl>
          <w:p w14:paraId="799C5C79">
            <w:pPr>
              <w:spacing w:line="360" w:lineRule="auto"/>
              <w:jc w:val="left"/>
              <w:rPr>
                <w:rFonts w:eastAsia="黑体"/>
                <w:bCs/>
                <w:color w:val="auto"/>
                <w:sz w:val="28"/>
                <w:szCs w:val="28"/>
              </w:rPr>
            </w:pPr>
            <w:r>
              <w:rPr>
                <w:rFonts w:eastAsia="黑体"/>
                <w:bCs/>
                <w:color w:val="auto"/>
                <w:sz w:val="28"/>
                <w:szCs w:val="28"/>
              </w:rPr>
              <w:t>四、固体废物</w:t>
            </w:r>
          </w:p>
          <w:p w14:paraId="01F97EC1">
            <w:pPr>
              <w:spacing w:line="360" w:lineRule="auto"/>
              <w:ind w:firstLine="480" w:firstLineChars="200"/>
              <w:rPr>
                <w:color w:val="auto"/>
                <w:sz w:val="24"/>
              </w:rPr>
            </w:pPr>
            <w:r>
              <w:rPr>
                <w:rFonts w:hint="default" w:ascii="Times New Roman" w:hAnsi="Times New Roman" w:eastAsia="宋体" w:cs="Times New Roman"/>
                <w:b/>
                <w:color w:val="auto"/>
                <w:sz w:val="24"/>
                <w:highlight w:val="none"/>
              </w:rPr>
              <w:t>4.1运营期固体废物环境影响分析</w:t>
            </w:r>
          </w:p>
          <w:p w14:paraId="13EA0F6D">
            <w:pPr>
              <w:spacing w:line="360" w:lineRule="auto"/>
              <w:ind w:firstLine="480" w:firstLineChars="200"/>
              <w:rPr>
                <w:rFonts w:hint="default" w:eastAsia="宋体"/>
                <w:color w:val="auto"/>
                <w:sz w:val="24"/>
                <w:lang w:val="en-US" w:eastAsia="zh-CN"/>
              </w:rPr>
            </w:pPr>
            <w:r>
              <w:rPr>
                <w:color w:val="0000FF"/>
                <w:sz w:val="24"/>
              </w:rPr>
              <w:t>本项目固体废物主要为生产废料、生物质蒸汽锅炉灰渣、</w:t>
            </w:r>
            <w:r>
              <w:rPr>
                <w:rFonts w:hint="eastAsia"/>
                <w:color w:val="0000FF"/>
                <w:sz w:val="24"/>
              </w:rPr>
              <w:t>生活垃圾</w:t>
            </w:r>
            <w:r>
              <w:rPr>
                <w:rFonts w:hint="eastAsia"/>
                <w:color w:val="0000FF"/>
                <w:sz w:val="24"/>
                <w:lang w:eastAsia="zh-CN"/>
              </w:rPr>
              <w:t>、废离子交换树脂、</w:t>
            </w:r>
            <w:r>
              <w:rPr>
                <w:rFonts w:hint="eastAsia" w:ascii="Times New Roman" w:hAnsi="Times New Roman" w:eastAsia="宋体" w:cs="Times New Roman"/>
                <w:color w:val="0000FF"/>
                <w:sz w:val="24"/>
                <w:lang w:val="en-US" w:eastAsia="zh-CN"/>
              </w:rPr>
              <w:t>污水处理站污泥</w:t>
            </w:r>
            <w:r>
              <w:rPr>
                <w:rFonts w:hint="eastAsia" w:cs="Times New Roman"/>
                <w:color w:val="0000FF"/>
                <w:sz w:val="24"/>
                <w:lang w:val="en-US" w:eastAsia="zh-CN"/>
              </w:rPr>
              <w:t>、</w:t>
            </w:r>
            <w:r>
              <w:rPr>
                <w:rFonts w:hint="eastAsia" w:ascii="Times New Roman" w:hAnsi="Times New Roman" w:cs="Times New Roman"/>
                <w:color w:val="0000FF"/>
                <w:sz w:val="24"/>
                <w:lang w:val="en-US" w:eastAsia="zh-CN"/>
              </w:rPr>
              <w:t>废机油</w:t>
            </w:r>
            <w:r>
              <w:rPr>
                <w:rFonts w:hint="eastAsia" w:cs="Times New Roman"/>
                <w:color w:val="0000FF"/>
                <w:sz w:val="24"/>
                <w:lang w:val="en-US" w:eastAsia="zh-CN"/>
              </w:rPr>
              <w:t>、</w:t>
            </w:r>
            <w:r>
              <w:rPr>
                <w:rFonts w:hint="eastAsia" w:ascii="Times New Roman" w:hAnsi="Times New Roman" w:eastAsia="宋体" w:cs="Times New Roman"/>
                <w:snapToGrid w:val="0"/>
                <w:color w:val="0000FF"/>
                <w:kern w:val="0"/>
                <w:sz w:val="24"/>
                <w:lang w:val="en-US" w:eastAsia="zh-CN"/>
              </w:rPr>
              <w:t>废布袋</w:t>
            </w:r>
            <w:r>
              <w:rPr>
                <w:rFonts w:hint="eastAsia" w:cs="Times New Roman"/>
                <w:snapToGrid w:val="0"/>
                <w:color w:val="0000FF"/>
                <w:kern w:val="0"/>
                <w:sz w:val="24"/>
                <w:lang w:val="en-US" w:eastAsia="zh-CN"/>
              </w:rPr>
              <w:t>、</w:t>
            </w:r>
            <w:r>
              <w:rPr>
                <w:rFonts w:hint="default" w:ascii="Times New Roman" w:hAnsi="Times New Roman" w:eastAsia="宋体" w:cs="Times New Roman"/>
                <w:snapToGrid w:val="0"/>
                <w:color w:val="0000FF"/>
                <w:kern w:val="0"/>
                <w:sz w:val="24"/>
                <w:lang w:val="en-US" w:eastAsia="zh-CN"/>
              </w:rPr>
              <w:t>废包装材料</w:t>
            </w:r>
            <w:r>
              <w:rPr>
                <w:rFonts w:hint="eastAsia" w:cs="Times New Roman"/>
                <w:snapToGrid w:val="0"/>
                <w:color w:val="0000FF"/>
                <w:kern w:val="0"/>
                <w:sz w:val="24"/>
                <w:lang w:val="en-US" w:eastAsia="zh-CN"/>
              </w:rPr>
              <w:t>、</w:t>
            </w:r>
            <w:r>
              <w:rPr>
                <w:rFonts w:hint="default" w:ascii="Times New Roman" w:hAnsi="Times New Roman" w:eastAsia="宋体" w:cs="Times New Roman"/>
                <w:snapToGrid w:val="0"/>
                <w:color w:val="0000FF"/>
                <w:kern w:val="0"/>
                <w:sz w:val="24"/>
                <w:lang w:val="en-US" w:eastAsia="zh-CN"/>
              </w:rPr>
              <w:t>废活性炭</w:t>
            </w:r>
            <w:r>
              <w:rPr>
                <w:rFonts w:hint="eastAsia" w:cs="Times New Roman"/>
                <w:snapToGrid w:val="0"/>
                <w:color w:val="0000FF"/>
                <w:kern w:val="0"/>
                <w:sz w:val="24"/>
                <w:lang w:val="en-US" w:eastAsia="zh-CN"/>
              </w:rPr>
              <w:t>、</w:t>
            </w:r>
            <w:r>
              <w:rPr>
                <w:rFonts w:hint="eastAsia" w:ascii="Times New Roman" w:hAnsi="Times New Roman" w:eastAsia="宋体" w:cs="Times New Roman"/>
                <w:snapToGrid w:val="0"/>
                <w:color w:val="0000FF"/>
                <w:kern w:val="0"/>
                <w:sz w:val="24"/>
                <w:highlight w:val="none"/>
                <w:lang w:val="en-US" w:eastAsia="zh-CN"/>
              </w:rPr>
              <w:t>废油脂</w:t>
            </w:r>
            <w:r>
              <w:rPr>
                <w:rFonts w:hint="eastAsia" w:cs="Times New Roman"/>
                <w:snapToGrid w:val="0"/>
                <w:color w:val="0000FF"/>
                <w:kern w:val="0"/>
                <w:sz w:val="24"/>
                <w:highlight w:val="none"/>
                <w:lang w:val="en-US" w:eastAsia="zh-CN"/>
              </w:rPr>
              <w:t>等</w:t>
            </w:r>
            <w:r>
              <w:rPr>
                <w:rFonts w:hint="eastAsia" w:cs="Times New Roman"/>
                <w:snapToGrid w:val="0"/>
                <w:color w:val="auto"/>
                <w:kern w:val="0"/>
                <w:sz w:val="24"/>
                <w:highlight w:val="none"/>
                <w:lang w:val="en-US" w:eastAsia="zh-CN"/>
              </w:rPr>
              <w:t>。</w:t>
            </w:r>
          </w:p>
          <w:p w14:paraId="32EE38F3">
            <w:pPr>
              <w:spacing w:line="360" w:lineRule="auto"/>
              <w:ind w:firstLine="480" w:firstLineChars="200"/>
              <w:rPr>
                <w:color w:val="auto"/>
                <w:sz w:val="24"/>
              </w:rPr>
            </w:pPr>
            <w:r>
              <w:rPr>
                <w:color w:val="auto"/>
                <w:sz w:val="24"/>
              </w:rPr>
              <w:t>废弃包装袋、生活垃圾</w:t>
            </w:r>
            <w:r>
              <w:rPr>
                <w:rFonts w:hint="eastAsia"/>
                <w:color w:val="auto"/>
                <w:sz w:val="24"/>
                <w:lang w:eastAsia="zh-CN"/>
              </w:rPr>
              <w:t>、</w:t>
            </w:r>
            <w:r>
              <w:rPr>
                <w:color w:val="auto"/>
                <w:sz w:val="24"/>
              </w:rPr>
              <w:t>软化水制备产生的废</w:t>
            </w:r>
            <w:r>
              <w:rPr>
                <w:rFonts w:hint="eastAsia"/>
                <w:color w:val="auto"/>
                <w:sz w:val="24"/>
                <w:lang w:eastAsia="zh-CN"/>
              </w:rPr>
              <w:t>离子交换树脂、</w:t>
            </w:r>
            <w:r>
              <w:rPr>
                <w:rFonts w:hint="eastAsia" w:ascii="Times New Roman" w:hAnsi="Times New Roman" w:eastAsia="宋体" w:cs="Times New Roman"/>
                <w:color w:val="auto"/>
                <w:sz w:val="24"/>
                <w:lang w:val="en-US" w:eastAsia="zh-CN"/>
              </w:rPr>
              <w:t>污水处理站污泥</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废机油</w:t>
            </w:r>
            <w:r>
              <w:rPr>
                <w:rFonts w:hint="eastAsia" w:cs="Times New Roman"/>
                <w:color w:val="auto"/>
                <w:sz w:val="24"/>
                <w:lang w:val="en-US" w:eastAsia="zh-CN"/>
              </w:rPr>
              <w:t>、</w:t>
            </w:r>
            <w:r>
              <w:rPr>
                <w:rFonts w:hint="eastAsia" w:ascii="Times New Roman" w:hAnsi="Times New Roman" w:eastAsia="宋体" w:cs="Times New Roman"/>
                <w:snapToGrid w:val="0"/>
                <w:color w:val="auto"/>
                <w:kern w:val="0"/>
                <w:sz w:val="24"/>
                <w:lang w:val="en-US" w:eastAsia="zh-CN"/>
              </w:rPr>
              <w:t>废布袋</w:t>
            </w:r>
            <w:r>
              <w:rPr>
                <w:rFonts w:hint="eastAsia" w:cs="Times New Roman"/>
                <w:snapToGrid w:val="0"/>
                <w:color w:val="auto"/>
                <w:kern w:val="0"/>
                <w:sz w:val="24"/>
                <w:lang w:val="en-US" w:eastAsia="zh-CN"/>
              </w:rPr>
              <w:t>、</w:t>
            </w:r>
            <w:r>
              <w:rPr>
                <w:rFonts w:hint="default" w:ascii="Times New Roman" w:hAnsi="Times New Roman" w:eastAsia="宋体" w:cs="Times New Roman"/>
                <w:snapToGrid w:val="0"/>
                <w:color w:val="auto"/>
                <w:kern w:val="0"/>
                <w:sz w:val="24"/>
                <w:lang w:val="en-US" w:eastAsia="zh-CN"/>
              </w:rPr>
              <w:t>废包装材料</w:t>
            </w:r>
            <w:r>
              <w:rPr>
                <w:rFonts w:hint="eastAsia" w:cs="Times New Roman"/>
                <w:snapToGrid w:val="0"/>
                <w:color w:val="auto"/>
                <w:kern w:val="0"/>
                <w:sz w:val="24"/>
                <w:lang w:val="en-US" w:eastAsia="zh-CN"/>
              </w:rPr>
              <w:t>、废活性炭</w:t>
            </w:r>
            <w:r>
              <w:rPr>
                <w:color w:val="auto"/>
                <w:sz w:val="24"/>
              </w:rPr>
              <w:t>。</w:t>
            </w:r>
          </w:p>
          <w:p w14:paraId="0E18F172">
            <w:pPr>
              <w:spacing w:line="360" w:lineRule="auto"/>
              <w:ind w:firstLine="480" w:firstLineChars="200"/>
              <w:rPr>
                <w:color w:val="auto"/>
                <w:sz w:val="24"/>
              </w:rPr>
            </w:pPr>
            <w:r>
              <w:rPr>
                <w:color w:val="auto"/>
                <w:sz w:val="24"/>
              </w:rPr>
              <w:t>（1）生产废料</w:t>
            </w:r>
          </w:p>
          <w:p w14:paraId="7E5CC556">
            <w:pPr>
              <w:spacing w:line="360" w:lineRule="auto"/>
              <w:ind w:firstLine="480" w:firstLineChars="200"/>
              <w:rPr>
                <w:color w:val="auto"/>
                <w:sz w:val="24"/>
              </w:rPr>
            </w:pPr>
            <w:r>
              <w:rPr>
                <w:color w:val="auto"/>
                <w:sz w:val="24"/>
              </w:rPr>
              <w:t>本项目生产废料主要</w:t>
            </w:r>
            <w:r>
              <w:rPr>
                <w:rFonts w:hint="eastAsia"/>
                <w:color w:val="auto"/>
                <w:sz w:val="24"/>
              </w:rPr>
              <w:t>筛分的谷壳、砂砾、粉尘等</w:t>
            </w:r>
            <w:r>
              <w:rPr>
                <w:color w:val="auto"/>
                <w:sz w:val="24"/>
              </w:rPr>
              <w:t>，产生量约为</w:t>
            </w:r>
            <w:r>
              <w:rPr>
                <w:rFonts w:hint="eastAsia"/>
                <w:color w:val="auto"/>
                <w:sz w:val="24"/>
              </w:rPr>
              <w:t>原料</w:t>
            </w:r>
            <w:r>
              <w:rPr>
                <w:color w:val="auto"/>
                <w:sz w:val="24"/>
              </w:rPr>
              <w:t>的</w:t>
            </w:r>
            <w:r>
              <w:rPr>
                <w:rFonts w:hint="eastAsia"/>
                <w:color w:val="auto"/>
                <w:sz w:val="24"/>
              </w:rPr>
              <w:t>3.44</w:t>
            </w:r>
            <w:r>
              <w:rPr>
                <w:color w:val="auto"/>
                <w:sz w:val="24"/>
              </w:rPr>
              <w:t>%，即</w:t>
            </w:r>
            <w:r>
              <w:rPr>
                <w:rFonts w:hint="eastAsia"/>
                <w:color w:val="auto"/>
                <w:sz w:val="24"/>
              </w:rPr>
              <w:t>5155</w:t>
            </w:r>
            <w:r>
              <w:rPr>
                <w:color w:val="auto"/>
                <w:sz w:val="24"/>
              </w:rPr>
              <w:t>t/a，集中收集，</w:t>
            </w:r>
            <w:r>
              <w:rPr>
                <w:rFonts w:hint="eastAsia"/>
                <w:color w:val="auto"/>
                <w:sz w:val="24"/>
                <w:lang w:val="en-US" w:eastAsia="zh-CN"/>
              </w:rPr>
              <w:t>暂存在固废暂存间，外售综合利用</w:t>
            </w:r>
            <w:r>
              <w:rPr>
                <w:color w:val="auto"/>
                <w:sz w:val="24"/>
              </w:rPr>
              <w:t>。</w:t>
            </w:r>
          </w:p>
          <w:p w14:paraId="6CE64DE7">
            <w:pPr>
              <w:spacing w:line="360" w:lineRule="auto"/>
              <w:ind w:firstLine="480" w:firstLineChars="200"/>
              <w:rPr>
                <w:color w:val="auto"/>
                <w:sz w:val="24"/>
              </w:rPr>
            </w:pPr>
            <w:r>
              <w:rPr>
                <w:color w:val="auto"/>
                <w:sz w:val="24"/>
              </w:rPr>
              <w:t>（</w:t>
            </w:r>
            <w:r>
              <w:rPr>
                <w:rFonts w:hint="eastAsia"/>
                <w:color w:val="auto"/>
                <w:sz w:val="24"/>
              </w:rPr>
              <w:t>2</w:t>
            </w:r>
            <w:r>
              <w:rPr>
                <w:color w:val="auto"/>
                <w:sz w:val="24"/>
              </w:rPr>
              <w:t>）生物质蒸汽锅炉灰渣</w:t>
            </w:r>
          </w:p>
          <w:p w14:paraId="0E029457">
            <w:pPr>
              <w:spacing w:line="360" w:lineRule="auto"/>
              <w:ind w:firstLine="480" w:firstLineChars="200"/>
              <w:rPr>
                <w:color w:val="auto"/>
                <w:sz w:val="24"/>
              </w:rPr>
            </w:pPr>
            <w:r>
              <w:rPr>
                <w:color w:val="auto"/>
                <w:sz w:val="24"/>
              </w:rPr>
              <w:t>炉渣产生量根据《污染源源强核算技术指南 锅炉》（HJ 991-2018）中8.1物料衡算法计算。</w:t>
            </w:r>
          </w:p>
          <w:p w14:paraId="12B17425">
            <w:pPr>
              <w:spacing w:line="360" w:lineRule="auto"/>
              <w:ind w:firstLine="480" w:firstLineChars="200"/>
              <w:rPr>
                <w:color w:val="auto"/>
                <w:sz w:val="24"/>
              </w:rPr>
            </w:pPr>
            <w:r>
              <w:rPr>
                <w:color w:val="auto"/>
                <w:sz w:val="24"/>
              </w:rPr>
              <w:drawing>
                <wp:inline distT="0" distB="0" distL="114300" distR="114300">
                  <wp:extent cx="2221865" cy="485775"/>
                  <wp:effectExtent l="0" t="0" r="6985" b="9525"/>
                  <wp:docPr id="3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6"/>
                          <pic:cNvPicPr>
                            <a:picLocks noChangeAspect="1"/>
                          </pic:cNvPicPr>
                        </pic:nvPicPr>
                        <pic:blipFill>
                          <a:blip r:embed="rId31"/>
                          <a:stretch>
                            <a:fillRect/>
                          </a:stretch>
                        </pic:blipFill>
                        <pic:spPr>
                          <a:xfrm>
                            <a:off x="0" y="0"/>
                            <a:ext cx="2221865" cy="485775"/>
                          </a:xfrm>
                          <a:prstGeom prst="rect">
                            <a:avLst/>
                          </a:prstGeom>
                          <a:noFill/>
                          <a:ln>
                            <a:noFill/>
                          </a:ln>
                        </pic:spPr>
                      </pic:pic>
                    </a:graphicData>
                  </a:graphic>
                </wp:inline>
              </w:drawing>
            </w:r>
          </w:p>
          <w:p w14:paraId="04763BC2">
            <w:pPr>
              <w:spacing w:line="360" w:lineRule="auto"/>
              <w:ind w:firstLine="480" w:firstLineChars="200"/>
              <w:rPr>
                <w:color w:val="auto"/>
                <w:sz w:val="24"/>
              </w:rPr>
            </w:pPr>
            <w:r>
              <w:rPr>
                <w:color w:val="auto"/>
                <w:sz w:val="24"/>
              </w:rPr>
              <w:t>式中：Ehc----核算时段内灰渣产生量，t；</w:t>
            </w:r>
          </w:p>
          <w:p w14:paraId="364D3D07">
            <w:pPr>
              <w:spacing w:line="360" w:lineRule="auto"/>
              <w:ind w:firstLine="480" w:firstLineChars="200"/>
              <w:rPr>
                <w:color w:val="auto"/>
                <w:sz w:val="24"/>
              </w:rPr>
            </w:pPr>
            <w:r>
              <w:rPr>
                <w:color w:val="auto"/>
                <w:sz w:val="24"/>
              </w:rPr>
              <w:t>R----核算时段内锅炉燃料耗量，</w:t>
            </w:r>
            <w:r>
              <w:rPr>
                <w:rFonts w:hint="eastAsia"/>
                <w:color w:val="auto"/>
                <w:sz w:val="24"/>
                <w:lang w:val="en-US" w:eastAsia="zh-CN"/>
              </w:rPr>
              <w:t>33226.68</w:t>
            </w:r>
            <w:r>
              <w:rPr>
                <w:color w:val="auto"/>
                <w:sz w:val="24"/>
              </w:rPr>
              <w:t>t；</w:t>
            </w:r>
          </w:p>
          <w:p w14:paraId="76397821">
            <w:pPr>
              <w:spacing w:line="360" w:lineRule="auto"/>
              <w:ind w:firstLine="480" w:firstLineChars="200"/>
              <w:rPr>
                <w:color w:val="auto"/>
                <w:sz w:val="24"/>
              </w:rPr>
            </w:pPr>
            <w:r>
              <w:rPr>
                <w:color w:val="auto"/>
                <w:sz w:val="24"/>
              </w:rPr>
              <w:t>Aar----收到基灰分的质量分数，%；取</w:t>
            </w:r>
            <w:r>
              <w:rPr>
                <w:rFonts w:hint="eastAsia"/>
                <w:color w:val="auto"/>
                <w:sz w:val="24"/>
              </w:rPr>
              <w:t>3.76</w:t>
            </w:r>
            <w:r>
              <w:rPr>
                <w:color w:val="auto"/>
                <w:sz w:val="24"/>
              </w:rPr>
              <w:t>%。（根据生物质成分分析报告）</w:t>
            </w:r>
          </w:p>
          <w:p w14:paraId="30DC79BC">
            <w:pPr>
              <w:spacing w:line="360" w:lineRule="auto"/>
              <w:ind w:firstLine="480" w:firstLineChars="200"/>
              <w:rPr>
                <w:color w:val="auto"/>
                <w:sz w:val="24"/>
              </w:rPr>
            </w:pPr>
            <w:r>
              <w:rPr>
                <w:color w:val="auto"/>
                <w:sz w:val="24"/>
              </w:rPr>
              <w:t>q4----锅炉机械不完全燃烧热损失，%；取2%，（生物质锅炉取2）</w:t>
            </w:r>
          </w:p>
          <w:p w14:paraId="7A0C5A69">
            <w:pPr>
              <w:spacing w:line="360" w:lineRule="auto"/>
              <w:ind w:firstLine="480" w:firstLineChars="200"/>
              <w:rPr>
                <w:color w:val="auto"/>
                <w:sz w:val="24"/>
              </w:rPr>
            </w:pPr>
            <w:r>
              <w:rPr>
                <w:color w:val="auto"/>
                <w:sz w:val="24"/>
              </w:rPr>
              <w:t>Qnet，ar----收到基低位发热量，</w:t>
            </w:r>
            <w:r>
              <w:rPr>
                <w:color w:val="auto"/>
                <w:kern w:val="24"/>
                <w:sz w:val="24"/>
              </w:rPr>
              <w:t>kJ/kg。根据燃料成分分析报告为</w:t>
            </w:r>
            <w:r>
              <w:rPr>
                <w:rFonts w:hint="eastAsia"/>
                <w:color w:val="auto"/>
                <w:kern w:val="24"/>
                <w:sz w:val="24"/>
              </w:rPr>
              <w:t>11520</w:t>
            </w:r>
            <w:r>
              <w:rPr>
                <w:color w:val="auto"/>
                <w:sz w:val="24"/>
              </w:rPr>
              <w:t>；（根据生物质成分分析报告）</w:t>
            </w:r>
          </w:p>
          <w:p w14:paraId="35FB60BF">
            <w:pPr>
              <w:spacing w:line="360" w:lineRule="auto"/>
              <w:ind w:firstLine="480" w:firstLineChars="200"/>
              <w:rPr>
                <w:color w:val="auto"/>
                <w:sz w:val="24"/>
              </w:rPr>
            </w:pPr>
            <w:r>
              <w:rPr>
                <w:color w:val="auto"/>
                <w:sz w:val="24"/>
              </w:rPr>
              <w:t>Ehc=</w:t>
            </w:r>
            <w:r>
              <w:rPr>
                <w:rFonts w:hint="eastAsia"/>
                <w:color w:val="auto"/>
                <w:sz w:val="24"/>
              </w:rPr>
              <w:t>4240</w:t>
            </w:r>
            <w:r>
              <w:rPr>
                <w:color w:val="auto"/>
                <w:sz w:val="24"/>
              </w:rPr>
              <w:t>×（</w:t>
            </w:r>
            <w:r>
              <w:rPr>
                <w:rFonts w:hint="eastAsia"/>
                <w:color w:val="auto"/>
                <w:sz w:val="24"/>
              </w:rPr>
              <w:t>3.76</w:t>
            </w:r>
            <w:r>
              <w:rPr>
                <w:color w:val="auto"/>
                <w:sz w:val="24"/>
              </w:rPr>
              <w:t>%+2%×</w:t>
            </w:r>
            <w:r>
              <w:rPr>
                <w:rFonts w:hint="eastAsia"/>
                <w:color w:val="auto"/>
                <w:sz w:val="24"/>
              </w:rPr>
              <w:t>11520</w:t>
            </w:r>
            <w:r>
              <w:rPr>
                <w:color w:val="auto"/>
                <w:sz w:val="24"/>
              </w:rPr>
              <w:t>/33870）=</w:t>
            </w:r>
            <w:r>
              <w:rPr>
                <w:rFonts w:hint="eastAsia"/>
                <w:color w:val="auto"/>
                <w:sz w:val="24"/>
                <w:lang w:val="en-US" w:eastAsia="zh-CN"/>
              </w:rPr>
              <w:t>1701.37</w:t>
            </w:r>
            <w:r>
              <w:rPr>
                <w:color w:val="auto"/>
                <w:sz w:val="24"/>
              </w:rPr>
              <w:t>t/a</w:t>
            </w:r>
          </w:p>
          <w:p w14:paraId="66FBF5EC">
            <w:pPr>
              <w:spacing w:line="360" w:lineRule="auto"/>
              <w:ind w:firstLine="480" w:firstLineChars="200"/>
              <w:rPr>
                <w:bCs/>
                <w:color w:val="auto"/>
                <w:sz w:val="24"/>
              </w:rPr>
            </w:pPr>
            <w:r>
              <w:rPr>
                <w:color w:val="auto"/>
                <w:sz w:val="24"/>
              </w:rPr>
              <w:t>经计算，本项目锅炉灰渣产生量为</w:t>
            </w:r>
            <w:r>
              <w:rPr>
                <w:rFonts w:hint="eastAsia"/>
                <w:color w:val="auto"/>
                <w:sz w:val="24"/>
                <w:lang w:val="en-US" w:eastAsia="zh-CN"/>
              </w:rPr>
              <w:t>1701.37</w:t>
            </w:r>
            <w:r>
              <w:rPr>
                <w:color w:val="auto"/>
                <w:sz w:val="24"/>
              </w:rPr>
              <w:t>t/a，集中收集暂存于</w:t>
            </w:r>
            <w:r>
              <w:rPr>
                <w:rFonts w:hint="eastAsia"/>
                <w:color w:val="auto"/>
                <w:sz w:val="24"/>
              </w:rPr>
              <w:t>固体废物存间</w:t>
            </w:r>
            <w:r>
              <w:rPr>
                <w:color w:val="auto"/>
                <w:sz w:val="24"/>
              </w:rPr>
              <w:t>内，定期外售，综合利用</w:t>
            </w:r>
            <w:r>
              <w:rPr>
                <w:bCs/>
                <w:color w:val="auto"/>
                <w:sz w:val="24"/>
              </w:rPr>
              <w:t>。</w:t>
            </w:r>
          </w:p>
          <w:p w14:paraId="1439FD09">
            <w:pPr>
              <w:spacing w:line="360" w:lineRule="auto"/>
              <w:ind w:firstLine="480" w:firstLineChars="200"/>
              <w:rPr>
                <w:color w:val="auto"/>
                <w:sz w:val="24"/>
              </w:rPr>
            </w:pPr>
            <w:r>
              <w:rPr>
                <w:rFonts w:hint="eastAsia"/>
                <w:color w:val="auto"/>
                <w:sz w:val="24"/>
              </w:rPr>
              <w:t>（3）生活垃圾</w:t>
            </w:r>
          </w:p>
          <w:p w14:paraId="52EBBD14">
            <w:pPr>
              <w:spacing w:line="360" w:lineRule="auto"/>
              <w:ind w:firstLine="480" w:firstLineChars="200"/>
              <w:rPr>
                <w:color w:val="auto"/>
                <w:sz w:val="24"/>
              </w:rPr>
            </w:pPr>
            <w:r>
              <w:rPr>
                <w:rFonts w:hint="eastAsia"/>
                <w:color w:val="auto"/>
                <w:sz w:val="24"/>
              </w:rPr>
              <w:t>本项目职工102人，工作300天，生活垃圾产生量按0.5kg/d计，则生活垃圾产生量为15.3t/a，集中收集，由市政环卫部门负责处理。</w:t>
            </w:r>
          </w:p>
          <w:p w14:paraId="5F35B05A">
            <w:pPr>
              <w:spacing w:line="360" w:lineRule="auto"/>
              <w:ind w:firstLine="480" w:firstLineChars="200"/>
              <w:rPr>
                <w:color w:val="auto"/>
                <w:sz w:val="24"/>
              </w:rPr>
            </w:pPr>
            <w:r>
              <w:rPr>
                <w:rFonts w:hint="eastAsia"/>
                <w:color w:val="auto"/>
                <w:sz w:val="24"/>
              </w:rPr>
              <w:t>（4）</w:t>
            </w:r>
            <w:r>
              <w:rPr>
                <w:rFonts w:hint="eastAsia"/>
                <w:color w:val="auto"/>
                <w:sz w:val="24"/>
                <w:lang w:eastAsia="zh-CN"/>
              </w:rPr>
              <w:t>废离子交换树脂</w:t>
            </w:r>
          </w:p>
          <w:p w14:paraId="04E4C51C">
            <w:pPr>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rPr>
              <w:t>本项目废离子交换树脂约为0.5t/a，</w:t>
            </w:r>
            <w:r>
              <w:rPr>
                <w:rFonts w:hint="eastAsia"/>
                <w:color w:val="auto"/>
                <w:sz w:val="24"/>
                <w:lang w:val="en-US" w:eastAsia="zh-CN"/>
              </w:rPr>
              <w:t>暂存在固废暂存间，由厂家回收处理</w:t>
            </w:r>
            <w:r>
              <w:rPr>
                <w:rFonts w:hint="eastAsia"/>
                <w:color w:val="auto"/>
                <w:sz w:val="24"/>
              </w:rPr>
              <w:t>。</w:t>
            </w:r>
          </w:p>
          <w:p w14:paraId="42AF734E">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（5）污水处理站污泥</w:t>
            </w:r>
          </w:p>
          <w:p w14:paraId="3DC557CC">
            <w:pPr>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rPr>
              <w:t>污水处理过程污泥产生量约为每处理</w:t>
            </w:r>
            <w:r>
              <w:rPr>
                <w:color w:val="auto"/>
                <w:sz w:val="24"/>
              </w:rPr>
              <w:t>1500m</w:t>
            </w:r>
            <w:r>
              <w:rPr>
                <w:color w:val="auto"/>
                <w:sz w:val="24"/>
                <w:vertAlign w:val="superscript"/>
              </w:rPr>
              <w:t>3</w:t>
            </w:r>
            <w:r>
              <w:rPr>
                <w:rFonts w:hint="eastAsia"/>
                <w:color w:val="auto"/>
                <w:sz w:val="24"/>
              </w:rPr>
              <w:t>污水产生</w:t>
            </w:r>
            <w:r>
              <w:rPr>
                <w:color w:val="auto"/>
                <w:sz w:val="24"/>
              </w:rPr>
              <w:t>0.6</w:t>
            </w:r>
            <w:r>
              <w:rPr>
                <w:rFonts w:hint="eastAsia"/>
                <w:color w:val="auto"/>
                <w:sz w:val="24"/>
              </w:rPr>
              <w:t>吨污泥。本项目污水处理量为</w:t>
            </w:r>
            <w:r>
              <w:rPr>
                <w:rFonts w:hint="eastAsia"/>
                <w:bCs/>
                <w:color w:val="auto"/>
                <w:sz w:val="24"/>
                <w:lang w:val="en-US" w:eastAsia="zh-CN"/>
              </w:rPr>
              <w:t>28293.71</w:t>
            </w:r>
            <w:r>
              <w:rPr>
                <w:color w:val="auto"/>
                <w:sz w:val="24"/>
              </w:rPr>
              <w:t>m</w:t>
            </w:r>
            <w:r>
              <w:rPr>
                <w:color w:val="auto"/>
                <w:sz w:val="24"/>
                <w:vertAlign w:val="superscript"/>
              </w:rPr>
              <w:t>3</w:t>
            </w:r>
            <w:r>
              <w:rPr>
                <w:bCs/>
                <w:color w:val="auto"/>
                <w:sz w:val="24"/>
              </w:rPr>
              <w:t>/a</w:t>
            </w:r>
            <w:r>
              <w:rPr>
                <w:rFonts w:hint="eastAsia"/>
                <w:bCs/>
                <w:color w:val="auto"/>
                <w:sz w:val="24"/>
              </w:rPr>
              <w:t>，污泥</w:t>
            </w:r>
            <w:r>
              <w:rPr>
                <w:rFonts w:hint="eastAsia"/>
                <w:bCs/>
                <w:color w:val="auto"/>
                <w:sz w:val="24"/>
                <w:lang w:eastAsia="zh-CN"/>
              </w:rPr>
              <w:t>（含</w:t>
            </w:r>
            <w:r>
              <w:rPr>
                <w:rFonts w:hint="eastAsia"/>
                <w:bCs/>
                <w:color w:val="auto"/>
                <w:sz w:val="24"/>
              </w:rPr>
              <w:t>栅渣</w:t>
            </w:r>
            <w:r>
              <w:rPr>
                <w:rFonts w:hint="eastAsia"/>
                <w:bCs/>
                <w:color w:val="auto"/>
                <w:sz w:val="24"/>
                <w:lang w:eastAsia="zh-CN"/>
              </w:rPr>
              <w:t>）</w:t>
            </w:r>
            <w:r>
              <w:rPr>
                <w:rFonts w:hint="eastAsia"/>
                <w:bCs/>
                <w:color w:val="auto"/>
                <w:sz w:val="24"/>
              </w:rPr>
              <w:t>产生量为</w:t>
            </w:r>
            <w:r>
              <w:rPr>
                <w:rFonts w:hint="eastAsia"/>
                <w:bCs/>
                <w:color w:val="auto"/>
                <w:sz w:val="24"/>
                <w:lang w:val="en-US" w:eastAsia="zh-CN"/>
              </w:rPr>
              <w:t>11.3</w:t>
            </w:r>
            <w:r>
              <w:rPr>
                <w:bCs/>
                <w:color w:val="auto"/>
                <w:sz w:val="24"/>
              </w:rPr>
              <w:t>t/a</w:t>
            </w:r>
            <w:r>
              <w:rPr>
                <w:rFonts w:hint="eastAsia"/>
                <w:bCs/>
                <w:color w:val="auto"/>
                <w:sz w:val="24"/>
              </w:rPr>
              <w:t>。</w:t>
            </w:r>
            <w:r>
              <w:rPr>
                <w:rFonts w:hint="default" w:ascii="Times New Roman" w:hAnsi="Times New Roman" w:eastAsia="宋体" w:cs="Times New Roman"/>
                <w:smallCaps/>
                <w:color w:val="auto"/>
                <w:sz w:val="24"/>
                <w:highlight w:val="none"/>
              </w:rPr>
              <w:t>存放在</w:t>
            </w:r>
            <w:r>
              <w:rPr>
                <w:rFonts w:hint="default" w:ascii="Times New Roman" w:hAnsi="Times New Roman" w:eastAsia="宋体" w:cs="Times New Roman"/>
                <w:smallCaps/>
                <w:color w:val="auto"/>
                <w:sz w:val="24"/>
                <w:highlight w:val="none"/>
                <w:lang w:val="en-US" w:eastAsia="zh-CN"/>
              </w:rPr>
              <w:t>固废暂存间交由有处理能力的单位处</w:t>
            </w:r>
            <w:r>
              <w:rPr>
                <w:rFonts w:hint="eastAsia" w:ascii="Times New Roman" w:hAnsi="Times New Roman" w:eastAsia="宋体" w:cs="Times New Roman"/>
                <w:smallCaps/>
                <w:color w:val="auto"/>
                <w:sz w:val="24"/>
                <w:highlight w:val="none"/>
                <w:lang w:val="en-US" w:eastAsia="zh-CN"/>
              </w:rPr>
              <w:t>置</w:t>
            </w:r>
            <w:r>
              <w:rPr>
                <w:rFonts w:hint="eastAsia" w:ascii="Times New Roman" w:hAnsi="Times New Roman" w:eastAsia="宋体" w:cs="Times New Roman"/>
                <w:color w:val="auto"/>
                <w:sz w:val="24"/>
                <w:lang w:val="en-US" w:eastAsia="zh-CN"/>
              </w:rPr>
              <w:t>。</w:t>
            </w:r>
          </w:p>
          <w:p w14:paraId="4EDD40A2">
            <w:pPr>
              <w:spacing w:line="360" w:lineRule="auto"/>
              <w:ind w:firstLine="480" w:firstLineChars="200"/>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（6）废机油</w:t>
            </w:r>
          </w:p>
          <w:p w14:paraId="08FC9F7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本项目机械设备每年委托专业单位到厂检修一次，检修时产生的废机油以及废润滑油，约为0.02t/a，暂存于</w:t>
            </w:r>
            <w:r>
              <w:rPr>
                <w:rFonts w:hint="eastAsia" w:ascii="Times New Roman" w:hAnsi="Times New Roman" w:eastAsia="宋体" w:cs="Times New Roman"/>
                <w:snapToGrid w:val="0"/>
                <w:color w:val="auto"/>
                <w:kern w:val="0"/>
                <w:sz w:val="24"/>
                <w:lang w:val="en-US" w:eastAsia="zh-CN"/>
              </w:rPr>
              <w:t>危险废物贮存点</w:t>
            </w:r>
            <w:r>
              <w:rPr>
                <w:rFonts w:hint="default" w:ascii="Times New Roman" w:hAnsi="Times New Roman" w:eastAsia="宋体" w:cs="Times New Roman"/>
                <w:snapToGrid w:val="0"/>
                <w:color w:val="auto"/>
                <w:kern w:val="0"/>
                <w:sz w:val="24"/>
                <w:lang w:val="en-US" w:eastAsia="zh-CN"/>
              </w:rPr>
              <w:t>，并定期交给有危险废物处置资质的单位进行处理。</w:t>
            </w:r>
          </w:p>
          <w:p w14:paraId="5B7B48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w:t>
            </w:r>
            <w:r>
              <w:rPr>
                <w:rFonts w:hint="eastAsia" w:ascii="Times New Roman" w:hAnsi="Times New Roman" w:cs="Times New Roman"/>
                <w:snapToGrid w:val="0"/>
                <w:color w:val="auto"/>
                <w:kern w:val="0"/>
                <w:sz w:val="24"/>
                <w:lang w:val="en-US" w:eastAsia="zh-CN"/>
              </w:rPr>
              <w:t>7</w:t>
            </w:r>
            <w:r>
              <w:rPr>
                <w:rFonts w:hint="default" w:ascii="Times New Roman" w:hAnsi="Times New Roman" w:eastAsia="宋体" w:cs="Times New Roman"/>
                <w:snapToGrid w:val="0"/>
                <w:color w:val="auto"/>
                <w:kern w:val="0"/>
                <w:sz w:val="24"/>
                <w:lang w:val="en-US" w:eastAsia="zh-CN"/>
              </w:rPr>
              <w:t>）</w:t>
            </w:r>
            <w:r>
              <w:rPr>
                <w:rFonts w:hint="eastAsia" w:ascii="Times New Roman" w:hAnsi="Times New Roman" w:eastAsia="宋体" w:cs="Times New Roman"/>
                <w:snapToGrid w:val="0"/>
                <w:color w:val="auto"/>
                <w:kern w:val="0"/>
                <w:sz w:val="24"/>
                <w:lang w:val="en-US" w:eastAsia="zh-CN"/>
              </w:rPr>
              <w:t>废布袋</w:t>
            </w:r>
          </w:p>
          <w:p w14:paraId="7BDDC61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布袋除尘器平均三年会更换一次布袋，本项目布袋除尘器每三年更换一次布袋，产生量约0.1t/3a，本项目产生的废布袋由</w:t>
            </w:r>
            <w:r>
              <w:rPr>
                <w:rFonts w:hint="eastAsia" w:ascii="Times New Roman" w:hAnsi="Times New Roman" w:eastAsia="宋体" w:cs="Times New Roman"/>
                <w:snapToGrid w:val="0"/>
                <w:color w:val="auto"/>
                <w:kern w:val="0"/>
                <w:sz w:val="24"/>
                <w:lang w:val="en-US" w:eastAsia="zh-CN"/>
              </w:rPr>
              <w:t>厂家回收处理</w:t>
            </w:r>
            <w:r>
              <w:rPr>
                <w:rFonts w:hint="default" w:ascii="Times New Roman" w:hAnsi="Times New Roman" w:eastAsia="宋体" w:cs="Times New Roman"/>
                <w:snapToGrid w:val="0"/>
                <w:color w:val="auto"/>
                <w:kern w:val="0"/>
                <w:sz w:val="24"/>
                <w:lang w:val="en-US" w:eastAsia="zh-CN"/>
              </w:rPr>
              <w:t>。</w:t>
            </w:r>
          </w:p>
          <w:p w14:paraId="31C93C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eastAsia" w:ascii="Times New Roman" w:hAnsi="Times New Roman" w:eastAsia="宋体" w:cs="Times New Roman"/>
                <w:snapToGrid w:val="0"/>
                <w:color w:val="auto"/>
                <w:kern w:val="0"/>
                <w:sz w:val="24"/>
                <w:lang w:val="en-US" w:eastAsia="zh-CN"/>
              </w:rPr>
              <w:t>（8）</w:t>
            </w:r>
            <w:r>
              <w:rPr>
                <w:rFonts w:hint="default" w:ascii="Times New Roman" w:hAnsi="Times New Roman" w:eastAsia="宋体" w:cs="Times New Roman"/>
                <w:snapToGrid w:val="0"/>
                <w:color w:val="auto"/>
                <w:kern w:val="0"/>
                <w:sz w:val="24"/>
                <w:lang w:val="en-US" w:eastAsia="zh-CN"/>
              </w:rPr>
              <w:t>废包装材料</w:t>
            </w:r>
          </w:p>
          <w:p w14:paraId="5D9E64F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本项目废包装材料主要为废</w:t>
            </w:r>
            <w:r>
              <w:rPr>
                <w:rFonts w:hint="eastAsia" w:ascii="Times New Roman" w:hAnsi="Times New Roman" w:eastAsia="宋体" w:cs="Times New Roman"/>
                <w:snapToGrid w:val="0"/>
                <w:color w:val="auto"/>
                <w:kern w:val="0"/>
                <w:sz w:val="24"/>
                <w:lang w:val="en-US" w:eastAsia="zh-CN"/>
              </w:rPr>
              <w:t>袋子</w:t>
            </w:r>
            <w:r>
              <w:rPr>
                <w:rFonts w:hint="default" w:ascii="Times New Roman" w:hAnsi="Times New Roman" w:eastAsia="宋体" w:cs="Times New Roman"/>
                <w:snapToGrid w:val="0"/>
                <w:color w:val="auto"/>
                <w:kern w:val="0"/>
                <w:sz w:val="24"/>
                <w:lang w:val="en-US" w:eastAsia="zh-CN"/>
              </w:rPr>
              <w:t>等包装材料，新增产生量为0.</w:t>
            </w:r>
            <w:r>
              <w:rPr>
                <w:rFonts w:hint="eastAsia" w:ascii="Times New Roman" w:hAnsi="Times New Roman" w:eastAsia="宋体" w:cs="Times New Roman"/>
                <w:snapToGrid w:val="0"/>
                <w:color w:val="auto"/>
                <w:kern w:val="0"/>
                <w:sz w:val="24"/>
                <w:lang w:val="en-US" w:eastAsia="zh-CN"/>
              </w:rPr>
              <w:t>2</w:t>
            </w:r>
            <w:r>
              <w:rPr>
                <w:rFonts w:hint="default" w:ascii="Times New Roman" w:hAnsi="Times New Roman" w:eastAsia="宋体" w:cs="Times New Roman"/>
                <w:snapToGrid w:val="0"/>
                <w:color w:val="auto"/>
                <w:kern w:val="0"/>
                <w:sz w:val="24"/>
                <w:lang w:val="en-US" w:eastAsia="zh-CN"/>
              </w:rPr>
              <w:t>t/a，废包装材料集中收集，由</w:t>
            </w:r>
            <w:r>
              <w:rPr>
                <w:rFonts w:hint="eastAsia" w:cs="Times New Roman"/>
                <w:snapToGrid w:val="0"/>
                <w:color w:val="auto"/>
                <w:kern w:val="0"/>
                <w:sz w:val="24"/>
                <w:lang w:val="en-US" w:eastAsia="zh-CN"/>
              </w:rPr>
              <w:t>厂家回收处理</w:t>
            </w:r>
            <w:r>
              <w:rPr>
                <w:rFonts w:hint="default" w:ascii="Times New Roman" w:hAnsi="Times New Roman" w:eastAsia="宋体" w:cs="Times New Roman"/>
                <w:snapToGrid w:val="0"/>
                <w:color w:val="auto"/>
                <w:kern w:val="0"/>
                <w:sz w:val="24"/>
                <w:lang w:val="en-US" w:eastAsia="zh-CN"/>
              </w:rPr>
              <w:t>。</w:t>
            </w:r>
          </w:p>
          <w:p w14:paraId="5B072C9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w:t>
            </w:r>
            <w:r>
              <w:rPr>
                <w:rFonts w:hint="eastAsia" w:eastAsia="宋体" w:cs="Times New Roman"/>
                <w:snapToGrid w:val="0"/>
                <w:color w:val="auto"/>
                <w:kern w:val="0"/>
                <w:sz w:val="24"/>
                <w:lang w:val="en-US" w:eastAsia="zh-CN"/>
              </w:rPr>
              <w:t>9</w:t>
            </w:r>
            <w:r>
              <w:rPr>
                <w:rFonts w:hint="default" w:ascii="Times New Roman" w:hAnsi="Times New Roman" w:eastAsia="宋体" w:cs="Times New Roman"/>
                <w:snapToGrid w:val="0"/>
                <w:color w:val="auto"/>
                <w:kern w:val="0"/>
                <w:sz w:val="24"/>
                <w:lang w:val="en-US" w:eastAsia="zh-CN"/>
              </w:rPr>
              <w:t>）废活性炭</w:t>
            </w:r>
          </w:p>
          <w:p w14:paraId="214553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lang w:val="en-US" w:eastAsia="zh-CN"/>
              </w:rPr>
            </w:pPr>
            <w:r>
              <w:rPr>
                <w:rFonts w:hint="default" w:ascii="Times New Roman" w:hAnsi="Times New Roman" w:eastAsia="宋体" w:cs="Times New Roman"/>
                <w:snapToGrid w:val="0"/>
                <w:color w:val="auto"/>
                <w:kern w:val="0"/>
                <w:sz w:val="24"/>
                <w:lang w:val="en-US" w:eastAsia="zh-CN"/>
              </w:rPr>
              <w:t>本项目在污水处理站处理废水时使用活性炭，活性炭每年更换4次，新增产生量为0.</w:t>
            </w:r>
            <w:r>
              <w:rPr>
                <w:rFonts w:hint="eastAsia" w:eastAsia="宋体" w:cs="Times New Roman"/>
                <w:snapToGrid w:val="0"/>
                <w:color w:val="auto"/>
                <w:kern w:val="0"/>
                <w:sz w:val="24"/>
                <w:lang w:val="en-US" w:eastAsia="zh-CN"/>
              </w:rPr>
              <w:t>5</w:t>
            </w:r>
            <w:r>
              <w:rPr>
                <w:rFonts w:hint="default" w:ascii="Times New Roman" w:hAnsi="Times New Roman" w:eastAsia="宋体" w:cs="Times New Roman"/>
                <w:snapToGrid w:val="0"/>
                <w:color w:val="auto"/>
                <w:kern w:val="0"/>
                <w:sz w:val="24"/>
                <w:lang w:val="en-US" w:eastAsia="zh-CN"/>
              </w:rPr>
              <w:t>t/a，暂</w:t>
            </w:r>
            <w:r>
              <w:rPr>
                <w:rFonts w:hint="default" w:ascii="Times New Roman" w:hAnsi="Times New Roman" w:eastAsia="宋体" w:cs="Times New Roman"/>
                <w:smallCaps/>
                <w:color w:val="auto"/>
                <w:sz w:val="24"/>
                <w:highlight w:val="none"/>
              </w:rPr>
              <w:t>放在</w:t>
            </w:r>
            <w:r>
              <w:rPr>
                <w:rFonts w:hint="default" w:ascii="Times New Roman" w:hAnsi="Times New Roman" w:eastAsia="宋体" w:cs="Times New Roman"/>
                <w:smallCaps/>
                <w:color w:val="auto"/>
                <w:sz w:val="24"/>
                <w:highlight w:val="none"/>
                <w:lang w:val="en-US" w:eastAsia="zh-CN"/>
              </w:rPr>
              <w:t>固废暂存间交由有处理能力的单位处</w:t>
            </w:r>
            <w:r>
              <w:rPr>
                <w:rFonts w:hint="eastAsia" w:ascii="Times New Roman" w:hAnsi="Times New Roman" w:eastAsia="宋体" w:cs="Times New Roman"/>
                <w:smallCaps/>
                <w:color w:val="auto"/>
                <w:sz w:val="24"/>
                <w:highlight w:val="none"/>
                <w:lang w:val="en-US" w:eastAsia="zh-CN"/>
              </w:rPr>
              <w:t>置</w:t>
            </w:r>
            <w:r>
              <w:rPr>
                <w:rFonts w:hint="default" w:ascii="Times New Roman" w:hAnsi="Times New Roman" w:eastAsia="宋体" w:cs="Times New Roman"/>
                <w:snapToGrid w:val="0"/>
                <w:color w:val="auto"/>
                <w:kern w:val="0"/>
                <w:sz w:val="24"/>
                <w:lang w:val="en-US" w:eastAsia="zh-CN"/>
              </w:rPr>
              <w:t>。</w:t>
            </w:r>
          </w:p>
          <w:p w14:paraId="196420F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val="en-US" w:eastAsia="zh-CN"/>
              </w:rPr>
            </w:pPr>
            <w:r>
              <w:rPr>
                <w:rFonts w:hint="eastAsia" w:ascii="Times New Roman" w:hAnsi="Times New Roman" w:cs="Times New Roman"/>
                <w:snapToGrid w:val="0"/>
                <w:color w:val="auto"/>
                <w:kern w:val="0"/>
                <w:sz w:val="24"/>
                <w:highlight w:val="none"/>
                <w:lang w:val="en-US" w:eastAsia="zh-CN"/>
              </w:rPr>
              <w:t>（10）</w:t>
            </w:r>
            <w:r>
              <w:rPr>
                <w:rFonts w:hint="eastAsia" w:ascii="Times New Roman" w:hAnsi="Times New Roman" w:eastAsia="宋体" w:cs="Times New Roman"/>
                <w:snapToGrid w:val="0"/>
                <w:color w:val="auto"/>
                <w:kern w:val="0"/>
                <w:sz w:val="24"/>
                <w:highlight w:val="none"/>
                <w:lang w:val="en-US" w:eastAsia="zh-CN"/>
              </w:rPr>
              <w:t>废油脂</w:t>
            </w:r>
          </w:p>
          <w:p w14:paraId="2C5D72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kern w:val="0"/>
                <w:sz w:val="24"/>
                <w:highlight w:val="none"/>
                <w:lang w:val="en-US" w:eastAsia="zh-CN"/>
              </w:rPr>
            </w:pPr>
            <w:r>
              <w:rPr>
                <w:rFonts w:hint="eastAsia" w:ascii="Times New Roman" w:hAnsi="Times New Roman" w:cs="Times New Roman"/>
                <w:snapToGrid w:val="0"/>
                <w:color w:val="auto"/>
                <w:kern w:val="0"/>
                <w:sz w:val="24"/>
                <w:highlight w:val="none"/>
                <w:lang w:val="en-US" w:eastAsia="zh-CN"/>
              </w:rPr>
              <w:t>本项目</w:t>
            </w:r>
            <w:r>
              <w:rPr>
                <w:rFonts w:hint="eastAsia" w:ascii="Times New Roman" w:hAnsi="Times New Roman" w:eastAsia="宋体" w:cs="Times New Roman"/>
                <w:snapToGrid w:val="0"/>
                <w:color w:val="auto"/>
                <w:kern w:val="0"/>
                <w:sz w:val="24"/>
                <w:highlight w:val="none"/>
                <w:lang w:val="en-US" w:eastAsia="zh-CN"/>
              </w:rPr>
              <w:t>隔油池废油排放量</w:t>
            </w:r>
            <w:r>
              <w:rPr>
                <w:rFonts w:hint="eastAsia" w:ascii="Times New Roman" w:hAnsi="Times New Roman" w:cs="Times New Roman"/>
                <w:snapToGrid w:val="0"/>
                <w:color w:val="auto"/>
                <w:kern w:val="0"/>
                <w:sz w:val="24"/>
                <w:highlight w:val="none"/>
                <w:lang w:val="en-US" w:eastAsia="zh-CN"/>
              </w:rPr>
              <w:t>0.11</w:t>
            </w:r>
            <w:r>
              <w:rPr>
                <w:rFonts w:hint="default" w:ascii="Times New Roman" w:hAnsi="Times New Roman" w:eastAsia="宋体" w:cs="Times New Roman"/>
                <w:snapToGrid w:val="0"/>
                <w:color w:val="auto"/>
                <w:kern w:val="0"/>
                <w:sz w:val="24"/>
                <w:highlight w:val="none"/>
                <w:lang w:val="en-US" w:eastAsia="zh-CN"/>
              </w:rPr>
              <w:t>t/a</w:t>
            </w:r>
            <w:r>
              <w:rPr>
                <w:rFonts w:hint="eastAsia" w:ascii="Times New Roman" w:hAnsi="Times New Roman" w:eastAsia="宋体" w:cs="Times New Roman"/>
                <w:snapToGrid w:val="0"/>
                <w:color w:val="auto"/>
                <w:kern w:val="0"/>
                <w:sz w:val="24"/>
                <w:highlight w:val="none"/>
                <w:lang w:val="en-US" w:eastAsia="zh-CN"/>
              </w:rPr>
              <w:t>，废油</w:t>
            </w:r>
            <w:r>
              <w:rPr>
                <w:rFonts w:hint="default" w:ascii="Times New Roman" w:hAnsi="Times New Roman" w:eastAsia="宋体" w:cs="Times New Roman"/>
                <w:snapToGrid w:val="0"/>
                <w:color w:val="auto"/>
                <w:kern w:val="0"/>
                <w:sz w:val="24"/>
                <w:highlight w:val="none"/>
                <w:lang w:val="en-US" w:eastAsia="zh-CN"/>
              </w:rPr>
              <w:t>采用密闭容器存放，由</w:t>
            </w:r>
            <w:r>
              <w:rPr>
                <w:rFonts w:hint="eastAsia" w:ascii="Times New Roman" w:hAnsi="Times New Roman" w:eastAsia="宋体" w:cs="Times New Roman"/>
                <w:snapToGrid w:val="0"/>
                <w:color w:val="auto"/>
                <w:kern w:val="0"/>
                <w:sz w:val="24"/>
                <w:highlight w:val="none"/>
                <w:lang w:val="en-US" w:eastAsia="zh-CN"/>
              </w:rPr>
              <w:t>有资质的单位处理。</w:t>
            </w:r>
          </w:p>
          <w:p w14:paraId="55B7F739">
            <w:pPr>
              <w:adjustRightInd w:val="0"/>
              <w:jc w:val="center"/>
              <w:rPr>
                <w:rFonts w:ascii="Times New Roman" w:hAnsi="Times New Roman" w:eastAsia="宋体" w:cs="Times New Roman"/>
                <w:b/>
                <w:bCs/>
                <w:color w:val="auto"/>
                <w:kern w:val="0"/>
                <w:sz w:val="24"/>
              </w:rPr>
            </w:pPr>
            <w:r>
              <w:rPr>
                <w:rFonts w:ascii="Times New Roman" w:hAnsi="Times New Roman" w:eastAsia="宋体" w:cs="Times New Roman"/>
                <w:b/>
                <w:bCs/>
                <w:color w:val="auto"/>
                <w:kern w:val="0"/>
                <w:sz w:val="24"/>
              </w:rPr>
              <w:t>表4-1</w:t>
            </w:r>
            <w:r>
              <w:rPr>
                <w:rFonts w:hint="eastAsia" w:ascii="Times New Roman" w:hAnsi="Times New Roman" w:cs="Times New Roman"/>
                <w:b/>
                <w:bCs/>
                <w:color w:val="auto"/>
                <w:kern w:val="0"/>
                <w:sz w:val="24"/>
                <w:lang w:val="en-US" w:eastAsia="zh-CN"/>
              </w:rPr>
              <w:t>6</w:t>
            </w:r>
            <w:r>
              <w:rPr>
                <w:rFonts w:ascii="Times New Roman" w:hAnsi="Times New Roman" w:eastAsia="宋体" w:cs="Times New Roman"/>
                <w:b/>
                <w:bCs/>
                <w:color w:val="auto"/>
                <w:kern w:val="0"/>
                <w:sz w:val="24"/>
              </w:rPr>
              <w:t>固体废物产污情况一览表</w:t>
            </w:r>
          </w:p>
          <w:tbl>
            <w:tblPr>
              <w:tblStyle w:val="38"/>
              <w:tblW w:w="497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666"/>
              <w:gridCol w:w="943"/>
              <w:gridCol w:w="1134"/>
              <w:gridCol w:w="1214"/>
              <w:gridCol w:w="710"/>
              <w:gridCol w:w="910"/>
              <w:gridCol w:w="800"/>
              <w:gridCol w:w="943"/>
              <w:gridCol w:w="803"/>
              <w:gridCol w:w="702"/>
            </w:tblGrid>
            <w:tr w14:paraId="69AE82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591" w:hRule="atLeast"/>
                <w:jc w:val="center"/>
              </w:trPr>
              <w:tc>
                <w:tcPr>
                  <w:tcW w:w="377" w:type="pct"/>
                  <w:tcBorders>
                    <w:tl2br w:val="nil"/>
                    <w:tr2bl w:val="nil"/>
                  </w:tcBorders>
                  <w:vAlign w:val="center"/>
                </w:tcPr>
                <w:p w14:paraId="39165C32">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序号</w:t>
                  </w:r>
                </w:p>
              </w:tc>
              <w:tc>
                <w:tcPr>
                  <w:tcW w:w="534" w:type="pct"/>
                  <w:tcBorders>
                    <w:tl2br w:val="nil"/>
                    <w:tr2bl w:val="nil"/>
                  </w:tcBorders>
                  <w:vAlign w:val="center"/>
                </w:tcPr>
                <w:p w14:paraId="267C06A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产污</w:t>
                  </w:r>
                </w:p>
                <w:p w14:paraId="2944E37A">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环节</w:t>
                  </w:r>
                </w:p>
              </w:tc>
              <w:tc>
                <w:tcPr>
                  <w:tcW w:w="642" w:type="pct"/>
                  <w:tcBorders>
                    <w:tl2br w:val="nil"/>
                    <w:tr2bl w:val="nil"/>
                  </w:tcBorders>
                  <w:vAlign w:val="center"/>
                </w:tcPr>
                <w:p w14:paraId="3A5F1356">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名称</w:t>
                  </w:r>
                </w:p>
              </w:tc>
              <w:tc>
                <w:tcPr>
                  <w:tcW w:w="687" w:type="pct"/>
                  <w:tcBorders>
                    <w:tl2br w:val="nil"/>
                    <w:tr2bl w:val="nil"/>
                  </w:tcBorders>
                  <w:vAlign w:val="center"/>
                </w:tcPr>
                <w:p w14:paraId="08384610">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代码</w:t>
                  </w:r>
                </w:p>
              </w:tc>
              <w:tc>
                <w:tcPr>
                  <w:tcW w:w="402" w:type="pct"/>
                  <w:tcBorders>
                    <w:tl2br w:val="nil"/>
                    <w:tr2bl w:val="nil"/>
                  </w:tcBorders>
                  <w:vAlign w:val="center"/>
                </w:tcPr>
                <w:p w14:paraId="613E2F6B">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是否危险废物</w:t>
                  </w:r>
                </w:p>
              </w:tc>
              <w:tc>
                <w:tcPr>
                  <w:tcW w:w="515" w:type="pct"/>
                  <w:tcBorders>
                    <w:tl2br w:val="nil"/>
                    <w:tr2bl w:val="nil"/>
                  </w:tcBorders>
                  <w:vAlign w:val="center"/>
                </w:tcPr>
                <w:p w14:paraId="49F3B109">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物理性状</w:t>
                  </w:r>
                </w:p>
              </w:tc>
              <w:tc>
                <w:tcPr>
                  <w:tcW w:w="453" w:type="pct"/>
                  <w:tcBorders>
                    <w:tl2br w:val="nil"/>
                    <w:tr2bl w:val="nil"/>
                  </w:tcBorders>
                  <w:vAlign w:val="center"/>
                </w:tcPr>
                <w:p w14:paraId="6300D75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危险特性</w:t>
                  </w:r>
                </w:p>
              </w:tc>
              <w:tc>
                <w:tcPr>
                  <w:tcW w:w="534" w:type="pct"/>
                  <w:tcBorders>
                    <w:tl2br w:val="nil"/>
                    <w:tr2bl w:val="nil"/>
                  </w:tcBorders>
                  <w:vAlign w:val="center"/>
                </w:tcPr>
                <w:p w14:paraId="550C98FF">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年产生量（t）</w:t>
                  </w:r>
                </w:p>
              </w:tc>
              <w:tc>
                <w:tcPr>
                  <w:tcW w:w="454" w:type="pct"/>
                  <w:tcBorders>
                    <w:tl2br w:val="nil"/>
                    <w:tr2bl w:val="nil"/>
                  </w:tcBorders>
                  <w:vAlign w:val="center"/>
                </w:tcPr>
                <w:p w14:paraId="22809229">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贮存</w:t>
                  </w:r>
                </w:p>
                <w:p w14:paraId="4DAF576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方式</w:t>
                  </w:r>
                </w:p>
              </w:tc>
              <w:tc>
                <w:tcPr>
                  <w:tcW w:w="397" w:type="pct"/>
                  <w:tcBorders>
                    <w:tl2br w:val="nil"/>
                    <w:tr2bl w:val="nil"/>
                  </w:tcBorders>
                  <w:vAlign w:val="center"/>
                </w:tcPr>
                <w:p w14:paraId="56E821D5">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去向</w:t>
                  </w:r>
                </w:p>
              </w:tc>
            </w:tr>
            <w:tr w14:paraId="424B57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4C7CA06E">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p>
              </w:tc>
              <w:tc>
                <w:tcPr>
                  <w:tcW w:w="534" w:type="pct"/>
                  <w:tcBorders>
                    <w:tl2br w:val="nil"/>
                    <w:tr2bl w:val="nil"/>
                  </w:tcBorders>
                  <w:vAlign w:val="center"/>
                </w:tcPr>
                <w:p w14:paraId="7AD87366">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职工生活</w:t>
                  </w:r>
                </w:p>
              </w:tc>
              <w:tc>
                <w:tcPr>
                  <w:tcW w:w="642" w:type="pct"/>
                  <w:tcBorders>
                    <w:tl2br w:val="nil"/>
                    <w:tr2bl w:val="nil"/>
                  </w:tcBorders>
                  <w:vAlign w:val="center"/>
                </w:tcPr>
                <w:p w14:paraId="5FF3B8EA">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生活垃圾</w:t>
                  </w:r>
                </w:p>
              </w:tc>
              <w:tc>
                <w:tcPr>
                  <w:tcW w:w="687" w:type="pct"/>
                  <w:tcBorders>
                    <w:tl2br w:val="nil"/>
                    <w:tr2bl w:val="nil"/>
                  </w:tcBorders>
                  <w:vAlign w:val="center"/>
                </w:tcPr>
                <w:p w14:paraId="2EB58155">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402" w:type="pct"/>
                  <w:tcBorders>
                    <w:tl2br w:val="nil"/>
                    <w:tr2bl w:val="nil"/>
                  </w:tcBorders>
                  <w:vAlign w:val="center"/>
                </w:tcPr>
                <w:p w14:paraId="7A99E8FF">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15" w:type="pct"/>
                  <w:tcBorders>
                    <w:tl2br w:val="nil"/>
                    <w:tr2bl w:val="nil"/>
                  </w:tcBorders>
                  <w:vAlign w:val="center"/>
                </w:tcPr>
                <w:p w14:paraId="34610323">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固态</w:t>
                  </w:r>
                </w:p>
              </w:tc>
              <w:tc>
                <w:tcPr>
                  <w:tcW w:w="453" w:type="pct"/>
                  <w:tcBorders>
                    <w:tl2br w:val="nil"/>
                    <w:tr2bl w:val="nil"/>
                  </w:tcBorders>
                  <w:vAlign w:val="center"/>
                </w:tcPr>
                <w:p w14:paraId="0776CD67">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34" w:type="pct"/>
                  <w:tcBorders>
                    <w:tl2br w:val="nil"/>
                    <w:tr2bl w:val="nil"/>
                  </w:tcBorders>
                  <w:vAlign w:val="center"/>
                </w:tcPr>
                <w:p w14:paraId="703EF806">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15.3</w:t>
                  </w:r>
                </w:p>
              </w:tc>
              <w:tc>
                <w:tcPr>
                  <w:tcW w:w="454" w:type="pct"/>
                  <w:tcBorders>
                    <w:tl2br w:val="nil"/>
                    <w:tr2bl w:val="nil"/>
                  </w:tcBorders>
                  <w:vAlign w:val="center"/>
                </w:tcPr>
                <w:p w14:paraId="08D0A05B">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垃圾收集箱</w:t>
                  </w:r>
                </w:p>
              </w:tc>
              <w:tc>
                <w:tcPr>
                  <w:tcW w:w="397" w:type="pct"/>
                  <w:tcBorders>
                    <w:tl2br w:val="nil"/>
                    <w:tr2bl w:val="nil"/>
                  </w:tcBorders>
                  <w:vAlign w:val="center"/>
                </w:tcPr>
                <w:p w14:paraId="5D90A515">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市政部门</w:t>
                  </w:r>
                </w:p>
              </w:tc>
            </w:tr>
            <w:tr w14:paraId="20D3BF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244AD7B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w:t>
                  </w:r>
                </w:p>
              </w:tc>
              <w:tc>
                <w:tcPr>
                  <w:tcW w:w="534" w:type="pct"/>
                  <w:tcBorders>
                    <w:tl2br w:val="nil"/>
                    <w:tr2bl w:val="nil"/>
                  </w:tcBorders>
                  <w:vAlign w:val="center"/>
                </w:tcPr>
                <w:p w14:paraId="0460D132">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软水制备</w:t>
                  </w:r>
                </w:p>
              </w:tc>
              <w:tc>
                <w:tcPr>
                  <w:tcW w:w="642" w:type="pct"/>
                  <w:tcBorders>
                    <w:tl2br w:val="nil"/>
                    <w:tr2bl w:val="nil"/>
                  </w:tcBorders>
                  <w:vAlign w:val="center"/>
                </w:tcPr>
                <w:p w14:paraId="0B406BC8">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废离子交换树脂</w:t>
                  </w:r>
                </w:p>
              </w:tc>
              <w:tc>
                <w:tcPr>
                  <w:tcW w:w="687" w:type="pct"/>
                  <w:tcBorders>
                    <w:tl2br w:val="nil"/>
                    <w:tr2bl w:val="nil"/>
                  </w:tcBorders>
                  <w:vAlign w:val="center"/>
                </w:tcPr>
                <w:p w14:paraId="29632621">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811-001-99</w:t>
                  </w:r>
                </w:p>
              </w:tc>
              <w:tc>
                <w:tcPr>
                  <w:tcW w:w="402" w:type="pct"/>
                  <w:tcBorders>
                    <w:tl2br w:val="nil"/>
                    <w:tr2bl w:val="nil"/>
                  </w:tcBorders>
                  <w:vAlign w:val="center"/>
                </w:tcPr>
                <w:p w14:paraId="25F586A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15" w:type="pct"/>
                  <w:tcBorders>
                    <w:tl2br w:val="nil"/>
                    <w:tr2bl w:val="nil"/>
                  </w:tcBorders>
                  <w:vAlign w:val="center"/>
                </w:tcPr>
                <w:p w14:paraId="052346D1">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固态</w:t>
                  </w:r>
                </w:p>
              </w:tc>
              <w:tc>
                <w:tcPr>
                  <w:tcW w:w="453" w:type="pct"/>
                  <w:tcBorders>
                    <w:tl2br w:val="nil"/>
                    <w:tr2bl w:val="nil"/>
                  </w:tcBorders>
                  <w:vAlign w:val="center"/>
                </w:tcPr>
                <w:p w14:paraId="4926BE2C">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34" w:type="pct"/>
                  <w:tcBorders>
                    <w:tl2br w:val="nil"/>
                    <w:tr2bl w:val="nil"/>
                  </w:tcBorders>
                  <w:vAlign w:val="center"/>
                </w:tcPr>
                <w:p w14:paraId="505C98A4">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0.5</w:t>
                  </w:r>
                </w:p>
              </w:tc>
              <w:tc>
                <w:tcPr>
                  <w:tcW w:w="454" w:type="pct"/>
                  <w:tcBorders>
                    <w:tl2br w:val="nil"/>
                    <w:tr2bl w:val="nil"/>
                  </w:tcBorders>
                  <w:vAlign w:val="center"/>
                </w:tcPr>
                <w:p w14:paraId="26887A7F">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软水制备装置内</w:t>
                  </w:r>
                </w:p>
              </w:tc>
              <w:tc>
                <w:tcPr>
                  <w:tcW w:w="397" w:type="pct"/>
                  <w:tcBorders>
                    <w:tl2br w:val="nil"/>
                    <w:tr2bl w:val="nil"/>
                  </w:tcBorders>
                  <w:vAlign w:val="center"/>
                </w:tcPr>
                <w:p w14:paraId="118AAF2D">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交厂家</w:t>
                  </w:r>
                </w:p>
              </w:tc>
            </w:tr>
            <w:tr w14:paraId="6EA8DC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06F91E62">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cs="Times New Roman"/>
                      <w:color w:val="auto"/>
                      <w:szCs w:val="21"/>
                      <w:lang w:val="en-US" w:eastAsia="zh-CN"/>
                    </w:rPr>
                    <w:t>3</w:t>
                  </w:r>
                </w:p>
              </w:tc>
              <w:tc>
                <w:tcPr>
                  <w:tcW w:w="534" w:type="pct"/>
                  <w:tcBorders>
                    <w:tl2br w:val="nil"/>
                    <w:tr2bl w:val="nil"/>
                  </w:tcBorders>
                  <w:vAlign w:val="center"/>
                </w:tcPr>
                <w:p w14:paraId="7A1FEE1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锅炉</w:t>
                  </w:r>
                </w:p>
              </w:tc>
              <w:tc>
                <w:tcPr>
                  <w:tcW w:w="642" w:type="pct"/>
                  <w:tcBorders>
                    <w:tl2br w:val="nil"/>
                    <w:tr2bl w:val="nil"/>
                  </w:tcBorders>
                  <w:vAlign w:val="center"/>
                </w:tcPr>
                <w:p w14:paraId="1150EADE">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灰渣</w:t>
                  </w:r>
                </w:p>
              </w:tc>
              <w:tc>
                <w:tcPr>
                  <w:tcW w:w="687" w:type="pct"/>
                  <w:tcBorders>
                    <w:tl2br w:val="nil"/>
                    <w:tr2bl w:val="nil"/>
                  </w:tcBorders>
                  <w:vAlign w:val="center"/>
                </w:tcPr>
                <w:p w14:paraId="3DB49A4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900-001-S02</w:t>
                  </w:r>
                </w:p>
              </w:tc>
              <w:tc>
                <w:tcPr>
                  <w:tcW w:w="402" w:type="pct"/>
                  <w:tcBorders>
                    <w:tl2br w:val="nil"/>
                    <w:tr2bl w:val="nil"/>
                  </w:tcBorders>
                  <w:vAlign w:val="center"/>
                </w:tcPr>
                <w:p w14:paraId="74470E5E">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15" w:type="pct"/>
                  <w:tcBorders>
                    <w:tl2br w:val="nil"/>
                    <w:tr2bl w:val="nil"/>
                  </w:tcBorders>
                  <w:vAlign w:val="center"/>
                </w:tcPr>
                <w:p w14:paraId="330BA918">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固态</w:t>
                  </w:r>
                </w:p>
              </w:tc>
              <w:tc>
                <w:tcPr>
                  <w:tcW w:w="453" w:type="pct"/>
                  <w:tcBorders>
                    <w:tl2br w:val="nil"/>
                    <w:tr2bl w:val="nil"/>
                  </w:tcBorders>
                  <w:vAlign w:val="center"/>
                </w:tcPr>
                <w:p w14:paraId="217D5334">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34" w:type="pct"/>
                  <w:tcBorders>
                    <w:tl2br w:val="nil"/>
                    <w:tr2bl w:val="nil"/>
                  </w:tcBorders>
                  <w:vAlign w:val="center"/>
                </w:tcPr>
                <w:p w14:paraId="37F76F3F">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1701.37</w:t>
                  </w:r>
                </w:p>
              </w:tc>
              <w:tc>
                <w:tcPr>
                  <w:tcW w:w="454" w:type="pct"/>
                  <w:tcBorders>
                    <w:tl2br w:val="nil"/>
                    <w:tr2bl w:val="nil"/>
                  </w:tcBorders>
                  <w:vAlign w:val="center"/>
                </w:tcPr>
                <w:p w14:paraId="4D34B192">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highlight w:val="none"/>
                      <w:lang w:eastAsia="zh-CN"/>
                    </w:rPr>
                    <w:t>灰渣</w:t>
                  </w:r>
                  <w:r>
                    <w:rPr>
                      <w:rFonts w:hint="eastAsia" w:ascii="Times New Roman" w:hAnsi="Times New Roman" w:eastAsia="宋体" w:cs="Times New Roman"/>
                      <w:color w:val="auto"/>
                      <w:highlight w:val="none"/>
                      <w:lang w:val="en-US" w:eastAsia="zh-CN"/>
                    </w:rPr>
                    <w:t>仓</w:t>
                  </w:r>
                </w:p>
              </w:tc>
              <w:tc>
                <w:tcPr>
                  <w:tcW w:w="397" w:type="pct"/>
                  <w:tcBorders>
                    <w:tl2br w:val="nil"/>
                    <w:tr2bl w:val="nil"/>
                  </w:tcBorders>
                  <w:vAlign w:val="center"/>
                </w:tcPr>
                <w:p w14:paraId="4502F709">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外售</w:t>
                  </w:r>
                </w:p>
              </w:tc>
            </w:tr>
            <w:tr w14:paraId="4BD7AA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36B33842">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4</w:t>
                  </w:r>
                </w:p>
              </w:tc>
              <w:tc>
                <w:tcPr>
                  <w:tcW w:w="534" w:type="pct"/>
                  <w:tcBorders>
                    <w:tl2br w:val="nil"/>
                    <w:tr2bl w:val="nil"/>
                  </w:tcBorders>
                  <w:vAlign w:val="center"/>
                </w:tcPr>
                <w:p w14:paraId="15347679">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布袋除尘器</w:t>
                  </w:r>
                </w:p>
              </w:tc>
              <w:tc>
                <w:tcPr>
                  <w:tcW w:w="642" w:type="pct"/>
                  <w:tcBorders>
                    <w:tl2br w:val="nil"/>
                    <w:tr2bl w:val="nil"/>
                  </w:tcBorders>
                  <w:vAlign w:val="center"/>
                </w:tcPr>
                <w:p w14:paraId="52CA63B8">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废布袋</w:t>
                  </w:r>
                </w:p>
              </w:tc>
              <w:tc>
                <w:tcPr>
                  <w:tcW w:w="687" w:type="pct"/>
                  <w:tcBorders>
                    <w:tl2br w:val="nil"/>
                    <w:tr2bl w:val="nil"/>
                  </w:tcBorders>
                  <w:vAlign w:val="center"/>
                </w:tcPr>
                <w:p w14:paraId="0DB64298">
                  <w:pPr>
                    <w:adjustRightInd w:val="0"/>
                    <w:snapToGrid w:val="0"/>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highlight w:val="none"/>
                    </w:rPr>
                    <w:t>443-001-99</w:t>
                  </w:r>
                </w:p>
              </w:tc>
              <w:tc>
                <w:tcPr>
                  <w:tcW w:w="402" w:type="pct"/>
                  <w:tcBorders>
                    <w:tl2br w:val="nil"/>
                    <w:tr2bl w:val="nil"/>
                  </w:tcBorders>
                  <w:vAlign w:val="center"/>
                </w:tcPr>
                <w:p w14:paraId="7C0096BA">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否</w:t>
                  </w:r>
                </w:p>
              </w:tc>
              <w:tc>
                <w:tcPr>
                  <w:tcW w:w="515" w:type="pct"/>
                  <w:tcBorders>
                    <w:tl2br w:val="nil"/>
                    <w:tr2bl w:val="nil"/>
                  </w:tcBorders>
                  <w:vAlign w:val="center"/>
                </w:tcPr>
                <w:p w14:paraId="478C7AF8">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固态</w:t>
                  </w:r>
                </w:p>
              </w:tc>
              <w:tc>
                <w:tcPr>
                  <w:tcW w:w="453" w:type="pct"/>
                  <w:tcBorders>
                    <w:tl2br w:val="nil"/>
                    <w:tr2bl w:val="nil"/>
                  </w:tcBorders>
                  <w:vAlign w:val="center"/>
                </w:tcPr>
                <w:p w14:paraId="099864EE">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否</w:t>
                  </w:r>
                </w:p>
              </w:tc>
              <w:tc>
                <w:tcPr>
                  <w:tcW w:w="534" w:type="pct"/>
                  <w:tcBorders>
                    <w:tl2br w:val="nil"/>
                    <w:tr2bl w:val="nil"/>
                  </w:tcBorders>
                  <w:vAlign w:val="center"/>
                </w:tcPr>
                <w:p w14:paraId="202E7487">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0.1t/3a</w:t>
                  </w:r>
                </w:p>
              </w:tc>
              <w:tc>
                <w:tcPr>
                  <w:tcW w:w="454" w:type="pct"/>
                  <w:tcBorders>
                    <w:tl2br w:val="nil"/>
                    <w:tr2bl w:val="nil"/>
                  </w:tcBorders>
                  <w:vAlign w:val="center"/>
                </w:tcPr>
                <w:p w14:paraId="351F1CCD">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不暂存</w:t>
                  </w:r>
                </w:p>
              </w:tc>
              <w:tc>
                <w:tcPr>
                  <w:tcW w:w="397" w:type="pct"/>
                  <w:tcBorders>
                    <w:tl2br w:val="nil"/>
                    <w:tr2bl w:val="nil"/>
                  </w:tcBorders>
                  <w:vAlign w:val="center"/>
                </w:tcPr>
                <w:p w14:paraId="5BFD0BA5">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回收</w:t>
                  </w:r>
                </w:p>
              </w:tc>
            </w:tr>
            <w:tr w14:paraId="64FEF1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4823358F">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w:t>
                  </w:r>
                </w:p>
              </w:tc>
              <w:tc>
                <w:tcPr>
                  <w:tcW w:w="534" w:type="pct"/>
                  <w:tcBorders>
                    <w:tl2br w:val="nil"/>
                    <w:tr2bl w:val="nil"/>
                  </w:tcBorders>
                  <w:vAlign w:val="center"/>
                </w:tcPr>
                <w:p w14:paraId="6E09EB57">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设备维修</w:t>
                  </w:r>
                </w:p>
              </w:tc>
              <w:tc>
                <w:tcPr>
                  <w:tcW w:w="642" w:type="pct"/>
                  <w:tcBorders>
                    <w:tl2br w:val="nil"/>
                    <w:tr2bl w:val="nil"/>
                  </w:tcBorders>
                  <w:vAlign w:val="center"/>
                </w:tcPr>
                <w:p w14:paraId="65922B6F">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 w:val="21"/>
                      <w:szCs w:val="21"/>
                      <w:lang w:val="en-US" w:eastAsia="zh-CN"/>
                    </w:rPr>
                    <w:t>废机油</w:t>
                  </w:r>
                </w:p>
              </w:tc>
              <w:tc>
                <w:tcPr>
                  <w:tcW w:w="687" w:type="pct"/>
                  <w:tcBorders>
                    <w:tl2br w:val="nil"/>
                    <w:tr2bl w:val="nil"/>
                  </w:tcBorders>
                  <w:vAlign w:val="center"/>
                </w:tcPr>
                <w:p w14:paraId="785C55F3">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 w:val="20"/>
                      <w:szCs w:val="20"/>
                      <w:lang w:val="en-US" w:eastAsia="zh-CN" w:bidi="ar"/>
                    </w:rPr>
                    <w:t>900-249-08</w:t>
                  </w:r>
                </w:p>
              </w:tc>
              <w:tc>
                <w:tcPr>
                  <w:tcW w:w="402" w:type="pct"/>
                  <w:tcBorders>
                    <w:tl2br w:val="nil"/>
                    <w:tr2bl w:val="nil"/>
                  </w:tcBorders>
                  <w:vAlign w:val="center"/>
                </w:tcPr>
                <w:p w14:paraId="1EDF4ABD">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是</w:t>
                  </w:r>
                </w:p>
              </w:tc>
              <w:tc>
                <w:tcPr>
                  <w:tcW w:w="515" w:type="pct"/>
                  <w:tcBorders>
                    <w:tl2br w:val="nil"/>
                    <w:tr2bl w:val="nil"/>
                  </w:tcBorders>
                  <w:vAlign w:val="center"/>
                </w:tcPr>
                <w:p w14:paraId="4E87DDB2">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液体</w:t>
                  </w:r>
                </w:p>
              </w:tc>
              <w:tc>
                <w:tcPr>
                  <w:tcW w:w="453" w:type="pct"/>
                  <w:tcBorders>
                    <w:tl2br w:val="nil"/>
                    <w:tr2bl w:val="nil"/>
                  </w:tcBorders>
                  <w:vAlign w:val="center"/>
                </w:tcPr>
                <w:p w14:paraId="1CB13E95">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kern w:val="0"/>
                      <w:szCs w:val="21"/>
                      <w:lang w:bidi="ar"/>
                    </w:rPr>
                    <w:t>T/I</w:t>
                  </w:r>
                </w:p>
              </w:tc>
              <w:tc>
                <w:tcPr>
                  <w:tcW w:w="534" w:type="pct"/>
                  <w:tcBorders>
                    <w:tl2br w:val="nil"/>
                    <w:tr2bl w:val="nil"/>
                  </w:tcBorders>
                  <w:vAlign w:val="center"/>
                </w:tcPr>
                <w:p w14:paraId="59D62032">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0.2</w:t>
                  </w:r>
                </w:p>
              </w:tc>
              <w:tc>
                <w:tcPr>
                  <w:tcW w:w="454" w:type="pct"/>
                  <w:tcBorders>
                    <w:tl2br w:val="nil"/>
                    <w:tr2bl w:val="nil"/>
                  </w:tcBorders>
                  <w:vAlign w:val="center"/>
                </w:tcPr>
                <w:p w14:paraId="719AF465">
                  <w:pPr>
                    <w:adjustRightInd w:val="0"/>
                    <w:snapToGrid w:val="0"/>
                    <w:jc w:val="center"/>
                    <w:rPr>
                      <w:rFonts w:hint="eastAsia" w:ascii="Times New Roman" w:hAnsi="Times New Roman" w:eastAsia="宋体" w:cs="Times New Roman"/>
                      <w:color w:val="auto"/>
                      <w:szCs w:val="21"/>
                      <w:lang w:val="en-US" w:eastAsia="zh-CN"/>
                    </w:rPr>
                  </w:pPr>
                  <w:r>
                    <w:rPr>
                      <w:rFonts w:hint="eastAsia" w:cs="Times New Roman"/>
                      <w:color w:val="auto"/>
                      <w:sz w:val="21"/>
                      <w:szCs w:val="21"/>
                      <w:highlight w:val="none"/>
                      <w:lang w:val="en-US" w:eastAsia="zh-CN"/>
                    </w:rPr>
                    <w:t>危险废物贮存点</w:t>
                  </w:r>
                </w:p>
              </w:tc>
              <w:tc>
                <w:tcPr>
                  <w:tcW w:w="397" w:type="pct"/>
                  <w:tcBorders>
                    <w:tl2br w:val="nil"/>
                    <w:tr2bl w:val="nil"/>
                  </w:tcBorders>
                  <w:vAlign w:val="center"/>
                </w:tcPr>
                <w:p w14:paraId="6B3BE6E8">
                  <w:pPr>
                    <w:adjustRightInd w:val="0"/>
                    <w:snapToGrid w:val="0"/>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szCs w:val="21"/>
                    </w:rPr>
                    <w:t>有资质单位处理</w:t>
                  </w:r>
                </w:p>
              </w:tc>
            </w:tr>
            <w:tr w14:paraId="0B9F89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2F3B6B84">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6</w:t>
                  </w:r>
                </w:p>
              </w:tc>
              <w:tc>
                <w:tcPr>
                  <w:tcW w:w="534" w:type="pct"/>
                  <w:tcBorders>
                    <w:tl2br w:val="nil"/>
                    <w:tr2bl w:val="nil"/>
                  </w:tcBorders>
                  <w:vAlign w:val="center"/>
                </w:tcPr>
                <w:p w14:paraId="7FA51C23">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预处理</w:t>
                  </w:r>
                </w:p>
              </w:tc>
              <w:tc>
                <w:tcPr>
                  <w:tcW w:w="642" w:type="pct"/>
                  <w:tcBorders>
                    <w:tl2br w:val="nil"/>
                    <w:tr2bl w:val="nil"/>
                  </w:tcBorders>
                  <w:vAlign w:val="center"/>
                </w:tcPr>
                <w:p w14:paraId="72849D74">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生产废料</w:t>
                  </w:r>
                </w:p>
              </w:tc>
              <w:tc>
                <w:tcPr>
                  <w:tcW w:w="687" w:type="pct"/>
                  <w:tcBorders>
                    <w:tl2br w:val="nil"/>
                    <w:tr2bl w:val="nil"/>
                  </w:tcBorders>
                  <w:vAlign w:val="center"/>
                </w:tcPr>
                <w:p w14:paraId="37491D8B">
                  <w:pPr>
                    <w:adjustRightInd w:val="0"/>
                    <w:snapToGrid w:val="0"/>
                    <w:jc w:val="center"/>
                    <w:rPr>
                      <w:rFonts w:hint="default" w:ascii="Times New Roman" w:hAnsi="Times New Roman" w:eastAsia="宋体" w:cs="Times New Roman"/>
                      <w:color w:val="auto"/>
                      <w:kern w:val="0"/>
                      <w:sz w:val="20"/>
                      <w:szCs w:val="20"/>
                      <w:lang w:val="en-US" w:eastAsia="zh-CN" w:bidi="ar"/>
                    </w:rPr>
                  </w:pPr>
                  <w:r>
                    <w:rPr>
                      <w:rFonts w:hint="default" w:ascii="Times New Roman" w:hAnsi="Times New Roman" w:eastAsia="宋体" w:cs="Times New Roman"/>
                      <w:color w:val="auto"/>
                      <w:kern w:val="0"/>
                      <w:sz w:val="20"/>
                      <w:szCs w:val="20"/>
                      <w:lang w:val="en-US" w:eastAsia="zh-CN" w:bidi="ar"/>
                    </w:rPr>
                    <w:t>00-099-S59</w:t>
                  </w:r>
                </w:p>
              </w:tc>
              <w:tc>
                <w:tcPr>
                  <w:tcW w:w="402" w:type="pct"/>
                  <w:tcBorders>
                    <w:tl2br w:val="nil"/>
                    <w:tr2bl w:val="nil"/>
                  </w:tcBorders>
                  <w:vAlign w:val="center"/>
                </w:tcPr>
                <w:p w14:paraId="241D7331">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否</w:t>
                  </w:r>
                </w:p>
              </w:tc>
              <w:tc>
                <w:tcPr>
                  <w:tcW w:w="515" w:type="pct"/>
                  <w:tcBorders>
                    <w:tl2br w:val="nil"/>
                    <w:tr2bl w:val="nil"/>
                  </w:tcBorders>
                  <w:vAlign w:val="center"/>
                </w:tcPr>
                <w:p w14:paraId="08C9CFF2">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453" w:type="pct"/>
                  <w:tcBorders>
                    <w:tl2br w:val="nil"/>
                    <w:tr2bl w:val="nil"/>
                  </w:tcBorders>
                  <w:vAlign w:val="center"/>
                </w:tcPr>
                <w:p w14:paraId="596AEACB">
                  <w:pPr>
                    <w:adjustRightInd w:val="0"/>
                    <w:snapToGrid w:val="0"/>
                    <w:jc w:val="center"/>
                    <w:rPr>
                      <w:rFonts w:hint="default" w:ascii="Times New Roman" w:hAnsi="Times New Roman" w:eastAsia="宋体" w:cs="Times New Roman"/>
                      <w:color w:val="auto"/>
                      <w:kern w:val="0"/>
                      <w:szCs w:val="21"/>
                      <w:lang w:val="en-US" w:eastAsia="zh-CN" w:bidi="ar"/>
                    </w:rPr>
                  </w:pPr>
                  <w:r>
                    <w:rPr>
                      <w:rFonts w:hint="eastAsia" w:ascii="Times New Roman" w:hAnsi="Times New Roman" w:cs="Times New Roman"/>
                      <w:color w:val="auto"/>
                      <w:kern w:val="0"/>
                      <w:szCs w:val="21"/>
                      <w:lang w:val="en-US" w:eastAsia="zh-CN" w:bidi="ar"/>
                    </w:rPr>
                    <w:t>否</w:t>
                  </w:r>
                </w:p>
              </w:tc>
              <w:tc>
                <w:tcPr>
                  <w:tcW w:w="534" w:type="pct"/>
                  <w:tcBorders>
                    <w:tl2br w:val="nil"/>
                    <w:tr2bl w:val="nil"/>
                  </w:tcBorders>
                  <w:vAlign w:val="center"/>
                </w:tcPr>
                <w:p w14:paraId="216832A8">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5155</w:t>
                  </w:r>
                </w:p>
              </w:tc>
              <w:tc>
                <w:tcPr>
                  <w:tcW w:w="454" w:type="pct"/>
                  <w:tcBorders>
                    <w:tl2br w:val="nil"/>
                    <w:tr2bl w:val="nil"/>
                  </w:tcBorders>
                  <w:vAlign w:val="center"/>
                </w:tcPr>
                <w:p w14:paraId="2778AF4D">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固废暂存间</w:t>
                  </w:r>
                </w:p>
              </w:tc>
              <w:tc>
                <w:tcPr>
                  <w:tcW w:w="397" w:type="pct"/>
                  <w:tcBorders>
                    <w:tl2br w:val="nil"/>
                    <w:tr2bl w:val="nil"/>
                  </w:tcBorders>
                  <w:vAlign w:val="center"/>
                </w:tcPr>
                <w:p w14:paraId="1890CEF9">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外售综合利用</w:t>
                  </w:r>
                </w:p>
              </w:tc>
            </w:tr>
            <w:tr w14:paraId="017783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46065721">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7</w:t>
                  </w:r>
                </w:p>
              </w:tc>
              <w:tc>
                <w:tcPr>
                  <w:tcW w:w="534" w:type="pct"/>
                  <w:tcBorders>
                    <w:tl2br w:val="nil"/>
                    <w:tr2bl w:val="nil"/>
                  </w:tcBorders>
                  <w:vAlign w:val="center"/>
                </w:tcPr>
                <w:p w14:paraId="2EDA4846">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污水处理站</w:t>
                  </w:r>
                </w:p>
              </w:tc>
              <w:tc>
                <w:tcPr>
                  <w:tcW w:w="642" w:type="pct"/>
                  <w:tcBorders>
                    <w:tl2br w:val="nil"/>
                    <w:tr2bl w:val="nil"/>
                  </w:tcBorders>
                  <w:vAlign w:val="center"/>
                </w:tcPr>
                <w:p w14:paraId="61B9E8DA">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污泥</w:t>
                  </w:r>
                </w:p>
              </w:tc>
              <w:tc>
                <w:tcPr>
                  <w:tcW w:w="687" w:type="pct"/>
                  <w:tcBorders>
                    <w:tl2br w:val="nil"/>
                    <w:tr2bl w:val="nil"/>
                  </w:tcBorders>
                  <w:vAlign w:val="center"/>
                </w:tcPr>
                <w:p w14:paraId="445A17C3">
                  <w:pPr>
                    <w:adjustRightInd w:val="0"/>
                    <w:snapToGrid w:val="0"/>
                    <w:jc w:val="center"/>
                    <w:rPr>
                      <w:rFonts w:hint="default" w:ascii="Times New Roman" w:hAnsi="Times New Roman" w:eastAsia="宋体" w:cs="Times New Roman"/>
                      <w:color w:val="auto"/>
                      <w:kern w:val="0"/>
                      <w:sz w:val="20"/>
                      <w:szCs w:val="20"/>
                      <w:lang w:val="en-US" w:eastAsia="zh-CN" w:bidi="ar"/>
                    </w:rPr>
                  </w:pPr>
                  <w:r>
                    <w:rPr>
                      <w:rFonts w:hint="default" w:ascii="Times New Roman" w:hAnsi="Times New Roman" w:eastAsia="宋体" w:cs="Times New Roman"/>
                      <w:color w:val="auto"/>
                      <w:kern w:val="0"/>
                      <w:sz w:val="20"/>
                      <w:szCs w:val="20"/>
                      <w:lang w:val="en-US" w:eastAsia="zh-CN" w:bidi="ar"/>
                    </w:rPr>
                    <w:t>900-099-S07</w:t>
                  </w:r>
                </w:p>
              </w:tc>
              <w:tc>
                <w:tcPr>
                  <w:tcW w:w="402" w:type="pct"/>
                  <w:tcBorders>
                    <w:tl2br w:val="nil"/>
                    <w:tr2bl w:val="nil"/>
                  </w:tcBorders>
                  <w:vAlign w:val="center"/>
                </w:tcPr>
                <w:p w14:paraId="033EA32F">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否</w:t>
                  </w:r>
                </w:p>
              </w:tc>
              <w:tc>
                <w:tcPr>
                  <w:tcW w:w="515" w:type="pct"/>
                  <w:tcBorders>
                    <w:tl2br w:val="nil"/>
                    <w:tr2bl w:val="nil"/>
                  </w:tcBorders>
                  <w:vAlign w:val="center"/>
                </w:tcPr>
                <w:p w14:paraId="7CF58D86">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453" w:type="pct"/>
                  <w:tcBorders>
                    <w:tl2br w:val="nil"/>
                    <w:tr2bl w:val="nil"/>
                  </w:tcBorders>
                  <w:vAlign w:val="center"/>
                </w:tcPr>
                <w:p w14:paraId="74659EE7">
                  <w:pPr>
                    <w:adjustRightInd w:val="0"/>
                    <w:snapToGrid w:val="0"/>
                    <w:jc w:val="center"/>
                    <w:rPr>
                      <w:rFonts w:hint="default" w:ascii="Times New Roman" w:hAnsi="Times New Roman" w:cs="Times New Roman"/>
                      <w:color w:val="auto"/>
                      <w:kern w:val="0"/>
                      <w:szCs w:val="21"/>
                      <w:lang w:val="en-US" w:eastAsia="zh-CN" w:bidi="ar"/>
                    </w:rPr>
                  </w:pPr>
                  <w:r>
                    <w:rPr>
                      <w:rFonts w:hint="eastAsia" w:ascii="Times New Roman" w:hAnsi="Times New Roman" w:cs="Times New Roman"/>
                      <w:color w:val="auto"/>
                      <w:kern w:val="0"/>
                      <w:szCs w:val="21"/>
                      <w:lang w:val="en-US" w:eastAsia="zh-CN" w:bidi="ar"/>
                    </w:rPr>
                    <w:t>否</w:t>
                  </w:r>
                </w:p>
              </w:tc>
              <w:tc>
                <w:tcPr>
                  <w:tcW w:w="534" w:type="pct"/>
                  <w:tcBorders>
                    <w:tl2br w:val="nil"/>
                    <w:tr2bl w:val="nil"/>
                  </w:tcBorders>
                  <w:vAlign w:val="center"/>
                </w:tcPr>
                <w:p w14:paraId="573F9DBA">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11.3</w:t>
                  </w:r>
                </w:p>
              </w:tc>
              <w:tc>
                <w:tcPr>
                  <w:tcW w:w="454" w:type="pct"/>
                  <w:tcBorders>
                    <w:tl2br w:val="nil"/>
                    <w:tr2bl w:val="nil"/>
                  </w:tcBorders>
                  <w:vAlign w:val="center"/>
                </w:tcPr>
                <w:p w14:paraId="5E0F30ED">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固废暂存间</w:t>
                  </w:r>
                </w:p>
              </w:tc>
              <w:tc>
                <w:tcPr>
                  <w:tcW w:w="397" w:type="pct"/>
                  <w:tcBorders>
                    <w:tl2br w:val="nil"/>
                    <w:tr2bl w:val="nil"/>
                  </w:tcBorders>
                  <w:vAlign w:val="center"/>
                </w:tcPr>
                <w:p w14:paraId="53AC99C0">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交由有处理能力的单位处置</w:t>
                  </w:r>
                </w:p>
              </w:tc>
            </w:tr>
            <w:tr w14:paraId="0F3839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3B1AC96F">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8</w:t>
                  </w:r>
                </w:p>
              </w:tc>
              <w:tc>
                <w:tcPr>
                  <w:tcW w:w="534" w:type="pct"/>
                  <w:tcBorders>
                    <w:tl2br w:val="nil"/>
                    <w:tr2bl w:val="nil"/>
                  </w:tcBorders>
                  <w:vAlign w:val="center"/>
                </w:tcPr>
                <w:p w14:paraId="666341ED">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包装</w:t>
                  </w:r>
                </w:p>
              </w:tc>
              <w:tc>
                <w:tcPr>
                  <w:tcW w:w="642" w:type="pct"/>
                  <w:tcBorders>
                    <w:tl2br w:val="nil"/>
                    <w:tr2bl w:val="nil"/>
                  </w:tcBorders>
                  <w:vAlign w:val="center"/>
                </w:tcPr>
                <w:p w14:paraId="56BA5F6B">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废包装材料</w:t>
                  </w:r>
                </w:p>
              </w:tc>
              <w:tc>
                <w:tcPr>
                  <w:tcW w:w="687" w:type="pct"/>
                  <w:tcBorders>
                    <w:tl2br w:val="nil"/>
                    <w:tr2bl w:val="nil"/>
                  </w:tcBorders>
                  <w:vAlign w:val="center"/>
                </w:tcPr>
                <w:p w14:paraId="1C48D1BE">
                  <w:pPr>
                    <w:adjustRightInd w:val="0"/>
                    <w:snapToGrid w:val="0"/>
                    <w:jc w:val="center"/>
                    <w:rPr>
                      <w:rFonts w:hint="default" w:ascii="Times New Roman" w:hAnsi="Times New Roman" w:eastAsia="宋体" w:cs="Times New Roman"/>
                      <w:color w:val="auto"/>
                      <w:kern w:val="0"/>
                      <w:sz w:val="20"/>
                      <w:szCs w:val="20"/>
                      <w:lang w:val="en-US" w:eastAsia="zh-CN" w:bidi="ar"/>
                    </w:rPr>
                  </w:pPr>
                  <w:r>
                    <w:rPr>
                      <w:rFonts w:hint="default" w:ascii="Times New Roman" w:hAnsi="Times New Roman" w:eastAsia="宋体" w:cs="Times New Roman"/>
                      <w:color w:val="auto"/>
                      <w:kern w:val="0"/>
                      <w:sz w:val="20"/>
                      <w:szCs w:val="20"/>
                      <w:lang w:val="en-US" w:eastAsia="zh-CN" w:bidi="ar"/>
                    </w:rPr>
                    <w:t>274-003-S17</w:t>
                  </w:r>
                </w:p>
              </w:tc>
              <w:tc>
                <w:tcPr>
                  <w:tcW w:w="402" w:type="pct"/>
                  <w:tcBorders>
                    <w:tl2br w:val="nil"/>
                    <w:tr2bl w:val="nil"/>
                  </w:tcBorders>
                  <w:vAlign w:val="center"/>
                </w:tcPr>
                <w:p w14:paraId="70144EB4">
                  <w:pPr>
                    <w:adjustRightInd w:val="0"/>
                    <w:snapToGrid w:val="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否</w:t>
                  </w:r>
                </w:p>
              </w:tc>
              <w:tc>
                <w:tcPr>
                  <w:tcW w:w="910" w:type="dxa"/>
                  <w:tcBorders>
                    <w:tl2br w:val="nil"/>
                    <w:tr2bl w:val="nil"/>
                  </w:tcBorders>
                  <w:vAlign w:val="center"/>
                </w:tcPr>
                <w:p w14:paraId="102F9BAD">
                  <w:pPr>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800" w:type="dxa"/>
                  <w:tcBorders>
                    <w:tl2br w:val="nil"/>
                    <w:tr2bl w:val="nil"/>
                  </w:tcBorders>
                  <w:vAlign w:val="center"/>
                </w:tcPr>
                <w:p w14:paraId="5F27392E">
                  <w:pPr>
                    <w:adjustRightInd w:val="0"/>
                    <w:snapToGrid w:val="0"/>
                    <w:jc w:val="center"/>
                    <w:rPr>
                      <w:rFonts w:hint="eastAsia" w:ascii="Times New Roman" w:hAnsi="Times New Roman" w:cs="Times New Roman"/>
                      <w:color w:val="auto"/>
                      <w:kern w:val="0"/>
                      <w:szCs w:val="21"/>
                      <w:lang w:val="en-US" w:eastAsia="zh-CN" w:bidi="ar"/>
                    </w:rPr>
                  </w:pPr>
                  <w:r>
                    <w:rPr>
                      <w:rFonts w:hint="eastAsia" w:ascii="Times New Roman" w:hAnsi="Times New Roman" w:cs="Times New Roman"/>
                      <w:color w:val="auto"/>
                      <w:kern w:val="0"/>
                      <w:szCs w:val="21"/>
                      <w:lang w:val="en-US" w:eastAsia="zh-CN" w:bidi="ar"/>
                    </w:rPr>
                    <w:t>否</w:t>
                  </w:r>
                </w:p>
              </w:tc>
              <w:tc>
                <w:tcPr>
                  <w:tcW w:w="534" w:type="pct"/>
                  <w:tcBorders>
                    <w:tl2br w:val="nil"/>
                    <w:tr2bl w:val="nil"/>
                  </w:tcBorders>
                  <w:vAlign w:val="center"/>
                </w:tcPr>
                <w:p w14:paraId="136EEBD7">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0.2</w:t>
                  </w:r>
                </w:p>
              </w:tc>
              <w:tc>
                <w:tcPr>
                  <w:tcW w:w="454" w:type="pct"/>
                  <w:tcBorders>
                    <w:tl2br w:val="nil"/>
                    <w:tr2bl w:val="nil"/>
                  </w:tcBorders>
                  <w:vAlign w:val="center"/>
                </w:tcPr>
                <w:p w14:paraId="1B20D553">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集中收集</w:t>
                  </w:r>
                </w:p>
              </w:tc>
              <w:tc>
                <w:tcPr>
                  <w:tcW w:w="397" w:type="pct"/>
                  <w:tcBorders>
                    <w:tl2br w:val="nil"/>
                    <w:tr2bl w:val="nil"/>
                  </w:tcBorders>
                  <w:vAlign w:val="center"/>
                </w:tcPr>
                <w:p w14:paraId="16DAACDB">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由厂家回收处理</w:t>
                  </w:r>
                </w:p>
              </w:tc>
            </w:tr>
            <w:tr w14:paraId="0BEDAA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1A02D05C">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9</w:t>
                  </w:r>
                </w:p>
              </w:tc>
              <w:tc>
                <w:tcPr>
                  <w:tcW w:w="534" w:type="pct"/>
                  <w:tcBorders>
                    <w:tl2br w:val="nil"/>
                    <w:tr2bl w:val="nil"/>
                  </w:tcBorders>
                  <w:vAlign w:val="center"/>
                </w:tcPr>
                <w:p w14:paraId="31FDEBC1">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污水处理站</w:t>
                  </w:r>
                </w:p>
              </w:tc>
              <w:tc>
                <w:tcPr>
                  <w:tcW w:w="642" w:type="pct"/>
                  <w:tcBorders>
                    <w:tl2br w:val="nil"/>
                    <w:tr2bl w:val="nil"/>
                  </w:tcBorders>
                  <w:vAlign w:val="center"/>
                </w:tcPr>
                <w:p w14:paraId="63C3E5ED">
                  <w:pPr>
                    <w:adjustRightInd w:val="0"/>
                    <w:snapToGrid w:val="0"/>
                    <w:jc w:val="center"/>
                    <w:rPr>
                      <w:rFonts w:hint="eastAsia" w:ascii="Times New Roman" w:hAnsi="Times New Roman" w:eastAsia="宋体" w:cs="Times New Roman"/>
                      <w:color w:val="auto"/>
                      <w:sz w:val="21"/>
                      <w:szCs w:val="21"/>
                      <w:lang w:val="en-US" w:eastAsia="zh-CN"/>
                    </w:rPr>
                  </w:pPr>
                  <w:r>
                    <w:rPr>
                      <w:rFonts w:hint="eastAsia" w:cs="Times New Roman"/>
                      <w:color w:val="auto"/>
                      <w:szCs w:val="21"/>
                      <w:lang w:val="en-US" w:eastAsia="zh-CN"/>
                    </w:rPr>
                    <w:t>废活性炭</w:t>
                  </w:r>
                </w:p>
              </w:tc>
              <w:tc>
                <w:tcPr>
                  <w:tcW w:w="687" w:type="pct"/>
                  <w:tcBorders>
                    <w:tl2br w:val="nil"/>
                    <w:tr2bl w:val="nil"/>
                  </w:tcBorders>
                  <w:vAlign w:val="center"/>
                </w:tcPr>
                <w:p w14:paraId="30104EDB">
                  <w:pPr>
                    <w:adjustRightInd w:val="0"/>
                    <w:snapToGrid w:val="0"/>
                    <w:jc w:val="center"/>
                    <w:rPr>
                      <w:rFonts w:hint="default" w:ascii="Times New Roman" w:hAnsi="Times New Roman" w:eastAsia="宋体" w:cs="Times New Roman"/>
                      <w:color w:val="auto"/>
                      <w:kern w:val="0"/>
                      <w:sz w:val="20"/>
                      <w:szCs w:val="20"/>
                      <w:lang w:val="en-US" w:eastAsia="zh-CN" w:bidi="ar"/>
                    </w:rPr>
                  </w:pPr>
                  <w:r>
                    <w:rPr>
                      <w:rFonts w:hint="default" w:ascii="Times New Roman" w:hAnsi="Times New Roman" w:eastAsia="宋体" w:cs="Times New Roman"/>
                      <w:color w:val="auto"/>
                      <w:kern w:val="0"/>
                      <w:sz w:val="20"/>
                      <w:szCs w:val="20"/>
                      <w:lang w:val="en-US" w:eastAsia="zh-CN" w:bidi="ar"/>
                    </w:rPr>
                    <w:t>900-0</w:t>
                  </w:r>
                  <w:r>
                    <w:rPr>
                      <w:rFonts w:hint="eastAsia" w:eastAsia="宋体" w:cs="Times New Roman"/>
                      <w:color w:val="auto"/>
                      <w:kern w:val="0"/>
                      <w:sz w:val="20"/>
                      <w:szCs w:val="20"/>
                      <w:lang w:val="en-US" w:eastAsia="zh-CN" w:bidi="ar"/>
                    </w:rPr>
                    <w:t>08</w:t>
                  </w:r>
                  <w:r>
                    <w:rPr>
                      <w:rFonts w:hint="default" w:ascii="Times New Roman" w:hAnsi="Times New Roman" w:eastAsia="宋体" w:cs="Times New Roman"/>
                      <w:color w:val="auto"/>
                      <w:kern w:val="0"/>
                      <w:sz w:val="20"/>
                      <w:szCs w:val="20"/>
                      <w:lang w:val="en-US" w:eastAsia="zh-CN" w:bidi="ar"/>
                    </w:rPr>
                    <w:t>-S</w:t>
                  </w:r>
                  <w:r>
                    <w:rPr>
                      <w:rFonts w:hint="eastAsia" w:eastAsia="宋体" w:cs="Times New Roman"/>
                      <w:color w:val="auto"/>
                      <w:kern w:val="0"/>
                      <w:sz w:val="20"/>
                      <w:szCs w:val="20"/>
                      <w:lang w:val="en-US" w:eastAsia="zh-CN" w:bidi="ar"/>
                    </w:rPr>
                    <w:t>59</w:t>
                  </w:r>
                </w:p>
              </w:tc>
              <w:tc>
                <w:tcPr>
                  <w:tcW w:w="402" w:type="pct"/>
                  <w:tcBorders>
                    <w:tl2br w:val="nil"/>
                    <w:tr2bl w:val="nil"/>
                  </w:tcBorders>
                  <w:vAlign w:val="center"/>
                </w:tcPr>
                <w:p w14:paraId="6D2474D7">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否</w:t>
                  </w:r>
                </w:p>
              </w:tc>
              <w:tc>
                <w:tcPr>
                  <w:tcW w:w="910" w:type="dxa"/>
                  <w:tcBorders>
                    <w:tl2br w:val="nil"/>
                    <w:tr2bl w:val="nil"/>
                  </w:tcBorders>
                  <w:vAlign w:val="center"/>
                </w:tcPr>
                <w:p w14:paraId="08245B2F">
                  <w:pPr>
                    <w:adjustRightInd w:val="0"/>
                    <w:snapToGrid w:val="0"/>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800" w:type="dxa"/>
                  <w:tcBorders>
                    <w:tl2br w:val="nil"/>
                    <w:tr2bl w:val="nil"/>
                  </w:tcBorders>
                  <w:vAlign w:val="center"/>
                </w:tcPr>
                <w:p w14:paraId="107BEFC0">
                  <w:pPr>
                    <w:adjustRightInd w:val="0"/>
                    <w:snapToGrid w:val="0"/>
                    <w:jc w:val="center"/>
                    <w:rPr>
                      <w:rFonts w:hint="eastAsia" w:ascii="Times New Roman" w:hAnsi="Times New Roman" w:cs="Times New Roman"/>
                      <w:color w:val="auto"/>
                      <w:kern w:val="0"/>
                      <w:szCs w:val="21"/>
                      <w:lang w:val="en-US" w:eastAsia="zh-CN" w:bidi="ar"/>
                    </w:rPr>
                  </w:pPr>
                  <w:r>
                    <w:rPr>
                      <w:rFonts w:hint="eastAsia" w:ascii="Times New Roman" w:hAnsi="Times New Roman" w:cs="Times New Roman"/>
                      <w:color w:val="auto"/>
                      <w:kern w:val="0"/>
                      <w:szCs w:val="21"/>
                      <w:lang w:val="en-US" w:eastAsia="zh-CN" w:bidi="ar"/>
                    </w:rPr>
                    <w:t>否</w:t>
                  </w:r>
                </w:p>
              </w:tc>
              <w:tc>
                <w:tcPr>
                  <w:tcW w:w="534" w:type="pct"/>
                  <w:tcBorders>
                    <w:tl2br w:val="nil"/>
                    <w:tr2bl w:val="nil"/>
                  </w:tcBorders>
                  <w:vAlign w:val="center"/>
                </w:tcPr>
                <w:p w14:paraId="19CA40AF">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0.5</w:t>
                  </w:r>
                </w:p>
              </w:tc>
              <w:tc>
                <w:tcPr>
                  <w:tcW w:w="803" w:type="dxa"/>
                  <w:tcBorders>
                    <w:tl2br w:val="nil"/>
                    <w:tr2bl w:val="nil"/>
                  </w:tcBorders>
                  <w:vAlign w:val="center"/>
                </w:tcPr>
                <w:p w14:paraId="783B9D80">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固废暂存间</w:t>
                  </w:r>
                </w:p>
              </w:tc>
              <w:tc>
                <w:tcPr>
                  <w:tcW w:w="702" w:type="dxa"/>
                  <w:tcBorders>
                    <w:tl2br w:val="nil"/>
                    <w:tr2bl w:val="nil"/>
                  </w:tcBorders>
                  <w:vAlign w:val="center"/>
                </w:tcPr>
                <w:p w14:paraId="7414B27A">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交由有处理能力的单位处置</w:t>
                  </w:r>
                </w:p>
              </w:tc>
            </w:tr>
            <w:tr w14:paraId="61CB06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17" w:hRule="atLeast"/>
                <w:jc w:val="center"/>
              </w:trPr>
              <w:tc>
                <w:tcPr>
                  <w:tcW w:w="377" w:type="pct"/>
                  <w:tcBorders>
                    <w:tl2br w:val="nil"/>
                    <w:tr2bl w:val="nil"/>
                  </w:tcBorders>
                  <w:vAlign w:val="center"/>
                </w:tcPr>
                <w:p w14:paraId="452C4856">
                  <w:pPr>
                    <w:adjustRightInd w:val="0"/>
                    <w:snapToGrid w:val="0"/>
                    <w:jc w:val="center"/>
                    <w:rPr>
                      <w:rFonts w:hint="default" w:cs="Times New Roman"/>
                      <w:color w:val="auto"/>
                      <w:szCs w:val="21"/>
                      <w:lang w:val="en-US" w:eastAsia="zh-CN"/>
                    </w:rPr>
                  </w:pPr>
                  <w:r>
                    <w:rPr>
                      <w:rFonts w:hint="eastAsia" w:cs="Times New Roman"/>
                      <w:color w:val="auto"/>
                      <w:szCs w:val="21"/>
                      <w:lang w:val="en-US" w:eastAsia="zh-CN"/>
                    </w:rPr>
                    <w:t>10</w:t>
                  </w:r>
                </w:p>
              </w:tc>
              <w:tc>
                <w:tcPr>
                  <w:tcW w:w="534" w:type="pct"/>
                  <w:tcBorders>
                    <w:tl2br w:val="nil"/>
                    <w:tr2bl w:val="nil"/>
                  </w:tcBorders>
                  <w:vAlign w:val="center"/>
                </w:tcPr>
                <w:p w14:paraId="04EC9E1C">
                  <w:pPr>
                    <w:adjustRightInd w:val="0"/>
                    <w:snapToGrid w:val="0"/>
                    <w:jc w:val="center"/>
                    <w:rPr>
                      <w:rFonts w:hint="eastAsia" w:cs="Times New Roman"/>
                      <w:color w:val="auto"/>
                      <w:szCs w:val="21"/>
                      <w:lang w:val="en-US" w:eastAsia="zh-CN"/>
                    </w:rPr>
                  </w:pPr>
                  <w:r>
                    <w:rPr>
                      <w:rFonts w:hint="eastAsia" w:cs="Times New Roman"/>
                      <w:color w:val="auto"/>
                      <w:szCs w:val="21"/>
                      <w:lang w:val="en-US" w:eastAsia="zh-CN"/>
                    </w:rPr>
                    <w:t>污水处理站</w:t>
                  </w:r>
                </w:p>
              </w:tc>
              <w:tc>
                <w:tcPr>
                  <w:tcW w:w="642" w:type="pct"/>
                  <w:tcBorders>
                    <w:tl2br w:val="nil"/>
                    <w:tr2bl w:val="nil"/>
                  </w:tcBorders>
                  <w:vAlign w:val="center"/>
                </w:tcPr>
                <w:p w14:paraId="1C0AB308">
                  <w:pPr>
                    <w:adjustRightInd w:val="0"/>
                    <w:snapToGrid w:val="0"/>
                    <w:jc w:val="center"/>
                    <w:rPr>
                      <w:rFonts w:hint="eastAsia" w:cs="Times New Roman"/>
                      <w:color w:val="auto"/>
                      <w:szCs w:val="21"/>
                      <w:lang w:val="en-US" w:eastAsia="zh-CN"/>
                    </w:rPr>
                  </w:pPr>
                  <w:r>
                    <w:rPr>
                      <w:rFonts w:hint="eastAsia" w:cs="Times New Roman"/>
                      <w:color w:val="auto"/>
                      <w:szCs w:val="21"/>
                      <w:lang w:val="en-US" w:eastAsia="zh-CN"/>
                    </w:rPr>
                    <w:t>废油脂</w:t>
                  </w:r>
                </w:p>
              </w:tc>
              <w:tc>
                <w:tcPr>
                  <w:tcW w:w="1214" w:type="dxa"/>
                  <w:tcBorders>
                    <w:tl2br w:val="nil"/>
                    <w:tr2bl w:val="nil"/>
                  </w:tcBorders>
                  <w:vAlign w:val="center"/>
                </w:tcPr>
                <w:p w14:paraId="0A3FDA28">
                  <w:pPr>
                    <w:autoSpaceDE w:val="0"/>
                    <w:autoSpaceDN w:val="0"/>
                    <w:jc w:val="center"/>
                    <w:rPr>
                      <w:rFonts w:hint="default" w:ascii="Times New Roman" w:hAnsi="Times New Roman" w:eastAsia="宋体" w:cs="Times New Roman"/>
                      <w:color w:val="auto"/>
                      <w:kern w:val="0"/>
                      <w:sz w:val="20"/>
                      <w:szCs w:val="20"/>
                      <w:lang w:val="en-US" w:eastAsia="zh-CN" w:bidi="ar"/>
                    </w:rPr>
                  </w:pPr>
                  <w:r>
                    <w:rPr>
                      <w:rFonts w:hint="eastAsia" w:ascii="Times New Roman" w:hAnsi="Times New Roman" w:eastAsia="宋体" w:cs="Times New Roman"/>
                      <w:color w:val="auto"/>
                      <w:szCs w:val="21"/>
                      <w:highlight w:val="none"/>
                    </w:rPr>
                    <w:t>900-999-66</w:t>
                  </w:r>
                </w:p>
              </w:tc>
              <w:tc>
                <w:tcPr>
                  <w:tcW w:w="710" w:type="dxa"/>
                  <w:tcBorders>
                    <w:tl2br w:val="nil"/>
                    <w:tr2bl w:val="nil"/>
                  </w:tcBorders>
                  <w:vAlign w:val="center"/>
                </w:tcPr>
                <w:p w14:paraId="74F4F21E">
                  <w:pPr>
                    <w:autoSpaceDE w:val="0"/>
                    <w:autoSpaceDN w:val="0"/>
                    <w:jc w:val="center"/>
                    <w:rPr>
                      <w:rFonts w:hint="eastAsia" w:cs="Times New Roman"/>
                      <w:color w:val="auto"/>
                      <w:szCs w:val="21"/>
                      <w:lang w:val="en-US" w:eastAsia="zh-CN"/>
                    </w:rPr>
                  </w:pPr>
                  <w:r>
                    <w:rPr>
                      <w:rFonts w:hint="eastAsia" w:ascii="Times New Roman" w:hAnsi="Times New Roman" w:eastAsia="宋体" w:cs="Times New Roman"/>
                      <w:color w:val="auto"/>
                      <w:szCs w:val="21"/>
                      <w:highlight w:val="none"/>
                    </w:rPr>
                    <w:t>否</w:t>
                  </w:r>
                </w:p>
              </w:tc>
              <w:tc>
                <w:tcPr>
                  <w:tcW w:w="910" w:type="dxa"/>
                  <w:tcBorders>
                    <w:tl2br w:val="nil"/>
                    <w:tr2bl w:val="nil"/>
                  </w:tcBorders>
                  <w:vAlign w:val="center"/>
                </w:tcPr>
                <w:p w14:paraId="2B2D3D3C">
                  <w:pPr>
                    <w:autoSpaceDE w:val="0"/>
                    <w:autoSpaceDN w:val="0"/>
                    <w:jc w:val="center"/>
                    <w:rPr>
                      <w:rFonts w:hint="eastAsia" w:ascii="Times New Roman" w:hAnsi="Times New Roman" w:cs="Times New Roman"/>
                      <w:color w:val="auto"/>
                      <w:szCs w:val="21"/>
                      <w:lang w:val="en-US" w:eastAsia="zh-CN"/>
                    </w:rPr>
                  </w:pPr>
                  <w:r>
                    <w:rPr>
                      <w:rFonts w:hint="eastAsia" w:ascii="Times New Roman" w:hAnsi="Times New Roman" w:eastAsia="宋体" w:cs="Times New Roman"/>
                      <w:color w:val="auto"/>
                      <w:szCs w:val="21"/>
                      <w:highlight w:val="none"/>
                    </w:rPr>
                    <w:t>固体</w:t>
                  </w:r>
                </w:p>
              </w:tc>
              <w:tc>
                <w:tcPr>
                  <w:tcW w:w="800" w:type="dxa"/>
                  <w:tcBorders>
                    <w:tl2br w:val="nil"/>
                    <w:tr2bl w:val="nil"/>
                  </w:tcBorders>
                  <w:vAlign w:val="center"/>
                </w:tcPr>
                <w:p w14:paraId="662E4AEE">
                  <w:pPr>
                    <w:autoSpaceDE w:val="0"/>
                    <w:autoSpaceDN w:val="0"/>
                    <w:jc w:val="center"/>
                    <w:rPr>
                      <w:rFonts w:hint="eastAsia" w:ascii="Times New Roman" w:hAnsi="Times New Roman" w:cs="Times New Roman"/>
                      <w:color w:val="auto"/>
                      <w:kern w:val="0"/>
                      <w:szCs w:val="21"/>
                      <w:lang w:val="en-US" w:eastAsia="zh-CN" w:bidi="ar"/>
                    </w:rPr>
                  </w:pPr>
                  <w:r>
                    <w:rPr>
                      <w:rFonts w:hint="eastAsia" w:ascii="Times New Roman" w:hAnsi="Times New Roman" w:eastAsia="宋体" w:cs="Times New Roman"/>
                      <w:color w:val="auto"/>
                      <w:szCs w:val="21"/>
                      <w:highlight w:val="none"/>
                    </w:rPr>
                    <w:t>否</w:t>
                  </w:r>
                </w:p>
              </w:tc>
              <w:tc>
                <w:tcPr>
                  <w:tcW w:w="534" w:type="pct"/>
                  <w:tcBorders>
                    <w:tl2br w:val="nil"/>
                    <w:tr2bl w:val="nil"/>
                  </w:tcBorders>
                  <w:vAlign w:val="center"/>
                </w:tcPr>
                <w:p w14:paraId="0EA57C84">
                  <w:pPr>
                    <w:adjustRightInd w:val="0"/>
                    <w:snapToGrid w:val="0"/>
                    <w:jc w:val="center"/>
                    <w:rPr>
                      <w:rFonts w:hint="default" w:cs="Times New Roman"/>
                      <w:color w:val="auto"/>
                      <w:szCs w:val="21"/>
                      <w:lang w:val="en-US" w:eastAsia="zh-CN"/>
                    </w:rPr>
                  </w:pPr>
                  <w:r>
                    <w:rPr>
                      <w:rFonts w:hint="eastAsia" w:cs="Times New Roman"/>
                      <w:color w:val="auto"/>
                      <w:szCs w:val="21"/>
                      <w:lang w:val="en-US" w:eastAsia="zh-CN"/>
                    </w:rPr>
                    <w:t>0.11</w:t>
                  </w:r>
                </w:p>
              </w:tc>
              <w:tc>
                <w:tcPr>
                  <w:tcW w:w="803" w:type="dxa"/>
                  <w:tcBorders>
                    <w:tl2br w:val="nil"/>
                    <w:tr2bl w:val="nil"/>
                  </w:tcBorders>
                  <w:vAlign w:val="center"/>
                </w:tcPr>
                <w:p w14:paraId="2EE2C74A">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固废暂存间</w:t>
                  </w:r>
                </w:p>
              </w:tc>
              <w:tc>
                <w:tcPr>
                  <w:tcW w:w="702" w:type="dxa"/>
                  <w:tcBorders>
                    <w:tl2br w:val="nil"/>
                    <w:tr2bl w:val="nil"/>
                  </w:tcBorders>
                  <w:vAlign w:val="center"/>
                </w:tcPr>
                <w:p w14:paraId="7AB737AE">
                  <w:pPr>
                    <w:adjustRightInd w:val="0"/>
                    <w:snapToGrid w:val="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交由有处理能力的单位处置</w:t>
                  </w:r>
                </w:p>
              </w:tc>
            </w:tr>
          </w:tbl>
          <w:p w14:paraId="7DFB2592">
            <w:pPr>
              <w:keepNext w:val="0"/>
              <w:keepLines w:val="0"/>
              <w:suppressLineNumbers w:val="0"/>
              <w:spacing w:before="0" w:beforeAutospacing="0" w:after="0" w:afterAutospacing="0" w:line="480" w:lineRule="exact"/>
              <w:ind w:left="0" w:right="0"/>
              <w:jc w:val="center"/>
              <w:rPr>
                <w:rFonts w:hint="eastAsia" w:ascii="Times New Roman" w:hAnsi="Times New Roman" w:eastAsia="宋体" w:cs="Times New Roman"/>
                <w:b/>
                <w:bCs/>
                <w:color w:val="auto"/>
                <w:sz w:val="24"/>
              </w:rPr>
            </w:pPr>
            <w:r>
              <w:rPr>
                <w:rFonts w:hint="default" w:ascii="Times New Roman" w:hAnsi="Times New Roman" w:eastAsia="宋体" w:cs="Times New Roman"/>
                <w:b/>
                <w:bCs/>
                <w:color w:val="auto"/>
                <w:sz w:val="24"/>
              </w:rPr>
              <w:t>表4-</w:t>
            </w:r>
            <w:r>
              <w:rPr>
                <w:rFonts w:hint="eastAsia" w:ascii="Times New Roman" w:hAnsi="Times New Roman" w:eastAsia="宋体" w:cs="Times New Roman"/>
                <w:b/>
                <w:bCs/>
                <w:color w:val="auto"/>
                <w:sz w:val="24"/>
                <w:lang w:val="en-US" w:eastAsia="zh-CN"/>
              </w:rPr>
              <w:t>1</w:t>
            </w:r>
            <w:r>
              <w:rPr>
                <w:rFonts w:hint="eastAsia" w:ascii="Times New Roman" w:hAnsi="Times New Roman" w:cs="Times New Roman"/>
                <w:b/>
                <w:bCs/>
                <w:color w:val="auto"/>
                <w:sz w:val="24"/>
                <w:lang w:val="en-US" w:eastAsia="zh-CN"/>
              </w:rPr>
              <w:t>7</w:t>
            </w:r>
            <w:r>
              <w:rPr>
                <w:rFonts w:hint="eastAsia" w:ascii="Times New Roman" w:hAnsi="Times New Roman" w:eastAsia="宋体" w:cs="Times New Roman"/>
                <w:b/>
                <w:bCs/>
                <w:color w:val="auto"/>
                <w:sz w:val="24"/>
              </w:rPr>
              <w:t xml:space="preserve"> </w:t>
            </w:r>
            <w:r>
              <w:rPr>
                <w:rFonts w:hint="default" w:ascii="Times New Roman" w:hAnsi="Times New Roman" w:eastAsia="宋体" w:cs="Times New Roman"/>
                <w:b/>
                <w:bCs/>
                <w:color w:val="auto"/>
                <w:sz w:val="24"/>
              </w:rPr>
              <w:t>危险废物</w:t>
            </w:r>
            <w:r>
              <w:rPr>
                <w:rFonts w:hint="eastAsia" w:ascii="Times New Roman" w:hAnsi="Times New Roman" w:eastAsia="宋体" w:cs="Times New Roman"/>
                <w:b/>
                <w:bCs/>
                <w:color w:val="auto"/>
                <w:sz w:val="24"/>
              </w:rPr>
              <w:t>产生情况一览表</w:t>
            </w:r>
          </w:p>
          <w:tbl>
            <w:tblPr>
              <w:tblStyle w:val="38"/>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9"/>
              <w:gridCol w:w="712"/>
              <w:gridCol w:w="838"/>
              <w:gridCol w:w="770"/>
              <w:gridCol w:w="786"/>
              <w:gridCol w:w="770"/>
              <w:gridCol w:w="736"/>
              <w:gridCol w:w="484"/>
              <w:gridCol w:w="754"/>
              <w:gridCol w:w="678"/>
              <w:gridCol w:w="1757"/>
            </w:tblGrid>
            <w:tr w14:paraId="7C5F8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9" w:hRule="atLeast"/>
                <w:jc w:val="center"/>
              </w:trPr>
              <w:tc>
                <w:tcPr>
                  <w:tcW w:w="326" w:type="pct"/>
                  <w:noWrap/>
                  <w:vAlign w:val="center"/>
                </w:tcPr>
                <w:p w14:paraId="27868777">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401" w:type="pct"/>
                  <w:noWrap/>
                  <w:vAlign w:val="center"/>
                </w:tcPr>
                <w:p w14:paraId="7ECB40EA">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危险废物名称</w:t>
                  </w:r>
                </w:p>
              </w:tc>
              <w:tc>
                <w:tcPr>
                  <w:tcW w:w="472" w:type="pct"/>
                  <w:noWrap/>
                  <w:vAlign w:val="center"/>
                </w:tcPr>
                <w:p w14:paraId="69C931AA">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产生量（t/a）</w:t>
                  </w:r>
                </w:p>
              </w:tc>
              <w:tc>
                <w:tcPr>
                  <w:tcW w:w="434" w:type="pct"/>
                  <w:noWrap/>
                  <w:vAlign w:val="center"/>
                </w:tcPr>
                <w:p w14:paraId="4622E109">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危险废物类别</w:t>
                  </w:r>
                </w:p>
              </w:tc>
              <w:tc>
                <w:tcPr>
                  <w:tcW w:w="443" w:type="pct"/>
                  <w:noWrap/>
                  <w:vAlign w:val="center"/>
                </w:tcPr>
                <w:p w14:paraId="248E554E">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行业来源</w:t>
                  </w:r>
                </w:p>
              </w:tc>
              <w:tc>
                <w:tcPr>
                  <w:tcW w:w="434" w:type="pct"/>
                  <w:noWrap/>
                  <w:vAlign w:val="center"/>
                </w:tcPr>
                <w:p w14:paraId="3DEA0778">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危险废物代码</w:t>
                  </w:r>
                </w:p>
              </w:tc>
              <w:tc>
                <w:tcPr>
                  <w:tcW w:w="415" w:type="pct"/>
                  <w:noWrap/>
                  <w:vAlign w:val="center"/>
                </w:tcPr>
                <w:p w14:paraId="15621635">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产生工序及装置</w:t>
                  </w:r>
                </w:p>
              </w:tc>
              <w:tc>
                <w:tcPr>
                  <w:tcW w:w="273" w:type="pct"/>
                  <w:noWrap/>
                  <w:vAlign w:val="center"/>
                </w:tcPr>
                <w:p w14:paraId="2E5323EE">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形态</w:t>
                  </w:r>
                </w:p>
              </w:tc>
              <w:tc>
                <w:tcPr>
                  <w:tcW w:w="425" w:type="pct"/>
                  <w:noWrap/>
                  <w:vAlign w:val="center"/>
                </w:tcPr>
                <w:p w14:paraId="25067530">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有害</w:t>
                  </w:r>
                  <w:r>
                    <w:rPr>
                      <w:rFonts w:hint="default" w:ascii="Times New Roman" w:hAnsi="Times New Roman" w:eastAsia="宋体" w:cs="Times New Roman"/>
                      <w:color w:val="auto"/>
                      <w:kern w:val="2"/>
                      <w:sz w:val="21"/>
                      <w:szCs w:val="21"/>
                      <w:lang w:val="en-US" w:eastAsia="zh-CN" w:bidi="ar-SA"/>
                    </w:rPr>
                    <w:t>成分</w:t>
                  </w:r>
                </w:p>
              </w:tc>
              <w:tc>
                <w:tcPr>
                  <w:tcW w:w="382" w:type="pct"/>
                  <w:noWrap/>
                  <w:vAlign w:val="center"/>
                </w:tcPr>
                <w:p w14:paraId="6E083F26">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危险特性</w:t>
                  </w:r>
                </w:p>
              </w:tc>
              <w:tc>
                <w:tcPr>
                  <w:tcW w:w="991" w:type="pct"/>
                  <w:noWrap/>
                  <w:vAlign w:val="center"/>
                </w:tcPr>
                <w:p w14:paraId="46B9E0EF">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处置方式</w:t>
                  </w:r>
                </w:p>
              </w:tc>
            </w:tr>
            <w:tr w14:paraId="377545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6" w:type="pct"/>
                  <w:noWrap/>
                  <w:vAlign w:val="center"/>
                </w:tcPr>
                <w:p w14:paraId="76A24B43">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1</w:t>
                  </w:r>
                </w:p>
              </w:tc>
              <w:tc>
                <w:tcPr>
                  <w:tcW w:w="401" w:type="pct"/>
                  <w:noWrap/>
                  <w:vAlign w:val="center"/>
                </w:tcPr>
                <w:p w14:paraId="2ACCA3DA">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废机油</w:t>
                  </w:r>
                </w:p>
              </w:tc>
              <w:tc>
                <w:tcPr>
                  <w:tcW w:w="472" w:type="pct"/>
                  <w:noWrap/>
                  <w:vAlign w:val="center"/>
                </w:tcPr>
                <w:p w14:paraId="23A2889D">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4"/>
                      <w:lang w:val="en-US" w:eastAsia="zh-CN" w:bidi="ar-SA"/>
                    </w:rPr>
                    <w:t>0.2</w:t>
                  </w:r>
                </w:p>
              </w:tc>
              <w:tc>
                <w:tcPr>
                  <w:tcW w:w="434" w:type="pct"/>
                  <w:noWrap/>
                  <w:vAlign w:val="center"/>
                </w:tcPr>
                <w:p w14:paraId="0ACD29D3">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HW08废矿物油与含矿物油废物</w:t>
                  </w:r>
                </w:p>
              </w:tc>
              <w:tc>
                <w:tcPr>
                  <w:tcW w:w="443" w:type="pct"/>
                  <w:noWrap/>
                  <w:vAlign w:val="center"/>
                </w:tcPr>
                <w:p w14:paraId="7278E942">
                  <w:pPr>
                    <w:widowControl w:val="0"/>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4"/>
                      <w:lang w:val="en-US" w:eastAsia="zh-CN" w:bidi="ar-SA"/>
                    </w:rPr>
                    <w:t>非特定行业</w:t>
                  </w:r>
                </w:p>
              </w:tc>
              <w:tc>
                <w:tcPr>
                  <w:tcW w:w="434" w:type="pct"/>
                  <w:noWrap/>
                  <w:vAlign w:val="center"/>
                </w:tcPr>
                <w:p w14:paraId="34B065C2">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0"/>
                      <w:szCs w:val="20"/>
                      <w:lang w:val="en-US" w:eastAsia="zh-CN" w:bidi="ar"/>
                    </w:rPr>
                    <w:t>900-249-08</w:t>
                  </w:r>
                </w:p>
              </w:tc>
              <w:tc>
                <w:tcPr>
                  <w:tcW w:w="415" w:type="pct"/>
                  <w:noWrap/>
                  <w:vAlign w:val="center"/>
                </w:tcPr>
                <w:p w14:paraId="5B2A8F87">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设备</w:t>
                  </w:r>
                </w:p>
                <w:p w14:paraId="113B2AF0">
                  <w:pPr>
                    <w:widowControl w:val="0"/>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维护</w:t>
                  </w:r>
                </w:p>
              </w:tc>
              <w:tc>
                <w:tcPr>
                  <w:tcW w:w="273" w:type="pct"/>
                  <w:noWrap/>
                  <w:vAlign w:val="center"/>
                </w:tcPr>
                <w:p w14:paraId="18B85472">
                  <w:pPr>
                    <w:widowControl w:val="0"/>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液态</w:t>
                  </w:r>
                </w:p>
              </w:tc>
              <w:tc>
                <w:tcPr>
                  <w:tcW w:w="425" w:type="pct"/>
                  <w:noWrap/>
                  <w:vAlign w:val="center"/>
                </w:tcPr>
                <w:p w14:paraId="7468F618">
                  <w:pPr>
                    <w:widowControl w:val="0"/>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废矿物油</w:t>
                  </w:r>
                </w:p>
              </w:tc>
              <w:tc>
                <w:tcPr>
                  <w:tcW w:w="382" w:type="pct"/>
                  <w:noWrap/>
                  <w:vAlign w:val="center"/>
                </w:tcPr>
                <w:p w14:paraId="782052C6">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T，I</w:t>
                  </w:r>
                </w:p>
              </w:tc>
              <w:tc>
                <w:tcPr>
                  <w:tcW w:w="991" w:type="pct"/>
                  <w:noWrap/>
                  <w:vAlign w:val="center"/>
                </w:tcPr>
                <w:p w14:paraId="1A621D35">
                  <w:pPr>
                    <w:widowControl w:val="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废矿物油储存在密闭的桶内，暂存于</w:t>
                  </w:r>
                  <w:r>
                    <w:rPr>
                      <w:rFonts w:hint="eastAsia" w:ascii="Times New Roman" w:hAnsi="Times New Roman" w:eastAsia="宋体" w:cs="Times New Roman"/>
                      <w:color w:val="auto"/>
                      <w:kern w:val="2"/>
                      <w:sz w:val="21"/>
                      <w:szCs w:val="21"/>
                      <w:lang w:val="en-US" w:eastAsia="zh-CN" w:bidi="ar-SA"/>
                    </w:rPr>
                    <w:t>危险废物贮存点</w:t>
                  </w:r>
                  <w:r>
                    <w:rPr>
                      <w:rFonts w:hint="default" w:ascii="Times New Roman" w:hAnsi="Times New Roman" w:eastAsia="宋体" w:cs="Times New Roman"/>
                      <w:color w:val="auto"/>
                      <w:kern w:val="2"/>
                      <w:sz w:val="21"/>
                      <w:szCs w:val="21"/>
                      <w:lang w:val="en-US" w:eastAsia="zh-CN" w:bidi="ar-SA"/>
                    </w:rPr>
                    <w:t>内专用存储区。定期交由有资质单位处置</w:t>
                  </w:r>
                </w:p>
              </w:tc>
            </w:tr>
          </w:tbl>
          <w:p w14:paraId="649D0BCB">
            <w:pPr>
              <w:adjustRightInd w:val="0"/>
              <w:jc w:val="center"/>
              <w:rPr>
                <w:rFonts w:ascii="Times New Roman" w:hAnsi="Times New Roman" w:eastAsia="宋体" w:cs="Times New Roman"/>
                <w:b/>
                <w:bCs/>
                <w:color w:val="auto"/>
                <w:kern w:val="0"/>
                <w:sz w:val="24"/>
              </w:rPr>
            </w:pPr>
            <w:r>
              <w:rPr>
                <w:rFonts w:ascii="Times New Roman" w:hAnsi="Times New Roman" w:eastAsia="宋体" w:cs="Times New Roman"/>
                <w:b/>
                <w:bCs/>
                <w:color w:val="auto"/>
                <w:kern w:val="0"/>
                <w:sz w:val="24"/>
              </w:rPr>
              <w:t>表4-1</w:t>
            </w:r>
            <w:r>
              <w:rPr>
                <w:rFonts w:hint="eastAsia" w:ascii="Times New Roman" w:hAnsi="Times New Roman" w:cs="Times New Roman"/>
                <w:b/>
                <w:bCs/>
                <w:color w:val="auto"/>
                <w:kern w:val="0"/>
                <w:sz w:val="24"/>
                <w:lang w:val="en-US" w:eastAsia="zh-CN"/>
              </w:rPr>
              <w:t>8</w:t>
            </w:r>
            <w:r>
              <w:rPr>
                <w:rFonts w:hint="default" w:eastAsia="宋体"/>
                <w:b/>
                <w:bCs/>
                <w:color w:val="auto"/>
                <w:sz w:val="24"/>
                <w:szCs w:val="32"/>
                <w:highlight w:val="none"/>
              </w:rPr>
              <w:t>本项目固体废物产生量汇总表</w:t>
            </w:r>
          </w:p>
          <w:tbl>
            <w:tblPr>
              <w:tblStyle w:val="3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85"/>
              <w:gridCol w:w="986"/>
              <w:gridCol w:w="1425"/>
              <w:gridCol w:w="1151"/>
              <w:gridCol w:w="1019"/>
              <w:gridCol w:w="923"/>
              <w:gridCol w:w="779"/>
              <w:gridCol w:w="875"/>
              <w:gridCol w:w="732"/>
            </w:tblGrid>
            <w:tr w14:paraId="055A97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5" w:type="dxa"/>
                  <w:tcBorders>
                    <w:tl2br w:val="nil"/>
                    <w:tr2bl w:val="nil"/>
                  </w:tcBorders>
                  <w:vAlign w:val="center"/>
                </w:tcPr>
                <w:p w14:paraId="55AB1D9D">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危险废物名称</w:t>
                  </w:r>
                </w:p>
              </w:tc>
              <w:tc>
                <w:tcPr>
                  <w:tcW w:w="986" w:type="dxa"/>
                  <w:tcBorders>
                    <w:tl2br w:val="nil"/>
                    <w:tr2bl w:val="nil"/>
                  </w:tcBorders>
                  <w:vAlign w:val="center"/>
                </w:tcPr>
                <w:p w14:paraId="28531213">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危险废物类别</w:t>
                  </w:r>
                </w:p>
              </w:tc>
              <w:tc>
                <w:tcPr>
                  <w:tcW w:w="1425" w:type="dxa"/>
                  <w:tcBorders>
                    <w:tl2br w:val="nil"/>
                    <w:tr2bl w:val="nil"/>
                  </w:tcBorders>
                  <w:vAlign w:val="center"/>
                </w:tcPr>
                <w:p w14:paraId="6FC2C3CB">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危险废物代码</w:t>
                  </w:r>
                </w:p>
              </w:tc>
              <w:tc>
                <w:tcPr>
                  <w:tcW w:w="1151" w:type="dxa"/>
                  <w:tcBorders>
                    <w:tl2br w:val="nil"/>
                    <w:tr2bl w:val="nil"/>
                  </w:tcBorders>
                  <w:vAlign w:val="center"/>
                </w:tcPr>
                <w:p w14:paraId="49E2091C">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危险特性</w:t>
                  </w:r>
                </w:p>
              </w:tc>
              <w:tc>
                <w:tcPr>
                  <w:tcW w:w="1019" w:type="dxa"/>
                  <w:tcBorders>
                    <w:tl2br w:val="nil"/>
                    <w:tr2bl w:val="nil"/>
                  </w:tcBorders>
                  <w:vAlign w:val="center"/>
                </w:tcPr>
                <w:p w14:paraId="4DE767C7">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位置</w:t>
                  </w:r>
                </w:p>
              </w:tc>
              <w:tc>
                <w:tcPr>
                  <w:tcW w:w="923" w:type="dxa"/>
                  <w:tcBorders>
                    <w:tl2br w:val="nil"/>
                    <w:tr2bl w:val="nil"/>
                  </w:tcBorders>
                  <w:vAlign w:val="center"/>
                </w:tcPr>
                <w:p w14:paraId="766CA4DD">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占地面积</w:t>
                  </w:r>
                </w:p>
              </w:tc>
              <w:tc>
                <w:tcPr>
                  <w:tcW w:w="779" w:type="dxa"/>
                  <w:tcBorders>
                    <w:tl2br w:val="nil"/>
                    <w:tr2bl w:val="nil"/>
                  </w:tcBorders>
                  <w:vAlign w:val="center"/>
                </w:tcPr>
                <w:p w14:paraId="695CED8D">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储存方式</w:t>
                  </w:r>
                </w:p>
              </w:tc>
              <w:tc>
                <w:tcPr>
                  <w:tcW w:w="875" w:type="dxa"/>
                  <w:tcBorders>
                    <w:tl2br w:val="nil"/>
                    <w:tr2bl w:val="nil"/>
                  </w:tcBorders>
                  <w:vAlign w:val="center"/>
                </w:tcPr>
                <w:p w14:paraId="7C364172">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储存能力</w:t>
                  </w:r>
                </w:p>
              </w:tc>
              <w:tc>
                <w:tcPr>
                  <w:tcW w:w="732" w:type="dxa"/>
                  <w:tcBorders>
                    <w:tl2br w:val="nil"/>
                    <w:tr2bl w:val="nil"/>
                  </w:tcBorders>
                  <w:vAlign w:val="center"/>
                </w:tcPr>
                <w:p w14:paraId="7A63AA90">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储存周期</w:t>
                  </w:r>
                </w:p>
              </w:tc>
            </w:tr>
            <w:tr w14:paraId="77285B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85" w:type="dxa"/>
                  <w:tcBorders>
                    <w:tl2br w:val="nil"/>
                    <w:tr2bl w:val="nil"/>
                  </w:tcBorders>
                  <w:vAlign w:val="center"/>
                </w:tcPr>
                <w:p w14:paraId="72B2C432">
                  <w:pPr>
                    <w:pStyle w:val="177"/>
                    <w:jc w:val="center"/>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val="en-US" w:eastAsia="zh-CN"/>
                    </w:rPr>
                    <w:t>废机油</w:t>
                  </w:r>
                </w:p>
              </w:tc>
              <w:tc>
                <w:tcPr>
                  <w:tcW w:w="986" w:type="dxa"/>
                  <w:tcBorders>
                    <w:tl2br w:val="nil"/>
                    <w:tr2bl w:val="nil"/>
                  </w:tcBorders>
                  <w:vAlign w:val="center"/>
                </w:tcPr>
                <w:p w14:paraId="640F7807">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HW</w:t>
                  </w:r>
                  <w:r>
                    <w:rPr>
                      <w:rFonts w:hint="eastAsia" w:ascii="Times New Roman" w:hAnsi="Times New Roman" w:cs="Times New Roman"/>
                      <w:color w:val="auto"/>
                      <w:sz w:val="21"/>
                      <w:szCs w:val="21"/>
                      <w:lang w:eastAsia="zh-CN"/>
                    </w:rPr>
                    <w:t>08</w:t>
                  </w:r>
                </w:p>
              </w:tc>
              <w:tc>
                <w:tcPr>
                  <w:tcW w:w="1425" w:type="dxa"/>
                  <w:tcBorders>
                    <w:tl2br w:val="nil"/>
                    <w:tr2bl w:val="nil"/>
                  </w:tcBorders>
                  <w:vAlign w:val="center"/>
                </w:tcPr>
                <w:p w14:paraId="64420916">
                  <w:pPr>
                    <w:pStyle w:val="177"/>
                    <w:jc w:val="center"/>
                    <w:rPr>
                      <w:rFonts w:ascii="Times New Roman" w:hAnsi="Times New Roman" w:cs="Times New Roman"/>
                      <w:color w:val="auto"/>
                      <w:kern w:val="0"/>
                      <w:sz w:val="21"/>
                      <w:szCs w:val="21"/>
                      <w:lang w:eastAsia="zh-CN" w:bidi="ar"/>
                    </w:rPr>
                  </w:pPr>
                  <w:r>
                    <w:rPr>
                      <w:rFonts w:hint="default" w:ascii="Times New Roman" w:hAnsi="Times New Roman" w:eastAsia="宋体" w:cs="Times New Roman"/>
                      <w:color w:val="auto"/>
                      <w:kern w:val="0"/>
                      <w:sz w:val="20"/>
                      <w:szCs w:val="20"/>
                      <w:lang w:val="en-US" w:eastAsia="zh-CN" w:bidi="ar"/>
                    </w:rPr>
                    <w:t>900-249-08</w:t>
                  </w:r>
                </w:p>
              </w:tc>
              <w:tc>
                <w:tcPr>
                  <w:tcW w:w="1151" w:type="dxa"/>
                  <w:tcBorders>
                    <w:tl2br w:val="nil"/>
                    <w:tr2bl w:val="nil"/>
                  </w:tcBorders>
                  <w:vAlign w:val="center"/>
                </w:tcPr>
                <w:p w14:paraId="5062CD75">
                  <w:pPr>
                    <w:widowControl/>
                    <w:jc w:val="center"/>
                    <w:rPr>
                      <w:rFonts w:ascii="Times New Roman" w:hAnsi="Times New Roman" w:eastAsia="宋体" w:cs="Times New Roman"/>
                      <w:color w:val="auto"/>
                      <w:kern w:val="0"/>
                      <w:szCs w:val="21"/>
                      <w:lang w:bidi="ar"/>
                    </w:rPr>
                  </w:pPr>
                  <w:r>
                    <w:rPr>
                      <w:rFonts w:ascii="Times New Roman" w:hAnsi="Times New Roman" w:eastAsia="宋体" w:cs="Times New Roman"/>
                      <w:color w:val="auto"/>
                      <w:kern w:val="0"/>
                      <w:szCs w:val="21"/>
                      <w:lang w:bidi="ar"/>
                    </w:rPr>
                    <w:t>T/I</w:t>
                  </w:r>
                </w:p>
              </w:tc>
              <w:tc>
                <w:tcPr>
                  <w:tcW w:w="1019" w:type="dxa"/>
                  <w:tcBorders>
                    <w:tl2br w:val="nil"/>
                    <w:tr2bl w:val="nil"/>
                  </w:tcBorders>
                  <w:vAlign w:val="center"/>
                </w:tcPr>
                <w:p w14:paraId="285C27C2">
                  <w:pPr>
                    <w:pStyle w:val="177"/>
                    <w:jc w:val="center"/>
                    <w:rPr>
                      <w:rFonts w:hint="eastAsia" w:ascii="Times New Roman" w:hAnsi="Times New Roman" w:cs="Times New Roman"/>
                      <w:color w:val="auto"/>
                      <w:sz w:val="21"/>
                      <w:szCs w:val="21"/>
                      <w:lang w:eastAsia="zh-CN"/>
                    </w:rPr>
                  </w:pPr>
                  <w:r>
                    <w:rPr>
                      <w:rFonts w:hint="eastAsia" w:cs="Times New Roman"/>
                      <w:color w:val="auto"/>
                      <w:sz w:val="21"/>
                      <w:szCs w:val="21"/>
                      <w:highlight w:val="none"/>
                      <w:lang w:val="en-US" w:eastAsia="zh-CN"/>
                    </w:rPr>
                    <w:t>危险废物贮存点</w:t>
                  </w:r>
                </w:p>
              </w:tc>
              <w:tc>
                <w:tcPr>
                  <w:tcW w:w="923" w:type="dxa"/>
                  <w:tcBorders>
                    <w:tl2br w:val="nil"/>
                    <w:tr2bl w:val="nil"/>
                  </w:tcBorders>
                  <w:vAlign w:val="center"/>
                </w:tcPr>
                <w:p w14:paraId="18AE40EA">
                  <w:pPr>
                    <w:pStyle w:val="177"/>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2</w:t>
                  </w:r>
                  <w:r>
                    <w:rPr>
                      <w:rFonts w:ascii="Times New Roman" w:hAnsi="Times New Roman" w:cs="Times New Roman"/>
                      <w:color w:val="auto"/>
                      <w:sz w:val="21"/>
                      <w:szCs w:val="21"/>
                      <w:lang w:eastAsia="zh-CN"/>
                    </w:rPr>
                    <w:t>m</w:t>
                  </w:r>
                  <w:r>
                    <w:rPr>
                      <w:rFonts w:ascii="Times New Roman" w:hAnsi="Times New Roman" w:cs="Times New Roman"/>
                      <w:color w:val="auto"/>
                      <w:sz w:val="21"/>
                      <w:szCs w:val="21"/>
                      <w:vertAlign w:val="superscript"/>
                      <w:lang w:eastAsia="zh-CN"/>
                    </w:rPr>
                    <w:t>2</w:t>
                  </w:r>
                </w:p>
              </w:tc>
              <w:tc>
                <w:tcPr>
                  <w:tcW w:w="779" w:type="dxa"/>
                  <w:tcBorders>
                    <w:tl2br w:val="nil"/>
                    <w:tr2bl w:val="nil"/>
                  </w:tcBorders>
                  <w:vAlign w:val="center"/>
                </w:tcPr>
                <w:p w14:paraId="64C0D7DB">
                  <w:pPr>
                    <w:pStyle w:val="17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密封储存</w:t>
                  </w:r>
                </w:p>
              </w:tc>
              <w:tc>
                <w:tcPr>
                  <w:tcW w:w="875" w:type="dxa"/>
                  <w:tcBorders>
                    <w:tl2br w:val="nil"/>
                    <w:tr2bl w:val="nil"/>
                  </w:tcBorders>
                  <w:vAlign w:val="center"/>
                </w:tcPr>
                <w:p w14:paraId="1C100AEC">
                  <w:pPr>
                    <w:pStyle w:val="177"/>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732" w:type="dxa"/>
                  <w:tcBorders>
                    <w:tl2br w:val="nil"/>
                    <w:tr2bl w:val="nil"/>
                  </w:tcBorders>
                  <w:vAlign w:val="center"/>
                </w:tcPr>
                <w:p w14:paraId="79F4BDF2">
                  <w:pPr>
                    <w:pStyle w:val="177"/>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一个月</w:t>
                  </w:r>
                </w:p>
              </w:tc>
            </w:tr>
          </w:tbl>
          <w:p w14:paraId="4568B061">
            <w:pPr>
              <w:spacing w:line="360" w:lineRule="auto"/>
              <w:ind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4.2运营期固体废物保护措施</w:t>
            </w:r>
          </w:p>
          <w:p w14:paraId="62B95D85">
            <w:pPr>
              <w:pStyle w:val="8"/>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（1）一般固废</w:t>
            </w:r>
          </w:p>
          <w:p w14:paraId="7B224DAC">
            <w:p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生活垃圾、废包装物统一收集后，由市政环卫部门统一处理；</w:t>
            </w:r>
            <w:r>
              <w:rPr>
                <w:rFonts w:hint="eastAsia" w:ascii="Times New Roman" w:hAnsi="Times New Roman" w:eastAsia="宋体" w:cs="Times New Roman"/>
                <w:color w:val="auto"/>
                <w:kern w:val="2"/>
                <w:sz w:val="24"/>
                <w:szCs w:val="24"/>
                <w:highlight w:val="none"/>
                <w:lang w:val="en-US" w:eastAsia="zh-CN" w:bidi="ar-SA"/>
              </w:rPr>
              <w:t>废布袋、</w:t>
            </w:r>
            <w:r>
              <w:rPr>
                <w:rFonts w:hint="default" w:ascii="Times New Roman" w:hAnsi="Times New Roman" w:eastAsia="宋体" w:cs="Times New Roman"/>
                <w:color w:val="auto"/>
                <w:kern w:val="2"/>
                <w:sz w:val="24"/>
                <w:szCs w:val="24"/>
                <w:highlight w:val="none"/>
                <w:lang w:val="en-US" w:eastAsia="zh-CN" w:bidi="ar-SA"/>
              </w:rPr>
              <w:t>废离子交换树脂由</w:t>
            </w:r>
            <w:r>
              <w:rPr>
                <w:rFonts w:hint="eastAsia" w:ascii="Times New Roman" w:hAnsi="Times New Roman" w:eastAsia="宋体" w:cs="Times New Roman"/>
                <w:color w:val="auto"/>
                <w:kern w:val="2"/>
                <w:sz w:val="24"/>
                <w:szCs w:val="24"/>
                <w:highlight w:val="none"/>
                <w:lang w:val="en-US" w:eastAsia="zh-CN" w:bidi="ar-SA"/>
              </w:rPr>
              <w:t>厂家回收</w:t>
            </w:r>
            <w:r>
              <w:rPr>
                <w:rFonts w:hint="default" w:ascii="Times New Roman" w:hAnsi="Times New Roman" w:eastAsia="宋体" w:cs="Times New Roman"/>
                <w:color w:val="auto"/>
                <w:kern w:val="2"/>
                <w:sz w:val="24"/>
                <w:szCs w:val="24"/>
                <w:highlight w:val="none"/>
                <w:lang w:val="en-US" w:eastAsia="zh-CN" w:bidi="ar-SA"/>
              </w:rPr>
              <w:t>处理</w:t>
            </w:r>
            <w:r>
              <w:rPr>
                <w:rFonts w:hint="eastAsia" w:ascii="Times New Roman" w:hAnsi="Times New Roman" w:eastAsia="宋体" w:cs="Times New Roman"/>
                <w:color w:val="auto"/>
                <w:kern w:val="2"/>
                <w:sz w:val="24"/>
                <w:szCs w:val="24"/>
                <w:highlight w:val="none"/>
                <w:lang w:val="en-US" w:eastAsia="zh-CN" w:bidi="ar-SA"/>
              </w:rPr>
              <w:t>；</w:t>
            </w:r>
            <w:r>
              <w:rPr>
                <w:color w:val="auto"/>
                <w:sz w:val="24"/>
              </w:rPr>
              <w:t>生产废料</w:t>
            </w:r>
            <w:r>
              <w:rPr>
                <w:rFonts w:hint="eastAsia"/>
                <w:color w:val="auto"/>
                <w:sz w:val="24"/>
                <w:lang w:eastAsia="zh-CN"/>
              </w:rPr>
              <w:t>、</w:t>
            </w:r>
            <w:r>
              <w:rPr>
                <w:color w:val="auto"/>
                <w:sz w:val="24"/>
              </w:rPr>
              <w:t>生物质蒸汽锅炉灰渣</w:t>
            </w:r>
            <w:r>
              <w:rPr>
                <w:rFonts w:hint="eastAsia"/>
                <w:color w:val="auto"/>
                <w:sz w:val="24"/>
                <w:lang w:val="en-US" w:eastAsia="zh-CN"/>
              </w:rPr>
              <w:t>外售综合利用；</w:t>
            </w:r>
            <w:r>
              <w:rPr>
                <w:rFonts w:hint="eastAsia" w:ascii="Times New Roman" w:hAnsi="Times New Roman" w:eastAsia="宋体" w:cs="Times New Roman"/>
                <w:color w:val="auto"/>
                <w:sz w:val="24"/>
                <w:lang w:val="en-US" w:eastAsia="zh-CN"/>
              </w:rPr>
              <w:t>污水处理站污泥</w:t>
            </w:r>
            <w:r>
              <w:rPr>
                <w:rFonts w:hint="default" w:ascii="Times New Roman" w:hAnsi="Times New Roman" w:eastAsia="宋体" w:cs="Times New Roman"/>
                <w:smallCaps/>
                <w:color w:val="auto"/>
                <w:sz w:val="24"/>
                <w:highlight w:val="none"/>
              </w:rPr>
              <w:t>存放在</w:t>
            </w:r>
            <w:r>
              <w:rPr>
                <w:rFonts w:hint="default" w:ascii="Times New Roman" w:hAnsi="Times New Roman" w:eastAsia="宋体" w:cs="Times New Roman"/>
                <w:smallCaps/>
                <w:color w:val="auto"/>
                <w:sz w:val="24"/>
                <w:highlight w:val="none"/>
                <w:lang w:val="en-US" w:eastAsia="zh-CN"/>
              </w:rPr>
              <w:t>固废暂存间交由有处理能力的单位处</w:t>
            </w:r>
            <w:r>
              <w:rPr>
                <w:rFonts w:hint="eastAsia" w:ascii="Times New Roman" w:hAnsi="Times New Roman" w:eastAsia="宋体" w:cs="Times New Roman"/>
                <w:smallCaps/>
                <w:color w:val="auto"/>
                <w:sz w:val="24"/>
                <w:highlight w:val="none"/>
                <w:lang w:val="en-US" w:eastAsia="zh-CN"/>
              </w:rPr>
              <w:t>置</w:t>
            </w:r>
            <w:r>
              <w:rPr>
                <w:rFonts w:hint="eastAsia" w:cs="Times New Roman"/>
                <w:smallCaps/>
                <w:color w:val="auto"/>
                <w:sz w:val="24"/>
                <w:highlight w:val="none"/>
                <w:lang w:val="en-US" w:eastAsia="zh-CN"/>
              </w:rPr>
              <w:t>；废活性炭</w:t>
            </w:r>
            <w:r>
              <w:rPr>
                <w:rFonts w:hint="default" w:ascii="Times New Roman" w:hAnsi="Times New Roman" w:eastAsia="宋体" w:cs="Times New Roman"/>
                <w:snapToGrid w:val="0"/>
                <w:color w:val="auto"/>
                <w:kern w:val="0"/>
                <w:sz w:val="24"/>
                <w:lang w:val="en-US" w:eastAsia="zh-CN"/>
              </w:rPr>
              <w:t>暂</w:t>
            </w:r>
            <w:r>
              <w:rPr>
                <w:rFonts w:hint="default" w:ascii="Times New Roman" w:hAnsi="Times New Roman" w:eastAsia="宋体" w:cs="Times New Roman"/>
                <w:smallCaps/>
                <w:color w:val="auto"/>
                <w:sz w:val="24"/>
                <w:highlight w:val="none"/>
              </w:rPr>
              <w:t>放在</w:t>
            </w:r>
            <w:r>
              <w:rPr>
                <w:rFonts w:hint="default" w:ascii="Times New Roman" w:hAnsi="Times New Roman" w:eastAsia="宋体" w:cs="Times New Roman"/>
                <w:smallCaps/>
                <w:color w:val="auto"/>
                <w:sz w:val="24"/>
                <w:highlight w:val="none"/>
                <w:lang w:val="en-US" w:eastAsia="zh-CN"/>
              </w:rPr>
              <w:t>固废暂存间交由有处理能力的单位处</w:t>
            </w:r>
            <w:r>
              <w:rPr>
                <w:rFonts w:hint="eastAsia" w:ascii="Times New Roman" w:hAnsi="Times New Roman" w:eastAsia="宋体" w:cs="Times New Roman"/>
                <w:smallCaps/>
                <w:color w:val="auto"/>
                <w:sz w:val="24"/>
                <w:highlight w:val="none"/>
                <w:lang w:val="en-US" w:eastAsia="zh-CN"/>
              </w:rPr>
              <w:t>置</w:t>
            </w:r>
            <w:r>
              <w:rPr>
                <w:rFonts w:hint="eastAsia" w:cs="Times New Roman"/>
                <w:smallCaps/>
                <w:color w:val="auto"/>
                <w:sz w:val="24"/>
                <w:highlight w:val="none"/>
                <w:lang w:val="en-US" w:eastAsia="zh-CN"/>
              </w:rPr>
              <w:t>，</w:t>
            </w:r>
            <w:r>
              <w:rPr>
                <w:rFonts w:hint="eastAsia" w:ascii="Times New Roman" w:hAnsi="Times New Roman" w:eastAsia="宋体" w:cs="Times New Roman"/>
                <w:snapToGrid w:val="0"/>
                <w:color w:val="auto"/>
                <w:kern w:val="0"/>
                <w:sz w:val="24"/>
                <w:highlight w:val="none"/>
                <w:lang w:val="en-US" w:eastAsia="zh-CN"/>
              </w:rPr>
              <w:t>废油</w:t>
            </w:r>
            <w:r>
              <w:rPr>
                <w:rFonts w:hint="eastAsia" w:ascii="Times New Roman" w:hAnsi="Times New Roman" w:cs="Times New Roman"/>
                <w:snapToGrid w:val="0"/>
                <w:color w:val="auto"/>
                <w:kern w:val="0"/>
                <w:sz w:val="24"/>
                <w:highlight w:val="none"/>
                <w:lang w:val="en-US" w:eastAsia="zh-CN"/>
              </w:rPr>
              <w:t>脂</w:t>
            </w:r>
            <w:r>
              <w:rPr>
                <w:rFonts w:hint="default" w:ascii="Times New Roman" w:hAnsi="Times New Roman" w:eastAsia="宋体" w:cs="Times New Roman"/>
                <w:snapToGrid w:val="0"/>
                <w:color w:val="auto"/>
                <w:kern w:val="0"/>
                <w:sz w:val="24"/>
                <w:highlight w:val="none"/>
                <w:lang w:val="en-US" w:eastAsia="zh-CN"/>
              </w:rPr>
              <w:t>采用密闭容器存放，由</w:t>
            </w:r>
            <w:r>
              <w:rPr>
                <w:rFonts w:hint="eastAsia" w:ascii="Times New Roman" w:hAnsi="Times New Roman" w:eastAsia="宋体" w:cs="Times New Roman"/>
                <w:snapToGrid w:val="0"/>
                <w:color w:val="auto"/>
                <w:kern w:val="0"/>
                <w:sz w:val="24"/>
                <w:highlight w:val="none"/>
                <w:lang w:val="en-US" w:eastAsia="zh-CN"/>
              </w:rPr>
              <w:t>有资质的单位处理</w:t>
            </w:r>
            <w:r>
              <w:rPr>
                <w:rFonts w:hint="eastAsia" w:ascii="Times New Roman" w:hAnsi="Times New Roman" w:eastAsia="宋体" w:cs="Times New Roman"/>
                <w:smallCaps/>
                <w:color w:val="auto"/>
                <w:sz w:val="24"/>
                <w:highlight w:val="none"/>
                <w:lang w:val="en-US" w:eastAsia="zh-CN"/>
              </w:rPr>
              <w:t>。</w:t>
            </w:r>
          </w:p>
          <w:p w14:paraId="6A0AAD55">
            <w:pPr>
              <w:pStyle w:val="8"/>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（2）危险废物</w:t>
            </w:r>
          </w:p>
          <w:p w14:paraId="69A91EA2">
            <w:pPr>
              <w:pStyle w:val="7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根据《国家危险废物名录（202</w:t>
            </w:r>
            <w:r>
              <w:rPr>
                <w:rFonts w:hint="eastAsia" w:cs="Times New Roman"/>
                <w:color w:val="auto"/>
                <w:sz w:val="24"/>
                <w:szCs w:val="24"/>
                <w:highlight w:val="none"/>
                <w:lang w:val="en-US" w:eastAsia="zh-CN"/>
              </w:rPr>
              <w:t>5年</w:t>
            </w:r>
            <w:r>
              <w:rPr>
                <w:rFonts w:hint="default" w:ascii="Times New Roman" w:hAnsi="Times New Roman" w:eastAsia="宋体" w:cs="Times New Roman"/>
                <w:color w:val="auto"/>
                <w:sz w:val="24"/>
                <w:szCs w:val="24"/>
                <w:highlight w:val="none"/>
              </w:rPr>
              <w:t>版）》，本项目危险废物主要是</w:t>
            </w:r>
            <w:r>
              <w:rPr>
                <w:rFonts w:hint="eastAsia" w:cs="Times New Roman"/>
                <w:color w:val="auto"/>
                <w:sz w:val="24"/>
                <w:highlight w:val="none"/>
                <w:lang w:eastAsia="zh-CN" w:bidi="ar"/>
              </w:rPr>
              <w:t>废机油</w:t>
            </w:r>
            <w:r>
              <w:rPr>
                <w:rFonts w:hint="default" w:ascii="Times New Roman" w:hAnsi="Times New Roman" w:eastAsia="宋体" w:cs="Times New Roman"/>
                <w:color w:val="auto"/>
                <w:sz w:val="24"/>
                <w:szCs w:val="24"/>
                <w:highlight w:val="none"/>
              </w:rPr>
              <w:t>暂存于</w:t>
            </w:r>
            <w:r>
              <w:rPr>
                <w:rFonts w:hint="eastAsia" w:cs="Times New Roman"/>
                <w:color w:val="auto"/>
                <w:sz w:val="24"/>
                <w:szCs w:val="24"/>
                <w:highlight w:val="none"/>
                <w:lang w:eastAsia="zh-CN"/>
              </w:rPr>
              <w:t>危险废物贮存点</w:t>
            </w:r>
            <w:r>
              <w:rPr>
                <w:rFonts w:hint="default" w:ascii="Times New Roman" w:hAnsi="Times New Roman" w:eastAsia="宋体" w:cs="Times New Roman"/>
                <w:color w:val="auto"/>
                <w:sz w:val="24"/>
                <w:szCs w:val="24"/>
                <w:highlight w:val="none"/>
              </w:rPr>
              <w:t>，定期交有资质单位处理处置，并严格执行危险废物转移联单制度，在危险废物转移前三日内报告移出地生态环境行政主管部门，并同时将预期到达时间报告接受地环境保护行政主管部门；危险废物必须装入合适的危废储存容器内并分区放置，不相容的危废禁止混放。应由专人负责危险废物贮存设施的运行和管理，做好危废产生及贮存记录，并正确粘贴标签，定期对危废贮存设施进行检查。设立警示标志，只允许专门人员进入危废贮存区；各种危险废物在厂区内的贮存时间不得超过一年。</w:t>
            </w:r>
            <w:r>
              <w:rPr>
                <w:rFonts w:hint="eastAsia" w:cs="Times New Roman"/>
                <w:color w:val="auto"/>
                <w:sz w:val="24"/>
                <w:szCs w:val="24"/>
                <w:highlight w:val="none"/>
                <w:lang w:eastAsia="zh-CN"/>
              </w:rPr>
              <w:t>危险废物贮存点</w:t>
            </w:r>
            <w:r>
              <w:rPr>
                <w:rFonts w:hint="default" w:ascii="Times New Roman" w:hAnsi="Times New Roman" w:eastAsia="宋体" w:cs="Times New Roman"/>
                <w:color w:val="auto"/>
                <w:sz w:val="24"/>
                <w:szCs w:val="24"/>
                <w:highlight w:val="none"/>
              </w:rPr>
              <w:t>严格按照《危险废物贮存污染控制标准》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 18597—2023）中相关规定进行设置。</w:t>
            </w:r>
          </w:p>
          <w:p w14:paraId="2472DBDB">
            <w:pPr>
              <w:spacing w:line="360" w:lineRule="auto"/>
              <w:ind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4.</w:t>
            </w: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环境管理要求</w:t>
            </w:r>
          </w:p>
          <w:p w14:paraId="43D360BC">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7B31D6A3">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（2）禁止向生活垃圾收集设施中投放工业固体废物。</w:t>
            </w:r>
          </w:p>
          <w:p w14:paraId="500E3D0C">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3）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63636BAF">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（4）</w:t>
            </w:r>
            <w:r>
              <w:rPr>
                <w:rFonts w:hint="eastAsia" w:ascii="Times New Roman" w:hAnsi="Times New Roman" w:eastAsia="宋体" w:cs="Times New Roman"/>
                <w:color w:val="auto"/>
                <w:sz w:val="24"/>
                <w:highlight w:val="none"/>
              </w:rPr>
              <w:t>固废</w:t>
            </w:r>
            <w:r>
              <w:rPr>
                <w:rFonts w:ascii="Times New Roman" w:hAnsi="Times New Roman" w:eastAsia="宋体" w:cs="Times New Roman"/>
                <w:color w:val="auto"/>
                <w:sz w:val="24"/>
                <w:highlight w:val="none"/>
              </w:rPr>
              <w:t>环境管理要求</w:t>
            </w:r>
          </w:p>
          <w:p w14:paraId="56EE9723">
            <w:pPr>
              <w:widowControl/>
              <w:autoSpaceDE w:val="0"/>
              <w:autoSpaceDN w:val="0"/>
              <w:snapToGrid w:val="0"/>
              <w:spacing w:line="480" w:lineRule="exact"/>
              <w:ind w:firstLine="480" w:firstLineChars="200"/>
              <w:textAlignment w:val="bottom"/>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①本项目危险废物贮存点选址位于</w:t>
            </w:r>
            <w:r>
              <w:rPr>
                <w:rFonts w:hint="eastAsia" w:ascii="Times New Roman" w:hAnsi="Times New Roman" w:eastAsia="宋体" w:cs="Times New Roman"/>
                <w:color w:val="auto"/>
                <w:sz w:val="24"/>
                <w:highlight w:val="none"/>
              </w:rPr>
              <w:t>生产车间</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占地性质为工业用地</w:t>
            </w:r>
            <w:r>
              <w:rPr>
                <w:rFonts w:ascii="Times New Roman" w:hAnsi="Times New Roman" w:eastAsia="宋体" w:cs="Times New Roman"/>
                <w:color w:val="auto"/>
                <w:sz w:val="24"/>
                <w:highlight w:val="none"/>
              </w:rPr>
              <w:t>，不涉及生态保护红线、永久基本农田和其他需要特别保护的区域，满足《危险废物贮存污染控制标准》（GB18597-2023）贮存设施的选址原则；</w:t>
            </w:r>
          </w:p>
          <w:p w14:paraId="5AC4F623">
            <w:pPr>
              <w:widowControl/>
              <w:autoSpaceDE w:val="0"/>
              <w:autoSpaceDN w:val="0"/>
              <w:snapToGrid w:val="0"/>
              <w:spacing w:line="480" w:lineRule="exact"/>
              <w:ind w:firstLine="480" w:firstLineChars="200"/>
              <w:textAlignment w:val="bottom"/>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②危险废物贮存点设计贮存量为</w:t>
            </w:r>
            <w:r>
              <w:rPr>
                <w:rFonts w:hint="eastAsia" w:eastAsia="宋体" w:cs="Times New Roman"/>
                <w:color w:val="auto"/>
                <w:sz w:val="24"/>
                <w:highlight w:val="none"/>
                <w:lang w:val="en-US" w:eastAsia="zh-CN"/>
              </w:rPr>
              <w:t>2</w:t>
            </w:r>
            <w:r>
              <w:rPr>
                <w:rFonts w:ascii="Times New Roman" w:hAnsi="Times New Roman" w:eastAsia="宋体" w:cs="Times New Roman"/>
                <w:color w:val="auto"/>
                <w:sz w:val="24"/>
                <w:highlight w:val="none"/>
              </w:rPr>
              <w:t>t，贮存周期</w:t>
            </w:r>
            <w:r>
              <w:rPr>
                <w:rFonts w:hint="eastAsia" w:ascii="Times New Roman" w:hAnsi="Times New Roman" w:eastAsia="宋体" w:cs="Times New Roman"/>
                <w:color w:val="auto"/>
                <w:sz w:val="24"/>
                <w:highlight w:val="none"/>
                <w:lang w:val="en-US" w:eastAsia="zh-CN"/>
              </w:rPr>
              <w:t>为</w:t>
            </w:r>
            <w:r>
              <w:rPr>
                <w:rFonts w:hint="eastAsia" w:eastAsia="宋体" w:cs="Times New Roman"/>
                <w:color w:val="auto"/>
                <w:sz w:val="24"/>
                <w:highlight w:val="none"/>
                <w:lang w:val="en-US" w:eastAsia="zh-CN"/>
              </w:rPr>
              <w:t>一个月</w:t>
            </w:r>
            <w:r>
              <w:rPr>
                <w:rFonts w:ascii="Times New Roman" w:hAnsi="Times New Roman" w:eastAsia="宋体" w:cs="Times New Roman"/>
                <w:color w:val="auto"/>
                <w:sz w:val="24"/>
                <w:highlight w:val="none"/>
              </w:rPr>
              <w:t>，能够满足本项目危险废物转运处置需求；</w:t>
            </w:r>
          </w:p>
          <w:p w14:paraId="5A15FBEA">
            <w:pPr>
              <w:spacing w:line="360" w:lineRule="auto"/>
              <w:ind w:firstLine="480" w:firstLineChars="200"/>
              <w:rPr>
                <w:rFonts w:ascii="Times New Roman" w:hAnsi="Times New Roman"/>
                <w:color w:val="auto"/>
                <w:highlight w:val="none"/>
              </w:rPr>
            </w:pPr>
            <w:r>
              <w:rPr>
                <w:rFonts w:ascii="Times New Roman" w:hAnsi="Times New Roman" w:eastAsia="宋体" w:cs="Times New Roman"/>
                <w:color w:val="auto"/>
                <w:sz w:val="24"/>
                <w:highlight w:val="none"/>
              </w:rPr>
              <w:t>③本项目</w:t>
            </w:r>
            <w:r>
              <w:rPr>
                <w:rFonts w:hint="eastAsia" w:cs="Times New Roman"/>
                <w:color w:val="auto"/>
                <w:sz w:val="24"/>
                <w:highlight w:val="none"/>
                <w:lang w:eastAsia="zh-CN"/>
              </w:rPr>
              <w:t>废机油</w:t>
            </w:r>
            <w:r>
              <w:rPr>
                <w:rFonts w:ascii="Times New Roman" w:hAnsi="Times New Roman" w:eastAsia="宋体" w:cs="Times New Roman"/>
                <w:color w:val="auto"/>
                <w:sz w:val="24"/>
                <w:highlight w:val="none"/>
              </w:rPr>
              <w:t>危险废物采用</w:t>
            </w:r>
            <w:r>
              <w:rPr>
                <w:rFonts w:hint="eastAsia" w:ascii="Times New Roman" w:hAnsi="Times New Roman" w:eastAsia="宋体" w:cs="Times New Roman"/>
                <w:color w:val="auto"/>
                <w:sz w:val="24"/>
                <w:highlight w:val="none"/>
              </w:rPr>
              <w:t>密闭</w:t>
            </w:r>
            <w:r>
              <w:rPr>
                <w:rFonts w:ascii="Times New Roman" w:hAnsi="Times New Roman" w:eastAsia="宋体" w:cs="Times New Roman"/>
                <w:color w:val="auto"/>
                <w:sz w:val="24"/>
                <w:highlight w:val="none"/>
              </w:rPr>
              <w:t>桶进行盛装，危险废物储存过程中无渗滤液产生且地面及墙裙均按照《危险废物贮存污染控制标准》（GB18597-2023）进行防渗，因此正常情况下对环境空气、地表水、地下水、土壤和居民区、饮用水井、农田等保护目标无影响。</w:t>
            </w:r>
          </w:p>
          <w:p w14:paraId="3E68DC7C">
            <w:pPr>
              <w:spacing w:line="360" w:lineRule="auto"/>
              <w:ind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4.</w:t>
            </w:r>
            <w:r>
              <w:rPr>
                <w:rFonts w:hint="eastAsia"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环境影响分析</w:t>
            </w:r>
          </w:p>
          <w:p w14:paraId="7D604DCF">
            <w:pPr>
              <w:spacing w:line="360" w:lineRule="auto"/>
              <w:ind w:firstLine="480" w:firstLineChars="200"/>
              <w:rPr>
                <w:rFonts w:ascii="Times New Roman" w:hAnsi="Times New Roman" w:eastAsia="宋体" w:cs="Times New Roman"/>
                <w:color w:val="auto"/>
                <w:kern w:val="0"/>
                <w:sz w:val="24"/>
                <w:highlight w:val="none"/>
              </w:rPr>
            </w:pPr>
            <w:r>
              <w:rPr>
                <w:rFonts w:ascii="Times New Roman" w:hAnsi="Times New Roman" w:eastAsia="宋体" w:cs="Times New Roman"/>
                <w:snapToGrid w:val="0"/>
                <w:color w:val="auto"/>
                <w:kern w:val="0"/>
                <w:sz w:val="24"/>
                <w:highlight w:val="none"/>
              </w:rPr>
              <w:t>本项目</w:t>
            </w:r>
            <w:r>
              <w:rPr>
                <w:rFonts w:hint="default" w:ascii="Times New Roman" w:hAnsi="Times New Roman" w:eastAsia="宋体" w:cs="Times New Roman"/>
                <w:color w:val="auto"/>
                <w:kern w:val="2"/>
                <w:sz w:val="24"/>
                <w:szCs w:val="24"/>
                <w:highlight w:val="none"/>
                <w:lang w:val="en-US" w:eastAsia="zh-CN" w:bidi="ar-SA"/>
              </w:rPr>
              <w:t>生活垃圾、废包装物统一收集后，由市政环卫部门统一处理；</w:t>
            </w:r>
            <w:r>
              <w:rPr>
                <w:rFonts w:hint="eastAsia" w:ascii="Times New Roman" w:hAnsi="Times New Roman" w:eastAsia="宋体" w:cs="Times New Roman"/>
                <w:color w:val="auto"/>
                <w:kern w:val="2"/>
                <w:sz w:val="24"/>
                <w:szCs w:val="24"/>
                <w:highlight w:val="none"/>
                <w:lang w:val="en-US" w:eastAsia="zh-CN" w:bidi="ar-SA"/>
              </w:rPr>
              <w:t>废布袋、</w:t>
            </w:r>
            <w:r>
              <w:rPr>
                <w:rFonts w:hint="default" w:ascii="Times New Roman" w:hAnsi="Times New Roman" w:eastAsia="宋体" w:cs="Times New Roman"/>
                <w:color w:val="auto"/>
                <w:kern w:val="2"/>
                <w:sz w:val="24"/>
                <w:szCs w:val="24"/>
                <w:highlight w:val="none"/>
                <w:lang w:val="en-US" w:eastAsia="zh-CN" w:bidi="ar-SA"/>
              </w:rPr>
              <w:t>废离子交换树脂由</w:t>
            </w:r>
            <w:r>
              <w:rPr>
                <w:rFonts w:hint="eastAsia" w:ascii="Times New Roman" w:hAnsi="Times New Roman" w:eastAsia="宋体" w:cs="Times New Roman"/>
                <w:color w:val="auto"/>
                <w:kern w:val="2"/>
                <w:sz w:val="24"/>
                <w:szCs w:val="24"/>
                <w:highlight w:val="none"/>
                <w:lang w:val="en-US" w:eastAsia="zh-CN" w:bidi="ar-SA"/>
              </w:rPr>
              <w:t>厂家回收</w:t>
            </w:r>
            <w:r>
              <w:rPr>
                <w:rFonts w:hint="default" w:ascii="Times New Roman" w:hAnsi="Times New Roman" w:eastAsia="宋体" w:cs="Times New Roman"/>
                <w:color w:val="auto"/>
                <w:kern w:val="2"/>
                <w:sz w:val="24"/>
                <w:szCs w:val="24"/>
                <w:highlight w:val="none"/>
                <w:lang w:val="en-US" w:eastAsia="zh-CN" w:bidi="ar-SA"/>
              </w:rPr>
              <w:t>处理</w:t>
            </w:r>
            <w:r>
              <w:rPr>
                <w:rFonts w:hint="eastAsia" w:ascii="Times New Roman" w:hAnsi="Times New Roman" w:eastAsia="宋体" w:cs="Times New Roman"/>
                <w:color w:val="auto"/>
                <w:kern w:val="2"/>
                <w:sz w:val="24"/>
                <w:szCs w:val="24"/>
                <w:highlight w:val="none"/>
                <w:lang w:val="en-US" w:eastAsia="zh-CN" w:bidi="ar-SA"/>
              </w:rPr>
              <w:t>；</w:t>
            </w:r>
            <w:r>
              <w:rPr>
                <w:color w:val="auto"/>
                <w:sz w:val="24"/>
              </w:rPr>
              <w:t>生产废料</w:t>
            </w:r>
            <w:r>
              <w:rPr>
                <w:rFonts w:hint="eastAsia"/>
                <w:color w:val="auto"/>
                <w:sz w:val="24"/>
                <w:lang w:eastAsia="zh-CN"/>
              </w:rPr>
              <w:t>、</w:t>
            </w:r>
            <w:r>
              <w:rPr>
                <w:color w:val="auto"/>
                <w:sz w:val="24"/>
              </w:rPr>
              <w:t>生物质蒸汽锅炉灰渣</w:t>
            </w:r>
            <w:r>
              <w:rPr>
                <w:rFonts w:hint="eastAsia"/>
                <w:color w:val="auto"/>
                <w:sz w:val="24"/>
                <w:lang w:val="en-US" w:eastAsia="zh-CN"/>
              </w:rPr>
              <w:t>外售综合利用；</w:t>
            </w:r>
            <w:r>
              <w:rPr>
                <w:rFonts w:hint="eastAsia" w:ascii="Times New Roman" w:hAnsi="Times New Roman" w:eastAsia="宋体" w:cs="Times New Roman"/>
                <w:color w:val="auto"/>
                <w:sz w:val="24"/>
                <w:lang w:val="en-US" w:eastAsia="zh-CN"/>
              </w:rPr>
              <w:t>污水处理站污泥</w:t>
            </w:r>
            <w:r>
              <w:rPr>
                <w:rFonts w:hint="default" w:ascii="Times New Roman" w:hAnsi="Times New Roman" w:eastAsia="宋体" w:cs="Times New Roman"/>
                <w:smallCaps/>
                <w:color w:val="auto"/>
                <w:sz w:val="24"/>
                <w:highlight w:val="none"/>
              </w:rPr>
              <w:t>存放在</w:t>
            </w:r>
            <w:r>
              <w:rPr>
                <w:rFonts w:hint="default" w:ascii="Times New Roman" w:hAnsi="Times New Roman" w:eastAsia="宋体" w:cs="Times New Roman"/>
                <w:smallCaps/>
                <w:color w:val="auto"/>
                <w:sz w:val="24"/>
                <w:highlight w:val="none"/>
                <w:lang w:val="en-US" w:eastAsia="zh-CN"/>
              </w:rPr>
              <w:t>固废暂存间交由有处理能力的单位处</w:t>
            </w:r>
            <w:r>
              <w:rPr>
                <w:rFonts w:hint="eastAsia" w:ascii="Times New Roman" w:hAnsi="Times New Roman" w:eastAsia="宋体" w:cs="Times New Roman"/>
                <w:smallCaps/>
                <w:color w:val="auto"/>
                <w:sz w:val="24"/>
                <w:highlight w:val="none"/>
                <w:lang w:val="en-US" w:eastAsia="zh-CN"/>
              </w:rPr>
              <w:t>置；</w:t>
            </w:r>
            <w:r>
              <w:rPr>
                <w:rFonts w:hint="eastAsia" w:cs="Times New Roman"/>
                <w:color w:val="auto"/>
                <w:sz w:val="24"/>
                <w:highlight w:val="none"/>
                <w:lang w:eastAsia="zh-CN" w:bidi="ar"/>
              </w:rPr>
              <w:t>废机油</w:t>
            </w:r>
            <w:r>
              <w:rPr>
                <w:rFonts w:hint="default" w:ascii="Times New Roman" w:hAnsi="Times New Roman" w:eastAsia="宋体" w:cs="Times New Roman"/>
                <w:color w:val="auto"/>
                <w:sz w:val="24"/>
                <w:szCs w:val="24"/>
                <w:highlight w:val="none"/>
              </w:rPr>
              <w:t>暂存于</w:t>
            </w:r>
            <w:r>
              <w:rPr>
                <w:rFonts w:hint="eastAsia" w:cs="Times New Roman"/>
                <w:color w:val="auto"/>
                <w:sz w:val="24"/>
                <w:szCs w:val="24"/>
                <w:highlight w:val="none"/>
                <w:lang w:eastAsia="zh-CN"/>
              </w:rPr>
              <w:t>危险废物贮存点</w:t>
            </w:r>
            <w:r>
              <w:rPr>
                <w:rFonts w:hint="default" w:ascii="Times New Roman" w:hAnsi="Times New Roman" w:eastAsia="宋体" w:cs="Times New Roman"/>
                <w:color w:val="auto"/>
                <w:sz w:val="24"/>
                <w:szCs w:val="24"/>
                <w:highlight w:val="none"/>
              </w:rPr>
              <w:t>，定期交有资质单位处理处置</w:t>
            </w:r>
            <w:r>
              <w:rPr>
                <w:rFonts w:ascii="Times New Roman" w:hAnsi="Times New Roman" w:eastAsia="宋体" w:cs="Times New Roman"/>
                <w:snapToGrid w:val="0"/>
                <w:color w:val="auto"/>
                <w:kern w:val="0"/>
                <w:sz w:val="24"/>
                <w:highlight w:val="none"/>
              </w:rPr>
              <w:t>。</w:t>
            </w:r>
            <w:r>
              <w:rPr>
                <w:rFonts w:ascii="Times New Roman" w:hAnsi="Times New Roman" w:eastAsia="宋体" w:cs="Times New Roman"/>
                <w:color w:val="auto"/>
                <w:kern w:val="0"/>
                <w:sz w:val="24"/>
                <w:highlight w:val="none"/>
              </w:rPr>
              <w:t>同时</w:t>
            </w:r>
            <w:r>
              <w:rPr>
                <w:rFonts w:ascii="Times New Roman" w:hAnsi="Times New Roman" w:eastAsia="宋体" w:cs="Times New Roman"/>
                <w:color w:val="auto"/>
                <w:sz w:val="24"/>
                <w:highlight w:val="none"/>
              </w:rPr>
              <w:t>危险废物贮存点</w:t>
            </w:r>
            <w:r>
              <w:rPr>
                <w:rFonts w:ascii="Times New Roman" w:hAnsi="Times New Roman" w:eastAsia="宋体" w:cs="Times New Roman"/>
                <w:color w:val="auto"/>
                <w:kern w:val="0"/>
                <w:sz w:val="24"/>
                <w:highlight w:val="none"/>
              </w:rPr>
              <w:t>按照</w:t>
            </w:r>
            <w:r>
              <w:rPr>
                <w:rFonts w:ascii="Times New Roman" w:hAnsi="Times New Roman" w:eastAsia="宋体" w:cs="Times New Roman"/>
                <w:color w:val="auto"/>
                <w:sz w:val="24"/>
                <w:highlight w:val="none"/>
              </w:rPr>
              <w:t>《危险废物贮存污染控制标准》（GB18597-2023）管理并进行防渗处置</w:t>
            </w:r>
            <w:r>
              <w:rPr>
                <w:rFonts w:ascii="Times New Roman" w:hAnsi="Times New Roman" w:eastAsia="宋体" w:cs="Times New Roman"/>
                <w:color w:val="auto"/>
                <w:kern w:val="0"/>
                <w:sz w:val="24"/>
                <w:highlight w:val="none"/>
              </w:rPr>
              <w:t>。</w:t>
            </w:r>
          </w:p>
          <w:p w14:paraId="76100854">
            <w:pPr>
              <w:numPr>
                <w:ilvl w:val="0"/>
                <w:numId w:val="0"/>
              </w:numPr>
              <w:spacing w:line="360" w:lineRule="auto"/>
              <w:jc w:val="left"/>
              <w:rPr>
                <w:rFonts w:eastAsia="黑体"/>
                <w:bCs/>
                <w:color w:val="auto"/>
                <w:sz w:val="28"/>
                <w:szCs w:val="28"/>
              </w:rPr>
            </w:pPr>
            <w:r>
              <w:rPr>
                <w:rFonts w:ascii="Times New Roman" w:hAnsi="Times New Roman" w:eastAsia="宋体" w:cs="Times New Roman"/>
                <w:color w:val="auto"/>
                <w:kern w:val="0"/>
                <w:sz w:val="24"/>
                <w:highlight w:val="none"/>
              </w:rPr>
              <w:t>通过以上措施，项目只要加强贮存、转运等环节的日常管理，固体废物能得到有效处理，不会产生二次污染问题，对环境影响较小。</w:t>
            </w:r>
          </w:p>
          <w:p w14:paraId="7E776E06">
            <w:pPr>
              <w:numPr>
                <w:ilvl w:val="0"/>
                <w:numId w:val="7"/>
              </w:numPr>
              <w:spacing w:line="360" w:lineRule="auto"/>
              <w:jc w:val="left"/>
              <w:rPr>
                <w:rFonts w:eastAsia="黑体"/>
                <w:bCs/>
                <w:color w:val="auto"/>
                <w:sz w:val="28"/>
                <w:szCs w:val="28"/>
              </w:rPr>
            </w:pPr>
            <w:r>
              <w:rPr>
                <w:rFonts w:eastAsia="黑体"/>
                <w:bCs/>
                <w:color w:val="auto"/>
                <w:sz w:val="28"/>
                <w:szCs w:val="28"/>
              </w:rPr>
              <w:t>风险分析</w:t>
            </w:r>
          </w:p>
          <w:p w14:paraId="4EF36997">
            <w:pPr>
              <w:autoSpaceDE w:val="0"/>
              <w:autoSpaceDN w:val="0"/>
              <w:spacing w:line="360" w:lineRule="auto"/>
              <w:ind w:firstLine="480" w:firstLineChars="200"/>
              <w:rPr>
                <w:color w:val="auto"/>
                <w:sz w:val="24"/>
              </w:rPr>
            </w:pPr>
            <w:r>
              <w:rPr>
                <w:rFonts w:hint="eastAsia"/>
                <w:color w:val="auto"/>
                <w:sz w:val="24"/>
              </w:rPr>
              <w:t>本项目环境风险潜势为Ⅱ，评价等级为三级。黑龙江宏昌生物科技有限公司日加工500吨大豆（米糠）双生产线建设</w:t>
            </w:r>
            <w:r>
              <w:rPr>
                <w:rFonts w:hint="eastAsia"/>
                <w:color w:val="auto"/>
                <w:sz w:val="24"/>
                <w:lang w:eastAsia="zh-CN"/>
              </w:rPr>
              <w:t>项目</w:t>
            </w:r>
            <w:r>
              <w:rPr>
                <w:rFonts w:hint="eastAsia"/>
                <w:color w:val="auto"/>
                <w:sz w:val="24"/>
              </w:rPr>
              <w:t>位于佳木斯市桦南县双果路与龙兴街交叉口西南侧，该项目建设符合国家产业政策，平面布置基本合理。项目运营过程中会产生一定的环境风险，建设单位在落实本报告所提出的各项环境风险措施后，本项目的建设对周围环境风险水平在可接受的范围内，本项目建设可行。</w:t>
            </w:r>
          </w:p>
          <w:p w14:paraId="65C937FE">
            <w:pPr>
              <w:numPr>
                <w:ilvl w:val="0"/>
                <w:numId w:val="8"/>
              </w:numPr>
              <w:spacing w:line="360" w:lineRule="auto"/>
              <w:jc w:val="left"/>
              <w:rPr>
                <w:rFonts w:eastAsia="黑体"/>
                <w:bCs/>
                <w:color w:val="auto"/>
                <w:sz w:val="28"/>
                <w:szCs w:val="28"/>
              </w:rPr>
            </w:pPr>
            <w:r>
              <w:rPr>
                <w:rFonts w:hint="default" w:eastAsia="黑体"/>
                <w:bCs/>
                <w:color w:val="auto"/>
                <w:sz w:val="28"/>
                <w:szCs w:val="28"/>
              </w:rPr>
              <w:t>土壤及地下水环境影响分析</w:t>
            </w:r>
          </w:p>
          <w:p w14:paraId="580013D1">
            <w:pPr>
              <w:spacing w:line="360" w:lineRule="auto"/>
              <w:ind w:firstLine="480" w:firstLineChars="200"/>
              <w:rPr>
                <w:color w:val="auto"/>
                <w:sz w:val="24"/>
              </w:rPr>
            </w:pPr>
            <w:r>
              <w:rPr>
                <w:rFonts w:hint="eastAsia"/>
                <w:color w:val="auto"/>
                <w:sz w:val="24"/>
              </w:rPr>
              <w:t>根据《环境影响评价技术导则 土壤环境（试行）》附录表A.1土壤环境影响评价项目类别，本项目其他项目类别属于Ⅳ类项目，无需进行土壤</w:t>
            </w:r>
            <w:r>
              <w:rPr>
                <w:rFonts w:hint="eastAsia"/>
                <w:color w:val="auto"/>
                <w:sz w:val="24"/>
                <w:lang w:val="en-US" w:eastAsia="zh-CN"/>
              </w:rPr>
              <w:t>和地下水</w:t>
            </w:r>
            <w:r>
              <w:rPr>
                <w:rFonts w:hint="eastAsia"/>
                <w:color w:val="auto"/>
                <w:sz w:val="24"/>
              </w:rPr>
              <w:t>环境影响评价。且本项目为食品加工项目，无重金属及有机污染物排放，</w:t>
            </w:r>
            <w:r>
              <w:rPr>
                <w:color w:val="auto"/>
                <w:sz w:val="24"/>
              </w:rPr>
              <w:t>不涉及土壤的污染途径。</w:t>
            </w:r>
          </w:p>
          <w:p w14:paraId="2B93484A">
            <w:pPr>
              <w:spacing w:line="360" w:lineRule="auto"/>
              <w:ind w:firstLine="480" w:firstLineChars="200"/>
              <w:rPr>
                <w:rFonts w:hint="eastAsia" w:eastAsia="宋体"/>
                <w:color w:val="auto"/>
                <w:lang w:eastAsia="zh-CN"/>
              </w:rPr>
            </w:pPr>
            <w:r>
              <w:rPr>
                <w:rFonts w:hint="eastAsia" w:cs="Times New Roman"/>
                <w:color w:val="auto"/>
                <w:sz w:val="24"/>
                <w:lang w:eastAsia="zh-CN"/>
              </w:rPr>
              <w:t>所有地面做防渗混凝土，项目采用分区防渗的方式，将地下溶剂库座、事故池、危险废物贮存点作为重点防渗区。其中危险废物贮存点应符合《危险废物贮存污染控制标准》（GB18597—2023）要求，地下溶剂库座、事故池、危险废物贮存点要满足等效黏土层防渗层Mb≥6.0m，渗透系数K≤1.0×10-7cm/s的防渗要求；浸出车间、糠粕加工车间、液体油罐、固废暂存间等做一般防渗，浸出车间、糠粕加工车间、液体油罐、固废暂存间要满足等效黏土层防渗层Mb≥1.5m，渗透系数K≤1.0×10-7cm/s的防渗要求；厂区其他区域为简单防渗区，采取一般地面水泥硬化。</w:t>
            </w:r>
            <w:r>
              <w:rPr>
                <w:rFonts w:hint="eastAsia" w:ascii="Times New Roman" w:hAnsi="Times New Roman" w:eastAsia="宋体" w:cs="Times New Roman"/>
                <w:color w:val="auto"/>
                <w:sz w:val="24"/>
                <w:lang w:eastAsia="zh-CN"/>
              </w:rPr>
              <w:t>。</w:t>
            </w:r>
          </w:p>
        </w:tc>
      </w:tr>
    </w:tbl>
    <w:p w14:paraId="630A9E4E">
      <w:pPr>
        <w:adjustRightInd w:val="0"/>
        <w:snapToGrid w:val="0"/>
        <w:spacing w:line="360" w:lineRule="auto"/>
        <w:rPr>
          <w:b/>
          <w:color w:val="auto"/>
          <w:kern w:val="0"/>
          <w:sz w:val="28"/>
          <w:szCs w:val="28"/>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5E75775E">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bookmarkStart w:id="50" w:name="_Toc15879"/>
      <w:bookmarkStart w:id="51" w:name="_Toc24709"/>
      <w:r>
        <w:rPr>
          <w:rFonts w:ascii="Times New Roman" w:hAnsi="Times New Roman" w:eastAsia="黑体"/>
          <w:snapToGrid w:val="0"/>
          <w:color w:val="auto"/>
          <w:sz w:val="30"/>
          <w:szCs w:val="30"/>
        </w:rPr>
        <w:t>五、</w:t>
      </w:r>
      <w:bookmarkStart w:id="52" w:name="_Hlk54167917"/>
      <w:r>
        <w:rPr>
          <w:rFonts w:ascii="Times New Roman" w:hAnsi="Times New Roman" w:eastAsia="黑体"/>
          <w:snapToGrid w:val="0"/>
          <w:color w:val="auto"/>
          <w:sz w:val="30"/>
          <w:szCs w:val="30"/>
        </w:rPr>
        <w:t>环境保护措施监督检查清单</w:t>
      </w:r>
      <w:bookmarkEnd w:id="50"/>
      <w:bookmarkEnd w:id="51"/>
      <w:bookmarkEnd w:id="52"/>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910"/>
        <w:gridCol w:w="1425"/>
        <w:gridCol w:w="1770"/>
        <w:gridCol w:w="1917"/>
      </w:tblGrid>
      <w:tr w14:paraId="233BBB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tcPr>
          <w:p w14:paraId="058E899F">
            <w:pPr>
              <w:adjustRightInd w:val="0"/>
              <w:snapToGrid w:val="0"/>
              <w:ind w:firstLine="840"/>
              <w:rPr>
                <w:rFonts w:ascii="宋体" w:hAnsi="宋体" w:cs="宋体"/>
                <w:color w:val="auto"/>
                <w:szCs w:val="21"/>
              </w:rPr>
            </w:pPr>
            <w:r>
              <w:rPr>
                <w:rFonts w:hint="eastAsia" w:ascii="宋体" w:hAnsi="宋体" w:cs="宋体"/>
                <w:color w:val="auto"/>
                <w:szCs w:val="21"/>
              </w:rPr>
              <w:t>内容</w:t>
            </w:r>
          </w:p>
          <w:p w14:paraId="7D5EE98A">
            <w:pPr>
              <w:adjustRightInd w:val="0"/>
              <w:snapToGrid w:val="0"/>
              <w:rPr>
                <w:rFonts w:ascii="宋体" w:hAnsi="宋体" w:cs="宋体"/>
                <w:color w:val="auto"/>
                <w:szCs w:val="21"/>
              </w:rPr>
            </w:pPr>
            <w:r>
              <w:rPr>
                <w:rFonts w:hint="eastAsia" w:ascii="宋体" w:hAnsi="宋体" w:cs="宋体"/>
                <w:color w:val="auto"/>
                <w:szCs w:val="21"/>
              </w:rPr>
              <w:t>要素</w:t>
            </w:r>
          </w:p>
        </w:tc>
        <w:tc>
          <w:tcPr>
            <w:tcW w:w="1910" w:type="dxa"/>
            <w:vAlign w:val="center"/>
          </w:tcPr>
          <w:p w14:paraId="72F52AE7">
            <w:pPr>
              <w:adjustRightInd w:val="0"/>
              <w:snapToGrid w:val="0"/>
              <w:jc w:val="center"/>
              <w:rPr>
                <w:rFonts w:ascii="宋体" w:hAnsi="宋体" w:cs="宋体"/>
                <w:color w:val="auto"/>
                <w:szCs w:val="21"/>
              </w:rPr>
            </w:pPr>
            <w:r>
              <w:rPr>
                <w:rFonts w:hint="eastAsia" w:ascii="宋体" w:hAnsi="宋体" w:cs="宋体"/>
                <w:color w:val="auto"/>
                <w:szCs w:val="21"/>
              </w:rPr>
              <w:t>排放口(编号、</w:t>
            </w:r>
          </w:p>
          <w:p w14:paraId="4953506C">
            <w:pPr>
              <w:adjustRightInd w:val="0"/>
              <w:snapToGrid w:val="0"/>
              <w:jc w:val="center"/>
              <w:rPr>
                <w:rFonts w:ascii="宋体" w:hAnsi="宋体" w:cs="宋体"/>
                <w:color w:val="auto"/>
                <w:szCs w:val="21"/>
              </w:rPr>
            </w:pPr>
            <w:r>
              <w:rPr>
                <w:rFonts w:hint="eastAsia" w:ascii="宋体" w:hAnsi="宋体" w:cs="宋体"/>
                <w:color w:val="auto"/>
                <w:szCs w:val="21"/>
              </w:rPr>
              <w:t>名称)/污染源</w:t>
            </w:r>
          </w:p>
        </w:tc>
        <w:tc>
          <w:tcPr>
            <w:tcW w:w="1425" w:type="dxa"/>
            <w:vAlign w:val="center"/>
          </w:tcPr>
          <w:p w14:paraId="6D659893">
            <w:pPr>
              <w:adjustRightInd w:val="0"/>
              <w:snapToGrid w:val="0"/>
              <w:jc w:val="center"/>
              <w:rPr>
                <w:rFonts w:ascii="宋体" w:hAnsi="宋体" w:cs="宋体"/>
                <w:color w:val="auto"/>
                <w:szCs w:val="21"/>
              </w:rPr>
            </w:pPr>
            <w:r>
              <w:rPr>
                <w:rFonts w:hint="eastAsia" w:ascii="宋体" w:hAnsi="宋体" w:cs="宋体"/>
                <w:color w:val="auto"/>
                <w:szCs w:val="21"/>
              </w:rPr>
              <w:t>污染物项目</w:t>
            </w:r>
          </w:p>
        </w:tc>
        <w:tc>
          <w:tcPr>
            <w:tcW w:w="1770" w:type="dxa"/>
            <w:vAlign w:val="center"/>
          </w:tcPr>
          <w:p w14:paraId="14E9D39E">
            <w:pPr>
              <w:adjustRightInd w:val="0"/>
              <w:snapToGrid w:val="0"/>
              <w:jc w:val="center"/>
              <w:rPr>
                <w:rFonts w:ascii="宋体" w:hAnsi="宋体" w:cs="宋体"/>
                <w:color w:val="auto"/>
                <w:szCs w:val="21"/>
              </w:rPr>
            </w:pPr>
            <w:r>
              <w:rPr>
                <w:rFonts w:hint="eastAsia" w:ascii="宋体" w:hAnsi="宋体" w:cs="宋体"/>
                <w:color w:val="auto"/>
                <w:szCs w:val="21"/>
              </w:rPr>
              <w:t>环境保护措施</w:t>
            </w:r>
          </w:p>
        </w:tc>
        <w:tc>
          <w:tcPr>
            <w:tcW w:w="1917" w:type="dxa"/>
            <w:vAlign w:val="center"/>
          </w:tcPr>
          <w:p w14:paraId="57BF901E">
            <w:pPr>
              <w:adjustRightInd w:val="0"/>
              <w:snapToGrid w:val="0"/>
              <w:jc w:val="center"/>
              <w:rPr>
                <w:rFonts w:ascii="宋体" w:hAnsi="宋体" w:cs="宋体"/>
                <w:color w:val="auto"/>
                <w:szCs w:val="21"/>
              </w:rPr>
            </w:pPr>
            <w:r>
              <w:rPr>
                <w:rFonts w:hint="eastAsia" w:ascii="宋体" w:hAnsi="宋体" w:cs="宋体"/>
                <w:color w:val="auto"/>
                <w:szCs w:val="21"/>
              </w:rPr>
              <w:t>执行标准</w:t>
            </w:r>
          </w:p>
        </w:tc>
      </w:tr>
      <w:tr w14:paraId="4C2FE1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vAlign w:val="center"/>
          </w:tcPr>
          <w:p w14:paraId="2C3043B3">
            <w:pPr>
              <w:adjustRightInd w:val="0"/>
              <w:snapToGrid w:val="0"/>
              <w:jc w:val="center"/>
              <w:rPr>
                <w:rFonts w:ascii="宋体" w:hAnsi="宋体" w:cs="宋体"/>
                <w:color w:val="auto"/>
                <w:szCs w:val="21"/>
              </w:rPr>
            </w:pPr>
            <w:r>
              <w:rPr>
                <w:rFonts w:hint="eastAsia" w:ascii="宋体" w:hAnsi="宋体" w:cs="宋体"/>
                <w:color w:val="auto"/>
                <w:szCs w:val="21"/>
              </w:rPr>
              <w:t>大气环境</w:t>
            </w:r>
          </w:p>
        </w:tc>
        <w:tc>
          <w:tcPr>
            <w:tcW w:w="1910" w:type="dxa"/>
            <w:vAlign w:val="center"/>
          </w:tcPr>
          <w:p w14:paraId="3AA28467">
            <w:pPr>
              <w:adjustRightInd w:val="0"/>
              <w:snapToGrid w:val="0"/>
              <w:jc w:val="center"/>
              <w:rPr>
                <w:color w:val="auto"/>
                <w:szCs w:val="21"/>
              </w:rPr>
            </w:pPr>
            <w:r>
              <w:rPr>
                <w:color w:val="auto"/>
                <w:szCs w:val="21"/>
              </w:rPr>
              <w:t>生物质锅炉排气筒（</w:t>
            </w:r>
            <w:r>
              <w:rPr>
                <w:rFonts w:hint="eastAsia"/>
                <w:color w:val="auto"/>
                <w:sz w:val="24"/>
                <w:lang w:val="en-US" w:eastAsia="zh-CN"/>
              </w:rPr>
              <w:t>DA00</w:t>
            </w:r>
            <w:r>
              <w:rPr>
                <w:color w:val="auto"/>
                <w:szCs w:val="21"/>
              </w:rPr>
              <w:t>1）</w:t>
            </w:r>
          </w:p>
        </w:tc>
        <w:tc>
          <w:tcPr>
            <w:tcW w:w="1425" w:type="dxa"/>
            <w:vAlign w:val="center"/>
          </w:tcPr>
          <w:p w14:paraId="58EDE79F">
            <w:pPr>
              <w:adjustRightInd w:val="0"/>
              <w:snapToGrid w:val="0"/>
              <w:jc w:val="center"/>
              <w:rPr>
                <w:color w:val="auto"/>
                <w:szCs w:val="21"/>
              </w:rPr>
            </w:pPr>
            <w:r>
              <w:rPr>
                <w:rFonts w:hint="eastAsia"/>
                <w:color w:val="auto"/>
                <w:szCs w:val="21"/>
              </w:rPr>
              <w:t>颗粒物、SO</w:t>
            </w:r>
            <w:r>
              <w:rPr>
                <w:rFonts w:hint="eastAsia"/>
                <w:color w:val="auto"/>
                <w:szCs w:val="21"/>
                <w:vertAlign w:val="subscript"/>
              </w:rPr>
              <w:t>2</w:t>
            </w:r>
            <w:r>
              <w:rPr>
                <w:rFonts w:hint="eastAsia"/>
                <w:color w:val="auto"/>
                <w:szCs w:val="21"/>
              </w:rPr>
              <w:t>、NOx</w:t>
            </w:r>
          </w:p>
        </w:tc>
        <w:tc>
          <w:tcPr>
            <w:tcW w:w="1770" w:type="dxa"/>
            <w:vAlign w:val="center"/>
          </w:tcPr>
          <w:p w14:paraId="5ED19BD2">
            <w:pPr>
              <w:adjustRightInd w:val="0"/>
              <w:snapToGrid w:val="0"/>
              <w:jc w:val="center"/>
              <w:rPr>
                <w:color w:val="auto"/>
                <w:szCs w:val="21"/>
              </w:rPr>
            </w:pPr>
            <w:r>
              <w:rPr>
                <w:rFonts w:hint="eastAsia"/>
                <w:color w:val="auto"/>
                <w:szCs w:val="21"/>
                <w:lang w:val="en-US" w:eastAsia="zh-CN"/>
              </w:rPr>
              <w:t>旋风除尘器+</w:t>
            </w:r>
            <w:r>
              <w:rPr>
                <w:rFonts w:hint="eastAsia"/>
                <w:color w:val="auto"/>
                <w:szCs w:val="21"/>
              </w:rPr>
              <w:t>布袋除尘器+40m高排气筒（</w:t>
            </w:r>
            <w:r>
              <w:rPr>
                <w:rFonts w:hint="eastAsia"/>
                <w:color w:val="auto"/>
                <w:sz w:val="24"/>
                <w:lang w:val="en-US" w:eastAsia="zh-CN"/>
              </w:rPr>
              <w:t>DA00</w:t>
            </w:r>
            <w:r>
              <w:rPr>
                <w:rFonts w:hint="eastAsia"/>
                <w:color w:val="auto"/>
                <w:szCs w:val="21"/>
              </w:rPr>
              <w:t>1）</w:t>
            </w:r>
          </w:p>
        </w:tc>
        <w:tc>
          <w:tcPr>
            <w:tcW w:w="1917" w:type="dxa"/>
            <w:vAlign w:val="center"/>
          </w:tcPr>
          <w:p w14:paraId="11F0728F">
            <w:pPr>
              <w:adjustRightInd w:val="0"/>
              <w:snapToGrid w:val="0"/>
              <w:jc w:val="center"/>
              <w:rPr>
                <w:color w:val="auto"/>
                <w:szCs w:val="21"/>
              </w:rPr>
            </w:pPr>
            <w:r>
              <w:rPr>
                <w:color w:val="auto"/>
              </w:rPr>
              <w:t>《锅炉大气污染物排放标准》（GB13271-2014）表2中燃煤锅炉排放浓度限值</w:t>
            </w:r>
          </w:p>
        </w:tc>
      </w:tr>
      <w:tr w14:paraId="03B4F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1C7FA00D">
            <w:pPr>
              <w:adjustRightInd w:val="0"/>
              <w:snapToGrid w:val="0"/>
              <w:jc w:val="center"/>
              <w:rPr>
                <w:rFonts w:ascii="宋体" w:hAnsi="宋体" w:cs="宋体"/>
                <w:color w:val="auto"/>
                <w:szCs w:val="21"/>
              </w:rPr>
            </w:pPr>
          </w:p>
        </w:tc>
        <w:tc>
          <w:tcPr>
            <w:tcW w:w="1910" w:type="dxa"/>
            <w:vAlign w:val="center"/>
          </w:tcPr>
          <w:p w14:paraId="6022195D">
            <w:pPr>
              <w:adjustRightInd w:val="0"/>
              <w:snapToGrid w:val="0"/>
              <w:jc w:val="center"/>
              <w:rPr>
                <w:color w:val="auto"/>
                <w:szCs w:val="21"/>
              </w:rPr>
            </w:pPr>
            <w:r>
              <w:rPr>
                <w:rFonts w:hint="eastAsia"/>
                <w:color w:val="auto"/>
                <w:szCs w:val="21"/>
              </w:rPr>
              <w:t>筛分工段</w:t>
            </w:r>
            <w:r>
              <w:rPr>
                <w:color w:val="auto"/>
                <w:szCs w:val="21"/>
              </w:rPr>
              <w:t>排气筒（</w:t>
            </w:r>
            <w:r>
              <w:rPr>
                <w:rFonts w:hint="eastAsia"/>
                <w:color w:val="auto"/>
                <w:sz w:val="24"/>
                <w:lang w:val="en-US" w:eastAsia="zh-CN"/>
              </w:rPr>
              <w:t>DA00</w:t>
            </w:r>
            <w:r>
              <w:rPr>
                <w:color w:val="auto"/>
                <w:szCs w:val="21"/>
              </w:rPr>
              <w:t>2）</w:t>
            </w:r>
          </w:p>
        </w:tc>
        <w:tc>
          <w:tcPr>
            <w:tcW w:w="1425" w:type="dxa"/>
            <w:vAlign w:val="center"/>
          </w:tcPr>
          <w:p w14:paraId="770F6245">
            <w:pPr>
              <w:adjustRightInd w:val="0"/>
              <w:snapToGrid w:val="0"/>
              <w:jc w:val="center"/>
              <w:rPr>
                <w:color w:val="auto"/>
                <w:szCs w:val="21"/>
              </w:rPr>
            </w:pPr>
            <w:r>
              <w:rPr>
                <w:rFonts w:hint="eastAsia"/>
                <w:color w:val="auto"/>
                <w:szCs w:val="21"/>
              </w:rPr>
              <w:t>颗粒物</w:t>
            </w:r>
          </w:p>
        </w:tc>
        <w:tc>
          <w:tcPr>
            <w:tcW w:w="1770" w:type="dxa"/>
            <w:vAlign w:val="center"/>
          </w:tcPr>
          <w:p w14:paraId="0DB10202">
            <w:pPr>
              <w:adjustRightInd w:val="0"/>
              <w:snapToGrid w:val="0"/>
              <w:jc w:val="center"/>
              <w:rPr>
                <w:color w:val="auto"/>
                <w:szCs w:val="21"/>
              </w:rPr>
            </w:pPr>
            <w:r>
              <w:rPr>
                <w:rFonts w:hint="eastAsia"/>
                <w:color w:val="auto"/>
                <w:szCs w:val="21"/>
                <w:lang w:val="en-US" w:eastAsia="zh-CN"/>
              </w:rPr>
              <w:t>布袋除尘器</w:t>
            </w:r>
            <w:r>
              <w:rPr>
                <w:rFonts w:hint="eastAsia"/>
                <w:color w:val="auto"/>
                <w:szCs w:val="21"/>
              </w:rPr>
              <w:t>+15m高排气筒（</w:t>
            </w:r>
            <w:r>
              <w:rPr>
                <w:rFonts w:hint="eastAsia"/>
                <w:color w:val="auto"/>
                <w:sz w:val="24"/>
                <w:lang w:val="en-US" w:eastAsia="zh-CN"/>
              </w:rPr>
              <w:t>DA00</w:t>
            </w:r>
            <w:r>
              <w:rPr>
                <w:rFonts w:hint="eastAsia"/>
                <w:color w:val="auto"/>
                <w:szCs w:val="21"/>
              </w:rPr>
              <w:t>2）</w:t>
            </w:r>
          </w:p>
        </w:tc>
        <w:tc>
          <w:tcPr>
            <w:tcW w:w="1917" w:type="dxa"/>
            <w:vAlign w:val="center"/>
          </w:tcPr>
          <w:p w14:paraId="4D6D5ADC">
            <w:pPr>
              <w:adjustRightInd w:val="0"/>
              <w:snapToGrid w:val="0"/>
              <w:jc w:val="center"/>
              <w:rPr>
                <w:color w:val="auto"/>
                <w:szCs w:val="21"/>
              </w:rPr>
            </w:pPr>
            <w:r>
              <w:rPr>
                <w:color w:val="auto"/>
                <w:szCs w:val="21"/>
              </w:rPr>
              <w:t>《大气污染物综合排放标准》（GB16297-1996）表2中二级标准排放速率要求及浓度限值</w:t>
            </w:r>
          </w:p>
        </w:tc>
      </w:tr>
      <w:tr w14:paraId="1EDF88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59EBB1E4">
            <w:pPr>
              <w:adjustRightInd w:val="0"/>
              <w:snapToGrid w:val="0"/>
              <w:jc w:val="center"/>
              <w:rPr>
                <w:rFonts w:ascii="宋体" w:hAnsi="宋体" w:cs="宋体"/>
                <w:color w:val="auto"/>
                <w:szCs w:val="21"/>
              </w:rPr>
            </w:pPr>
          </w:p>
        </w:tc>
        <w:tc>
          <w:tcPr>
            <w:tcW w:w="1910" w:type="dxa"/>
            <w:vAlign w:val="center"/>
          </w:tcPr>
          <w:p w14:paraId="455C6DB9">
            <w:pPr>
              <w:adjustRightInd w:val="0"/>
              <w:snapToGrid w:val="0"/>
              <w:jc w:val="center"/>
              <w:rPr>
                <w:rFonts w:hint="eastAsia"/>
                <w:color w:val="auto"/>
                <w:szCs w:val="21"/>
              </w:rPr>
            </w:pPr>
            <w:r>
              <w:rPr>
                <w:rFonts w:hint="eastAsia"/>
                <w:color w:val="auto"/>
                <w:szCs w:val="21"/>
              </w:rPr>
              <w:t>烘干工段</w:t>
            </w:r>
            <w:r>
              <w:rPr>
                <w:color w:val="auto"/>
                <w:szCs w:val="21"/>
              </w:rPr>
              <w:t>排气筒（</w:t>
            </w:r>
            <w:r>
              <w:rPr>
                <w:rFonts w:hint="eastAsia"/>
                <w:color w:val="auto"/>
                <w:sz w:val="24"/>
                <w:lang w:val="en-US" w:eastAsia="zh-CN"/>
              </w:rPr>
              <w:t>DA00</w:t>
            </w:r>
            <w:r>
              <w:rPr>
                <w:rFonts w:hint="eastAsia"/>
                <w:color w:val="auto"/>
                <w:szCs w:val="21"/>
                <w:lang w:val="en-US" w:eastAsia="zh-CN"/>
              </w:rPr>
              <w:t>3</w:t>
            </w:r>
            <w:r>
              <w:rPr>
                <w:color w:val="auto"/>
                <w:szCs w:val="21"/>
              </w:rPr>
              <w:t>）</w:t>
            </w:r>
          </w:p>
        </w:tc>
        <w:tc>
          <w:tcPr>
            <w:tcW w:w="1425" w:type="dxa"/>
            <w:vAlign w:val="center"/>
          </w:tcPr>
          <w:p w14:paraId="20D3E607">
            <w:pPr>
              <w:adjustRightInd w:val="0"/>
              <w:snapToGrid w:val="0"/>
              <w:jc w:val="center"/>
              <w:rPr>
                <w:rFonts w:hint="eastAsia"/>
                <w:color w:val="auto"/>
                <w:szCs w:val="21"/>
              </w:rPr>
            </w:pPr>
            <w:r>
              <w:rPr>
                <w:rFonts w:hint="eastAsia"/>
                <w:color w:val="auto"/>
                <w:szCs w:val="21"/>
              </w:rPr>
              <w:t>颗粒物</w:t>
            </w:r>
          </w:p>
        </w:tc>
        <w:tc>
          <w:tcPr>
            <w:tcW w:w="1770" w:type="dxa"/>
            <w:vAlign w:val="center"/>
          </w:tcPr>
          <w:p w14:paraId="48F95AE6">
            <w:pPr>
              <w:adjustRightInd w:val="0"/>
              <w:snapToGrid w:val="0"/>
              <w:jc w:val="center"/>
              <w:rPr>
                <w:rFonts w:hint="eastAsia"/>
                <w:color w:val="auto"/>
                <w:szCs w:val="21"/>
                <w:lang w:val="en-US" w:eastAsia="zh-CN"/>
              </w:rPr>
            </w:pPr>
            <w:r>
              <w:rPr>
                <w:rFonts w:hint="eastAsia"/>
                <w:color w:val="auto"/>
                <w:szCs w:val="21"/>
                <w:lang w:eastAsia="zh-CN"/>
              </w:rPr>
              <w:t>布袋除尘器</w:t>
            </w:r>
            <w:r>
              <w:rPr>
                <w:rFonts w:hint="eastAsia"/>
                <w:color w:val="auto"/>
                <w:szCs w:val="21"/>
              </w:rPr>
              <w:t>+15m高排气筒（</w:t>
            </w:r>
            <w:r>
              <w:rPr>
                <w:rFonts w:hint="eastAsia"/>
                <w:color w:val="auto"/>
                <w:sz w:val="24"/>
                <w:lang w:val="en-US" w:eastAsia="zh-CN"/>
              </w:rPr>
              <w:t>DA00</w:t>
            </w:r>
            <w:r>
              <w:rPr>
                <w:rFonts w:hint="eastAsia"/>
                <w:color w:val="auto"/>
                <w:szCs w:val="21"/>
                <w:lang w:val="en-US" w:eastAsia="zh-CN"/>
              </w:rPr>
              <w:t>5</w:t>
            </w:r>
            <w:r>
              <w:rPr>
                <w:rFonts w:hint="eastAsia"/>
                <w:color w:val="auto"/>
                <w:szCs w:val="21"/>
              </w:rPr>
              <w:t>）</w:t>
            </w:r>
          </w:p>
        </w:tc>
        <w:tc>
          <w:tcPr>
            <w:tcW w:w="1917" w:type="dxa"/>
            <w:vAlign w:val="center"/>
          </w:tcPr>
          <w:p w14:paraId="730EA775">
            <w:pPr>
              <w:adjustRightInd w:val="0"/>
              <w:snapToGrid w:val="0"/>
              <w:jc w:val="center"/>
              <w:rPr>
                <w:color w:val="auto"/>
                <w:szCs w:val="21"/>
              </w:rPr>
            </w:pPr>
            <w:r>
              <w:rPr>
                <w:color w:val="auto"/>
                <w:szCs w:val="21"/>
              </w:rPr>
              <w:t>《大气污染物综合排放标准》（GB16297-1996）表2中二级标准排放速率要求及浓度限值</w:t>
            </w:r>
          </w:p>
        </w:tc>
      </w:tr>
      <w:tr w14:paraId="33C09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508D228D">
            <w:pPr>
              <w:adjustRightInd w:val="0"/>
              <w:snapToGrid w:val="0"/>
              <w:jc w:val="center"/>
              <w:rPr>
                <w:rFonts w:ascii="宋体" w:hAnsi="宋体" w:cs="宋体"/>
                <w:color w:val="auto"/>
                <w:szCs w:val="21"/>
              </w:rPr>
            </w:pPr>
          </w:p>
        </w:tc>
        <w:tc>
          <w:tcPr>
            <w:tcW w:w="1910" w:type="dxa"/>
            <w:vAlign w:val="center"/>
          </w:tcPr>
          <w:p w14:paraId="29D4B00D">
            <w:pPr>
              <w:adjustRightInd w:val="0"/>
              <w:snapToGrid w:val="0"/>
              <w:jc w:val="center"/>
              <w:rPr>
                <w:color w:val="auto"/>
                <w:szCs w:val="21"/>
              </w:rPr>
            </w:pPr>
            <w:r>
              <w:rPr>
                <w:rFonts w:hint="eastAsia"/>
                <w:color w:val="auto"/>
                <w:szCs w:val="21"/>
              </w:rPr>
              <w:t>溶剂（</w:t>
            </w:r>
            <w:r>
              <w:rPr>
                <w:rFonts w:hint="eastAsia"/>
                <w:color w:val="auto"/>
                <w:sz w:val="24"/>
                <w:lang w:val="en-US" w:eastAsia="zh-CN"/>
              </w:rPr>
              <w:t>DA00</w:t>
            </w:r>
            <w:r>
              <w:rPr>
                <w:rFonts w:hint="eastAsia"/>
                <w:color w:val="auto"/>
                <w:szCs w:val="21"/>
                <w:lang w:val="en-US" w:eastAsia="zh-CN"/>
              </w:rPr>
              <w:t>4</w:t>
            </w:r>
            <w:r>
              <w:rPr>
                <w:rFonts w:hint="eastAsia"/>
                <w:color w:val="auto"/>
                <w:szCs w:val="21"/>
              </w:rPr>
              <w:t>）</w:t>
            </w:r>
          </w:p>
        </w:tc>
        <w:tc>
          <w:tcPr>
            <w:tcW w:w="1425" w:type="dxa"/>
            <w:vAlign w:val="center"/>
          </w:tcPr>
          <w:p w14:paraId="645832E1">
            <w:pPr>
              <w:adjustRightInd w:val="0"/>
              <w:snapToGrid w:val="0"/>
              <w:jc w:val="center"/>
              <w:rPr>
                <w:color w:val="auto"/>
                <w:szCs w:val="21"/>
              </w:rPr>
            </w:pPr>
            <w:r>
              <w:rPr>
                <w:rFonts w:hint="eastAsia"/>
                <w:color w:val="auto"/>
                <w:szCs w:val="21"/>
              </w:rPr>
              <w:t>有机废气</w:t>
            </w:r>
          </w:p>
        </w:tc>
        <w:tc>
          <w:tcPr>
            <w:tcW w:w="1770" w:type="dxa"/>
            <w:vAlign w:val="center"/>
          </w:tcPr>
          <w:p w14:paraId="25BECAFB">
            <w:pPr>
              <w:pStyle w:val="11"/>
              <w:jc w:val="center"/>
              <w:rPr>
                <w:color w:val="auto"/>
                <w:szCs w:val="21"/>
              </w:rPr>
            </w:pPr>
            <w:r>
              <w:rPr>
                <w:color w:val="auto"/>
                <w:szCs w:val="21"/>
              </w:rPr>
              <w:t>有机废气经冷凝装置经冷凝器+石蜡回收塔处理后废气统一由</w:t>
            </w:r>
            <w:r>
              <w:rPr>
                <w:rFonts w:hint="eastAsia"/>
                <w:color w:val="auto"/>
                <w:szCs w:val="21"/>
                <w:lang w:val="en-US" w:eastAsia="zh-CN"/>
              </w:rPr>
              <w:t>20</w:t>
            </w:r>
            <w:r>
              <w:rPr>
                <w:color w:val="auto"/>
                <w:szCs w:val="21"/>
              </w:rPr>
              <w:t>m高排气筒（</w:t>
            </w:r>
            <w:r>
              <w:rPr>
                <w:rFonts w:hint="eastAsia"/>
                <w:color w:val="auto"/>
                <w:sz w:val="24"/>
                <w:lang w:val="en-US" w:eastAsia="zh-CN"/>
              </w:rPr>
              <w:t>DA00</w:t>
            </w:r>
            <w:r>
              <w:rPr>
                <w:color w:val="auto"/>
                <w:szCs w:val="21"/>
              </w:rPr>
              <w:t>3）排放</w:t>
            </w:r>
          </w:p>
        </w:tc>
        <w:tc>
          <w:tcPr>
            <w:tcW w:w="1917" w:type="dxa"/>
            <w:vAlign w:val="center"/>
          </w:tcPr>
          <w:p w14:paraId="6149AA94">
            <w:pPr>
              <w:autoSpaceDE w:val="0"/>
              <w:autoSpaceDN w:val="0"/>
              <w:adjustRightInd w:val="0"/>
              <w:ind w:right="-20"/>
              <w:jc w:val="center"/>
              <w:rPr>
                <w:color w:val="auto"/>
                <w:szCs w:val="21"/>
              </w:rPr>
            </w:pPr>
            <w:r>
              <w:rPr>
                <w:color w:val="auto"/>
                <w:szCs w:val="21"/>
              </w:rPr>
              <w:t>《大气污染物综合排放标准》（GB16297-1996）二级标准</w:t>
            </w:r>
            <w:r>
              <w:rPr>
                <w:rFonts w:hint="eastAsia"/>
                <w:color w:val="auto"/>
                <w:szCs w:val="21"/>
              </w:rPr>
              <w:t>、</w:t>
            </w:r>
            <w:r>
              <w:rPr>
                <w:color w:val="auto"/>
                <w:szCs w:val="21"/>
              </w:rPr>
              <w:t>《挥发性有机物无组织排放控制标准》</w:t>
            </w:r>
          </w:p>
        </w:tc>
      </w:tr>
      <w:tr w14:paraId="4DEA4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238C9772">
            <w:pPr>
              <w:adjustRightInd w:val="0"/>
              <w:snapToGrid w:val="0"/>
              <w:jc w:val="center"/>
              <w:rPr>
                <w:rFonts w:ascii="宋体" w:hAnsi="宋体" w:cs="宋体"/>
                <w:color w:val="auto"/>
                <w:szCs w:val="21"/>
              </w:rPr>
            </w:pPr>
          </w:p>
        </w:tc>
        <w:tc>
          <w:tcPr>
            <w:tcW w:w="1910" w:type="dxa"/>
            <w:vAlign w:val="center"/>
          </w:tcPr>
          <w:p w14:paraId="0F8E0192">
            <w:pPr>
              <w:adjustRightInd w:val="0"/>
              <w:snapToGrid w:val="0"/>
              <w:jc w:val="center"/>
              <w:rPr>
                <w:rFonts w:hint="default" w:eastAsia="宋体"/>
                <w:color w:val="auto"/>
                <w:szCs w:val="21"/>
                <w:lang w:val="en-US" w:eastAsia="zh-CN"/>
              </w:rPr>
            </w:pPr>
            <w:r>
              <w:rPr>
                <w:rFonts w:hint="eastAsia"/>
                <w:color w:val="auto"/>
                <w:szCs w:val="21"/>
                <w:lang w:val="en-US" w:eastAsia="zh-CN"/>
              </w:rPr>
              <w:t>污水处理站排气筒</w:t>
            </w:r>
            <w:r>
              <w:rPr>
                <w:rFonts w:hint="eastAsia"/>
                <w:color w:val="auto"/>
                <w:szCs w:val="21"/>
              </w:rPr>
              <w:t>（</w:t>
            </w:r>
            <w:r>
              <w:rPr>
                <w:rFonts w:hint="eastAsia"/>
                <w:color w:val="auto"/>
                <w:sz w:val="24"/>
                <w:lang w:val="en-US" w:eastAsia="zh-CN"/>
              </w:rPr>
              <w:t>DA00</w:t>
            </w:r>
            <w:r>
              <w:rPr>
                <w:rFonts w:hint="eastAsia"/>
                <w:color w:val="auto"/>
                <w:szCs w:val="21"/>
                <w:lang w:val="en-US" w:eastAsia="zh-CN"/>
              </w:rPr>
              <w:t>5</w:t>
            </w:r>
            <w:r>
              <w:rPr>
                <w:rFonts w:hint="eastAsia"/>
                <w:color w:val="auto"/>
                <w:szCs w:val="21"/>
              </w:rPr>
              <w:t>）</w:t>
            </w:r>
          </w:p>
        </w:tc>
        <w:tc>
          <w:tcPr>
            <w:tcW w:w="1425" w:type="dxa"/>
            <w:vAlign w:val="center"/>
          </w:tcPr>
          <w:p w14:paraId="012FE73F">
            <w:pPr>
              <w:adjustRightInd w:val="0"/>
              <w:snapToGrid w:val="0"/>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硫化氢</w:t>
            </w:r>
          </w:p>
          <w:p w14:paraId="744D9BCB">
            <w:pPr>
              <w:adjustRightInd w:val="0"/>
              <w:snapToGrid w:val="0"/>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rPr>
              <w:t>氨</w:t>
            </w:r>
            <w:r>
              <w:rPr>
                <w:rFonts w:hint="eastAsia" w:ascii="Times New Roman" w:hAnsi="Times New Roman" w:eastAsia="宋体" w:cs="Times New Roman"/>
                <w:color w:val="auto"/>
                <w:szCs w:val="21"/>
                <w:lang w:eastAsia="zh-CN"/>
              </w:rPr>
              <w:t>气</w:t>
            </w:r>
          </w:p>
          <w:p w14:paraId="2632A094">
            <w:pPr>
              <w:adjustRightInd w:val="0"/>
              <w:snapToGrid w:val="0"/>
              <w:jc w:val="center"/>
              <w:rPr>
                <w:rFonts w:hint="default" w:eastAsia="宋体"/>
                <w:color w:val="auto"/>
                <w:szCs w:val="21"/>
                <w:lang w:val="en-US" w:eastAsia="zh-CN"/>
              </w:rPr>
            </w:pPr>
            <w:r>
              <w:rPr>
                <w:rFonts w:hint="eastAsia" w:ascii="Times New Roman" w:hAnsi="Times New Roman" w:eastAsia="宋体" w:cs="Times New Roman"/>
                <w:color w:val="auto"/>
                <w:szCs w:val="21"/>
              </w:rPr>
              <w:t>臭气浓度</w:t>
            </w:r>
          </w:p>
        </w:tc>
        <w:tc>
          <w:tcPr>
            <w:tcW w:w="1770" w:type="dxa"/>
            <w:vAlign w:val="center"/>
          </w:tcPr>
          <w:p w14:paraId="2DBA9CE0">
            <w:pPr>
              <w:pStyle w:val="11"/>
              <w:jc w:val="center"/>
              <w:rPr>
                <w:rFonts w:hint="eastAsia" w:eastAsia="宋体"/>
                <w:color w:val="auto"/>
                <w:szCs w:val="21"/>
                <w:lang w:val="en-US" w:eastAsia="zh-CN"/>
              </w:rPr>
            </w:pPr>
            <w:r>
              <w:rPr>
                <w:rFonts w:hint="eastAsia"/>
                <w:color w:val="auto"/>
                <w:szCs w:val="21"/>
                <w:lang w:val="en-US" w:eastAsia="zh-CN"/>
              </w:rPr>
              <w:t>F活性炭吸附</w:t>
            </w:r>
            <w:r>
              <w:rPr>
                <w:rFonts w:hint="eastAsia"/>
                <w:color w:val="auto"/>
                <w:szCs w:val="21"/>
              </w:rPr>
              <w:t>+15m高排气筒（</w:t>
            </w:r>
            <w:r>
              <w:rPr>
                <w:rFonts w:hint="eastAsia"/>
                <w:color w:val="auto"/>
                <w:sz w:val="24"/>
                <w:lang w:val="en-US" w:eastAsia="zh-CN"/>
              </w:rPr>
              <w:t>DA00</w:t>
            </w:r>
            <w:r>
              <w:rPr>
                <w:rFonts w:hint="eastAsia"/>
                <w:color w:val="auto"/>
                <w:szCs w:val="21"/>
                <w:lang w:val="en-US" w:eastAsia="zh-CN"/>
              </w:rPr>
              <w:t>4</w:t>
            </w:r>
            <w:r>
              <w:rPr>
                <w:rFonts w:hint="eastAsia"/>
                <w:color w:val="auto"/>
                <w:szCs w:val="21"/>
                <w:lang w:eastAsia="zh-CN"/>
              </w:rPr>
              <w:t>）</w:t>
            </w:r>
          </w:p>
        </w:tc>
        <w:tc>
          <w:tcPr>
            <w:tcW w:w="1917" w:type="dxa"/>
            <w:vAlign w:val="center"/>
          </w:tcPr>
          <w:p w14:paraId="1028964B">
            <w:pPr>
              <w:autoSpaceDE w:val="0"/>
              <w:autoSpaceDN w:val="0"/>
              <w:adjustRightInd w:val="0"/>
              <w:ind w:right="-20"/>
              <w:jc w:val="center"/>
              <w:rPr>
                <w:color w:val="auto"/>
                <w:szCs w:val="21"/>
              </w:rPr>
            </w:pPr>
            <w:r>
              <w:rPr>
                <w:color w:val="auto"/>
                <w:kern w:val="0"/>
                <w:szCs w:val="21"/>
              </w:rPr>
              <w:t>《恶臭污染物排放标准》（GB14554-93）表2（</w:t>
            </w:r>
            <w:r>
              <w:rPr>
                <w:rFonts w:hint="eastAsia"/>
                <w:color w:val="auto"/>
                <w:kern w:val="0"/>
                <w:szCs w:val="21"/>
                <w:lang w:val="en-US" w:eastAsia="zh-CN"/>
              </w:rPr>
              <w:t>15</w:t>
            </w:r>
            <w:r>
              <w:rPr>
                <w:color w:val="auto"/>
                <w:kern w:val="0"/>
                <w:szCs w:val="21"/>
              </w:rPr>
              <w:t>m高排气筒）</w:t>
            </w:r>
          </w:p>
        </w:tc>
      </w:tr>
      <w:tr w14:paraId="7362A6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18799C26">
            <w:pPr>
              <w:adjustRightInd w:val="0"/>
              <w:snapToGrid w:val="0"/>
              <w:jc w:val="center"/>
              <w:rPr>
                <w:rFonts w:ascii="宋体" w:hAnsi="宋体" w:cs="宋体"/>
                <w:color w:val="auto"/>
                <w:szCs w:val="21"/>
              </w:rPr>
            </w:pPr>
          </w:p>
        </w:tc>
        <w:tc>
          <w:tcPr>
            <w:tcW w:w="1910" w:type="dxa"/>
            <w:vAlign w:val="center"/>
          </w:tcPr>
          <w:p w14:paraId="4161B768">
            <w:pPr>
              <w:adjustRightInd w:val="0"/>
              <w:snapToGrid w:val="0"/>
              <w:jc w:val="center"/>
              <w:rPr>
                <w:color w:val="auto"/>
                <w:szCs w:val="21"/>
              </w:rPr>
            </w:pPr>
            <w:r>
              <w:rPr>
                <w:rFonts w:hint="eastAsia"/>
                <w:color w:val="auto"/>
                <w:szCs w:val="21"/>
              </w:rPr>
              <w:t>储罐大小呼吸</w:t>
            </w:r>
          </w:p>
        </w:tc>
        <w:tc>
          <w:tcPr>
            <w:tcW w:w="1425" w:type="dxa"/>
            <w:vAlign w:val="center"/>
          </w:tcPr>
          <w:p w14:paraId="4CEA0AB2">
            <w:pPr>
              <w:jc w:val="center"/>
              <w:rPr>
                <w:rFonts w:ascii="宋体" w:hAnsi="宋体" w:cs="宋体"/>
                <w:color w:val="auto"/>
                <w:szCs w:val="21"/>
              </w:rPr>
            </w:pPr>
            <w:r>
              <w:rPr>
                <w:rFonts w:hint="eastAsia" w:ascii="宋体" w:hAnsi="宋体" w:cs="宋体"/>
                <w:color w:val="auto"/>
                <w:szCs w:val="21"/>
              </w:rPr>
              <w:t>非甲烷总烃</w:t>
            </w:r>
          </w:p>
        </w:tc>
        <w:tc>
          <w:tcPr>
            <w:tcW w:w="1770" w:type="dxa"/>
            <w:vAlign w:val="center"/>
          </w:tcPr>
          <w:p w14:paraId="4F287C9F">
            <w:pPr>
              <w:pStyle w:val="173"/>
              <w:spacing w:line="240" w:lineRule="auto"/>
              <w:ind w:firstLine="0" w:firstLineChars="0"/>
              <w:jc w:val="center"/>
              <w:rPr>
                <w:rFonts w:ascii="宋体" w:hAnsi="宋体" w:cs="宋体"/>
                <w:b w:val="0"/>
                <w:color w:val="auto"/>
                <w:sz w:val="21"/>
                <w:szCs w:val="21"/>
              </w:rPr>
            </w:pPr>
            <w:r>
              <w:rPr>
                <w:rFonts w:hint="eastAsia" w:ascii="宋体" w:hAnsi="宋体" w:cs="宋体"/>
                <w:b w:val="0"/>
                <w:color w:val="auto"/>
                <w:sz w:val="21"/>
                <w:szCs w:val="21"/>
              </w:rPr>
              <w:t>加强设备密闭性，同时加强油罐管理，减小油罐大小呼吸废气</w:t>
            </w:r>
          </w:p>
        </w:tc>
        <w:tc>
          <w:tcPr>
            <w:tcW w:w="1917" w:type="dxa"/>
            <w:vAlign w:val="center"/>
          </w:tcPr>
          <w:p w14:paraId="5A73C874">
            <w:pPr>
              <w:pStyle w:val="70"/>
              <w:rPr>
                <w:rFonts w:ascii="宋体" w:hAnsi="宋体" w:cs="宋体"/>
                <w:color w:val="auto"/>
                <w:kern w:val="0"/>
                <w:szCs w:val="21"/>
              </w:rPr>
            </w:pPr>
            <w:r>
              <w:rPr>
                <w:rFonts w:hint="eastAsia" w:ascii="宋体" w:hAnsi="宋体" w:cs="宋体"/>
                <w:color w:val="auto"/>
                <w:kern w:val="0"/>
                <w:szCs w:val="21"/>
              </w:rPr>
              <w:t>厂内与厂界无组织非甲烷总烃分别执行《大气污染物综合排放标准》</w:t>
            </w:r>
          </w:p>
          <w:p w14:paraId="11D79346">
            <w:pPr>
              <w:pStyle w:val="70"/>
              <w:rPr>
                <w:rFonts w:ascii="宋体" w:hAnsi="宋体" w:cs="宋体"/>
                <w:color w:val="auto"/>
                <w:kern w:val="0"/>
                <w:szCs w:val="21"/>
              </w:rPr>
            </w:pPr>
            <w:r>
              <w:rPr>
                <w:rFonts w:hint="eastAsia" w:ascii="宋体" w:hAnsi="宋体" w:cs="宋体"/>
                <w:color w:val="auto"/>
                <w:kern w:val="0"/>
                <w:szCs w:val="21"/>
              </w:rPr>
              <w:t>（DB32/4041-2021）表2、表3中的NMHC其他标准限值</w:t>
            </w:r>
          </w:p>
        </w:tc>
      </w:tr>
      <w:tr w14:paraId="2B0C6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1778" w:type="dxa"/>
            <w:vMerge w:val="restart"/>
            <w:vAlign w:val="center"/>
          </w:tcPr>
          <w:p w14:paraId="11A9C085">
            <w:pPr>
              <w:adjustRightInd w:val="0"/>
              <w:snapToGrid w:val="0"/>
              <w:jc w:val="center"/>
              <w:rPr>
                <w:rFonts w:ascii="宋体" w:hAnsi="宋体" w:cs="宋体"/>
                <w:color w:val="auto"/>
                <w:szCs w:val="21"/>
              </w:rPr>
            </w:pPr>
            <w:r>
              <w:rPr>
                <w:rFonts w:hint="eastAsia" w:ascii="宋体" w:hAnsi="宋体" w:cs="宋体"/>
                <w:color w:val="auto"/>
                <w:szCs w:val="21"/>
              </w:rPr>
              <w:t>地表水环境</w:t>
            </w:r>
          </w:p>
        </w:tc>
        <w:tc>
          <w:tcPr>
            <w:tcW w:w="1910" w:type="dxa"/>
            <w:vAlign w:val="center"/>
          </w:tcPr>
          <w:p w14:paraId="69021073">
            <w:pPr>
              <w:jc w:val="center"/>
              <w:rPr>
                <w:color w:val="auto"/>
                <w:szCs w:val="21"/>
              </w:rPr>
            </w:pPr>
            <w:r>
              <w:rPr>
                <w:color w:val="auto"/>
                <w:szCs w:val="21"/>
              </w:rPr>
              <w:t>生活</w:t>
            </w:r>
            <w:r>
              <w:rPr>
                <w:rFonts w:hint="eastAsia"/>
                <w:color w:val="auto"/>
                <w:szCs w:val="21"/>
              </w:rPr>
              <w:t>污</w:t>
            </w:r>
            <w:r>
              <w:rPr>
                <w:color w:val="auto"/>
                <w:szCs w:val="21"/>
              </w:rPr>
              <w:t>水</w:t>
            </w:r>
          </w:p>
        </w:tc>
        <w:tc>
          <w:tcPr>
            <w:tcW w:w="1425" w:type="dxa"/>
            <w:vAlign w:val="center"/>
          </w:tcPr>
          <w:p w14:paraId="00C6E8F3">
            <w:pPr>
              <w:jc w:val="center"/>
              <w:rPr>
                <w:color w:val="auto"/>
                <w:szCs w:val="21"/>
              </w:rPr>
            </w:pPr>
            <w:r>
              <w:rPr>
                <w:color w:val="auto"/>
                <w:szCs w:val="21"/>
              </w:rPr>
              <w:t>COD</w:t>
            </w:r>
            <w:r>
              <w:rPr>
                <w:rFonts w:hint="eastAsia"/>
                <w:color w:val="auto"/>
                <w:szCs w:val="21"/>
              </w:rPr>
              <w:t>、BOD</w:t>
            </w:r>
            <w:r>
              <w:rPr>
                <w:rFonts w:hint="eastAsia"/>
                <w:color w:val="auto"/>
                <w:szCs w:val="21"/>
                <w:vertAlign w:val="subscript"/>
              </w:rPr>
              <w:t>5</w:t>
            </w:r>
            <w:r>
              <w:rPr>
                <w:rFonts w:hint="eastAsia"/>
                <w:color w:val="auto"/>
                <w:szCs w:val="21"/>
              </w:rPr>
              <w:t>、氨氮、SS</w:t>
            </w:r>
          </w:p>
        </w:tc>
        <w:tc>
          <w:tcPr>
            <w:tcW w:w="1770" w:type="dxa"/>
            <w:vAlign w:val="center"/>
          </w:tcPr>
          <w:p w14:paraId="5426450A">
            <w:pPr>
              <w:adjustRightInd w:val="0"/>
              <w:snapToGrid w:val="0"/>
              <w:jc w:val="both"/>
              <w:rPr>
                <w:rFonts w:hint="default" w:eastAsia="宋体"/>
                <w:color w:val="auto"/>
                <w:szCs w:val="21"/>
                <w:lang w:val="en-US" w:eastAsia="zh-CN"/>
              </w:rPr>
            </w:pPr>
            <w:r>
              <w:rPr>
                <w:rFonts w:hint="eastAsia"/>
                <w:color w:val="auto"/>
                <w:szCs w:val="21"/>
                <w:lang w:val="en-US" w:eastAsia="zh-CN"/>
              </w:rPr>
              <w:t>经过污水处理站进入</w:t>
            </w:r>
            <w:r>
              <w:rPr>
                <w:rFonts w:hint="eastAsia" w:cs="Times New Roman"/>
                <w:color w:val="auto"/>
                <w:szCs w:val="21"/>
                <w:lang w:val="en-US" w:eastAsia="zh-CN"/>
              </w:rPr>
              <w:t>桦南浦华净源水务有限公司（桦南县污水处理厂）</w:t>
            </w:r>
          </w:p>
        </w:tc>
        <w:tc>
          <w:tcPr>
            <w:tcW w:w="1917" w:type="dxa"/>
            <w:vMerge w:val="restart"/>
            <w:vAlign w:val="center"/>
          </w:tcPr>
          <w:p w14:paraId="34E072F1">
            <w:pPr>
              <w:adjustRightInd w:val="0"/>
              <w:snapToGrid w:val="0"/>
              <w:jc w:val="center"/>
              <w:rPr>
                <w:color w:val="auto"/>
                <w:szCs w:val="21"/>
              </w:rPr>
            </w:pPr>
            <w:r>
              <w:rPr>
                <w:color w:val="auto"/>
                <w:szCs w:val="21"/>
              </w:rPr>
              <w:t>《污水综合排放标准》（GB8978-2002）中三级标准及</w:t>
            </w:r>
            <w:r>
              <w:rPr>
                <w:rFonts w:hint="eastAsia"/>
                <w:color w:val="auto"/>
                <w:szCs w:val="21"/>
                <w:lang w:eastAsia="zh-CN"/>
              </w:rPr>
              <w:t>桦南</w:t>
            </w:r>
            <w:r>
              <w:rPr>
                <w:color w:val="auto"/>
                <w:szCs w:val="21"/>
              </w:rPr>
              <w:t>县城镇污水处理厂进水水质要求</w:t>
            </w:r>
          </w:p>
        </w:tc>
      </w:tr>
      <w:tr w14:paraId="774158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1778" w:type="dxa"/>
            <w:vMerge w:val="continue"/>
            <w:vAlign w:val="center"/>
          </w:tcPr>
          <w:p w14:paraId="32060BDD">
            <w:pPr>
              <w:adjustRightInd w:val="0"/>
              <w:snapToGrid w:val="0"/>
              <w:jc w:val="center"/>
              <w:rPr>
                <w:rFonts w:hint="eastAsia" w:ascii="宋体" w:hAnsi="宋体" w:cs="宋体"/>
                <w:color w:val="auto"/>
                <w:szCs w:val="21"/>
              </w:rPr>
            </w:pPr>
          </w:p>
        </w:tc>
        <w:tc>
          <w:tcPr>
            <w:tcW w:w="1910" w:type="dxa"/>
            <w:vAlign w:val="center"/>
          </w:tcPr>
          <w:p w14:paraId="58478BD2">
            <w:pPr>
              <w:jc w:val="center"/>
              <w:rPr>
                <w:rFonts w:hint="eastAsia" w:eastAsia="宋体"/>
                <w:color w:val="auto"/>
                <w:szCs w:val="21"/>
                <w:lang w:eastAsia="zh-CN"/>
              </w:rPr>
            </w:pPr>
            <w:r>
              <w:rPr>
                <w:rFonts w:hint="eastAsia"/>
                <w:color w:val="auto"/>
                <w:szCs w:val="21"/>
                <w:lang w:eastAsia="zh-CN"/>
              </w:rPr>
              <w:t>生产废水</w:t>
            </w:r>
          </w:p>
        </w:tc>
        <w:tc>
          <w:tcPr>
            <w:tcW w:w="1425" w:type="dxa"/>
            <w:vAlign w:val="center"/>
          </w:tcPr>
          <w:p w14:paraId="65C2B51D">
            <w:pPr>
              <w:jc w:val="center"/>
              <w:rPr>
                <w:rFonts w:hint="default" w:eastAsia="宋体"/>
                <w:color w:val="auto"/>
                <w:szCs w:val="21"/>
                <w:lang w:val="en-US" w:eastAsia="zh-CN"/>
              </w:rPr>
            </w:pPr>
            <w:r>
              <w:rPr>
                <w:color w:val="auto"/>
                <w:szCs w:val="21"/>
              </w:rPr>
              <w:t>COD</w:t>
            </w:r>
            <w:r>
              <w:rPr>
                <w:rFonts w:hint="eastAsia"/>
                <w:color w:val="auto"/>
                <w:szCs w:val="21"/>
              </w:rPr>
              <w:t>、BOD</w:t>
            </w:r>
            <w:r>
              <w:rPr>
                <w:rFonts w:hint="eastAsia"/>
                <w:color w:val="auto"/>
                <w:szCs w:val="21"/>
                <w:vertAlign w:val="subscript"/>
              </w:rPr>
              <w:t>5</w:t>
            </w:r>
            <w:r>
              <w:rPr>
                <w:rFonts w:hint="eastAsia"/>
                <w:color w:val="auto"/>
                <w:szCs w:val="21"/>
              </w:rPr>
              <w:t>、氨氮、SS</w:t>
            </w:r>
            <w:r>
              <w:rPr>
                <w:rFonts w:hint="eastAsia"/>
                <w:color w:val="auto"/>
                <w:szCs w:val="21"/>
                <w:lang w:eastAsia="zh-CN"/>
              </w:rPr>
              <w:t>、</w:t>
            </w:r>
            <w:r>
              <w:rPr>
                <w:rFonts w:hint="eastAsia"/>
                <w:color w:val="auto"/>
                <w:szCs w:val="21"/>
                <w:lang w:val="en-US" w:eastAsia="zh-CN"/>
              </w:rPr>
              <w:t>动植物油</w:t>
            </w:r>
          </w:p>
        </w:tc>
        <w:tc>
          <w:tcPr>
            <w:tcW w:w="1770" w:type="dxa"/>
            <w:vAlign w:val="center"/>
          </w:tcPr>
          <w:p w14:paraId="0E413834">
            <w:pPr>
              <w:adjustRightInd w:val="0"/>
              <w:snapToGrid w:val="0"/>
              <w:jc w:val="center"/>
              <w:rPr>
                <w:rFonts w:hint="eastAsia"/>
                <w:color w:val="auto"/>
                <w:szCs w:val="21"/>
              </w:rPr>
            </w:pPr>
            <w:r>
              <w:rPr>
                <w:rFonts w:hint="eastAsia"/>
                <w:color w:val="auto"/>
                <w:szCs w:val="21"/>
                <w:lang w:val="en-US" w:eastAsia="zh-CN"/>
              </w:rPr>
              <w:t>经过污水处理站处理后通过管网排入</w:t>
            </w:r>
            <w:r>
              <w:rPr>
                <w:rFonts w:hint="eastAsia" w:cs="Times New Roman"/>
                <w:color w:val="auto"/>
                <w:szCs w:val="21"/>
                <w:lang w:val="en-US" w:eastAsia="zh-CN"/>
              </w:rPr>
              <w:t>桦南浦华净源水务有限公司（桦南县污水处理厂）</w:t>
            </w:r>
          </w:p>
        </w:tc>
        <w:tc>
          <w:tcPr>
            <w:tcW w:w="1917" w:type="dxa"/>
            <w:vMerge w:val="continue"/>
            <w:vAlign w:val="center"/>
          </w:tcPr>
          <w:p w14:paraId="543A03AC">
            <w:pPr>
              <w:adjustRightInd w:val="0"/>
              <w:snapToGrid w:val="0"/>
              <w:jc w:val="center"/>
              <w:rPr>
                <w:color w:val="auto"/>
                <w:szCs w:val="21"/>
              </w:rPr>
            </w:pPr>
          </w:p>
        </w:tc>
      </w:tr>
      <w:tr w14:paraId="56919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1778" w:type="dxa"/>
            <w:vAlign w:val="center"/>
          </w:tcPr>
          <w:p w14:paraId="49ED8D39">
            <w:pPr>
              <w:adjustRightInd w:val="0"/>
              <w:snapToGrid w:val="0"/>
              <w:jc w:val="center"/>
              <w:rPr>
                <w:rFonts w:ascii="宋体" w:hAnsi="宋体" w:cs="宋体"/>
                <w:color w:val="auto"/>
                <w:szCs w:val="21"/>
              </w:rPr>
            </w:pPr>
            <w:r>
              <w:rPr>
                <w:rFonts w:hint="eastAsia" w:ascii="宋体" w:hAnsi="宋体" w:cs="宋体"/>
                <w:color w:val="auto"/>
                <w:szCs w:val="21"/>
              </w:rPr>
              <w:t>声环境</w:t>
            </w:r>
          </w:p>
        </w:tc>
        <w:tc>
          <w:tcPr>
            <w:tcW w:w="1910" w:type="dxa"/>
            <w:vAlign w:val="center"/>
          </w:tcPr>
          <w:p w14:paraId="4DA6278B">
            <w:pPr>
              <w:jc w:val="center"/>
              <w:rPr>
                <w:color w:val="auto"/>
                <w:szCs w:val="21"/>
              </w:rPr>
            </w:pPr>
            <w:r>
              <w:rPr>
                <w:rFonts w:hint="eastAsia"/>
                <w:color w:val="auto"/>
                <w:szCs w:val="21"/>
              </w:rPr>
              <w:t>生产设备、风机、泵类等</w:t>
            </w:r>
          </w:p>
        </w:tc>
        <w:tc>
          <w:tcPr>
            <w:tcW w:w="1425" w:type="dxa"/>
            <w:vAlign w:val="center"/>
          </w:tcPr>
          <w:p w14:paraId="0B63400B">
            <w:pPr>
              <w:jc w:val="center"/>
              <w:rPr>
                <w:color w:val="auto"/>
                <w:szCs w:val="21"/>
              </w:rPr>
            </w:pPr>
            <w:r>
              <w:rPr>
                <w:color w:val="auto"/>
                <w:szCs w:val="21"/>
              </w:rPr>
              <w:t>噪声</w:t>
            </w:r>
          </w:p>
        </w:tc>
        <w:tc>
          <w:tcPr>
            <w:tcW w:w="1770" w:type="dxa"/>
            <w:vAlign w:val="center"/>
          </w:tcPr>
          <w:p w14:paraId="56C8499C">
            <w:pPr>
              <w:jc w:val="center"/>
              <w:rPr>
                <w:color w:val="auto"/>
                <w:szCs w:val="21"/>
              </w:rPr>
            </w:pPr>
            <w:r>
              <w:rPr>
                <w:rFonts w:hint="eastAsia"/>
                <w:color w:val="auto"/>
                <w:szCs w:val="21"/>
              </w:rPr>
              <w:t>选用低噪声设备、加强设备维护、检修</w:t>
            </w:r>
          </w:p>
        </w:tc>
        <w:tc>
          <w:tcPr>
            <w:tcW w:w="1917" w:type="dxa"/>
            <w:vAlign w:val="center"/>
          </w:tcPr>
          <w:p w14:paraId="3A6AC9FB">
            <w:pPr>
              <w:adjustRightInd w:val="0"/>
              <w:snapToGrid w:val="0"/>
              <w:jc w:val="center"/>
              <w:rPr>
                <w:color w:val="auto"/>
                <w:szCs w:val="21"/>
              </w:rPr>
            </w:pPr>
            <w:r>
              <w:rPr>
                <w:rFonts w:hint="eastAsia"/>
                <w:bCs/>
                <w:color w:val="auto"/>
                <w:szCs w:val="21"/>
              </w:rPr>
              <w:t>《工业企业厂界环境噪声排放标准》（GB12348-2008）</w:t>
            </w:r>
          </w:p>
        </w:tc>
      </w:tr>
      <w:tr w14:paraId="09FC38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43474754">
            <w:pPr>
              <w:spacing w:line="360" w:lineRule="auto"/>
              <w:ind w:firstLine="420" w:firstLineChars="200"/>
              <w:jc w:val="left"/>
              <w:rPr>
                <w:color w:val="auto"/>
                <w:szCs w:val="21"/>
              </w:rPr>
            </w:pPr>
            <w:r>
              <w:rPr>
                <w:color w:val="auto"/>
                <w:szCs w:val="21"/>
              </w:rPr>
              <w:t>固体废物</w:t>
            </w:r>
          </w:p>
        </w:tc>
        <w:tc>
          <w:tcPr>
            <w:tcW w:w="7022" w:type="dxa"/>
            <w:gridSpan w:val="4"/>
            <w:vAlign w:val="center"/>
          </w:tcPr>
          <w:p w14:paraId="19EE148F">
            <w:pPr>
              <w:spacing w:line="360" w:lineRule="auto"/>
              <w:ind w:firstLine="420" w:firstLineChars="200"/>
              <w:jc w:val="left"/>
              <w:rPr>
                <w:rFonts w:hint="eastAsia" w:eastAsia="宋体"/>
                <w:color w:val="auto"/>
                <w:szCs w:val="21"/>
                <w:lang w:eastAsia="zh-CN"/>
              </w:rPr>
            </w:pPr>
            <w:r>
              <w:rPr>
                <w:rFonts w:hint="eastAsia" w:eastAsia="宋体"/>
                <w:color w:val="auto"/>
                <w:szCs w:val="21"/>
                <w:lang w:val="en-US" w:eastAsia="zh-CN"/>
              </w:rPr>
              <w:t>生活垃圾、废包装物统一收集后，由市政环卫部门统一处理；废布袋、废离子交换树脂由厂家回收处理；</w:t>
            </w:r>
            <w:r>
              <w:rPr>
                <w:rFonts w:hint="eastAsia" w:eastAsia="宋体"/>
                <w:color w:val="auto"/>
                <w:szCs w:val="21"/>
                <w:lang w:eastAsia="zh-CN"/>
              </w:rPr>
              <w:t>生产废料、生物质蒸汽锅炉灰渣</w:t>
            </w:r>
            <w:r>
              <w:rPr>
                <w:rFonts w:hint="eastAsia" w:eastAsia="宋体"/>
                <w:color w:val="auto"/>
                <w:szCs w:val="21"/>
                <w:lang w:val="en-US" w:eastAsia="zh-CN"/>
              </w:rPr>
              <w:t>外售综合利用；污水处理站污泥</w:t>
            </w:r>
            <w:r>
              <w:rPr>
                <w:rFonts w:hint="eastAsia" w:eastAsia="宋体"/>
                <w:color w:val="auto"/>
                <w:szCs w:val="21"/>
                <w:lang w:eastAsia="zh-CN"/>
              </w:rPr>
              <w:t>存放在</w:t>
            </w:r>
            <w:r>
              <w:rPr>
                <w:rFonts w:hint="eastAsia" w:eastAsia="宋体"/>
                <w:color w:val="auto"/>
                <w:szCs w:val="21"/>
                <w:lang w:val="en-US" w:eastAsia="zh-CN"/>
              </w:rPr>
              <w:t>固废暂存间交由有处理能力的单位处置</w:t>
            </w:r>
            <w:r>
              <w:rPr>
                <w:rFonts w:hint="eastAsia"/>
                <w:color w:val="auto"/>
                <w:szCs w:val="21"/>
                <w:lang w:val="en-US" w:eastAsia="zh-CN"/>
              </w:rPr>
              <w:t>；废机油暂存于危险废物贮存点，定期交有资质单位处理处置；废活性炭暂放在固废暂存间交由有处理能力的单位处置；</w:t>
            </w:r>
            <w:r>
              <w:rPr>
                <w:rFonts w:hint="eastAsia" w:eastAsia="宋体"/>
                <w:color w:val="auto"/>
                <w:szCs w:val="21"/>
                <w:lang w:val="en-US" w:eastAsia="zh-CN"/>
              </w:rPr>
              <w:t>废油脂采用密闭容器存放，由有资质的单位处理</w:t>
            </w:r>
            <w:r>
              <w:rPr>
                <w:rFonts w:hint="eastAsia"/>
                <w:color w:val="auto"/>
                <w:szCs w:val="21"/>
                <w:lang w:val="en-US" w:eastAsia="zh-CN"/>
              </w:rPr>
              <w:t>。</w:t>
            </w:r>
          </w:p>
        </w:tc>
      </w:tr>
      <w:tr w14:paraId="3871C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5561FBAA">
            <w:pPr>
              <w:adjustRightInd w:val="0"/>
              <w:snapToGrid w:val="0"/>
              <w:jc w:val="center"/>
              <w:rPr>
                <w:rFonts w:ascii="宋体" w:hAnsi="宋体" w:cs="宋体"/>
                <w:color w:val="auto"/>
                <w:spacing w:val="-8"/>
                <w:szCs w:val="21"/>
              </w:rPr>
            </w:pPr>
            <w:r>
              <w:rPr>
                <w:rFonts w:hint="eastAsia" w:ascii="宋体" w:hAnsi="宋体" w:cs="宋体"/>
                <w:color w:val="auto"/>
                <w:spacing w:val="-8"/>
                <w:szCs w:val="21"/>
              </w:rPr>
              <w:t>环境风险</w:t>
            </w:r>
          </w:p>
          <w:p w14:paraId="33411CD7">
            <w:pPr>
              <w:adjustRightInd w:val="0"/>
              <w:snapToGrid w:val="0"/>
              <w:jc w:val="center"/>
              <w:rPr>
                <w:rFonts w:ascii="宋体" w:hAnsi="宋体" w:cs="宋体"/>
                <w:color w:val="auto"/>
                <w:spacing w:val="-8"/>
                <w:szCs w:val="21"/>
              </w:rPr>
            </w:pPr>
            <w:r>
              <w:rPr>
                <w:rFonts w:hint="eastAsia" w:ascii="宋体" w:hAnsi="宋体" w:cs="宋体"/>
                <w:color w:val="auto"/>
                <w:spacing w:val="-8"/>
                <w:szCs w:val="21"/>
              </w:rPr>
              <w:t>防范措施</w:t>
            </w:r>
          </w:p>
        </w:tc>
        <w:tc>
          <w:tcPr>
            <w:tcW w:w="7022" w:type="dxa"/>
            <w:gridSpan w:val="4"/>
            <w:vAlign w:val="center"/>
          </w:tcPr>
          <w:p w14:paraId="23461D58">
            <w:pPr>
              <w:spacing w:line="360" w:lineRule="auto"/>
              <w:ind w:firstLine="420" w:firstLineChars="200"/>
              <w:rPr>
                <w:color w:val="auto"/>
                <w:szCs w:val="21"/>
              </w:rPr>
            </w:pPr>
            <w:r>
              <w:rPr>
                <w:rFonts w:hint="eastAsia"/>
                <w:color w:val="auto"/>
                <w:szCs w:val="21"/>
              </w:rPr>
              <w:t>（1）建议企业委托有资质的单位进行安全评估，建立健全全厂安全管理、技术体系，加强危险源的普查、管理，引入安全检查表，强化系统协调运作，提高事故预防能力，确保安全生产。</w:t>
            </w:r>
          </w:p>
          <w:p w14:paraId="7B221B72">
            <w:pPr>
              <w:spacing w:line="360" w:lineRule="auto"/>
              <w:ind w:firstLine="420" w:firstLineChars="200"/>
              <w:rPr>
                <w:color w:val="auto"/>
                <w:szCs w:val="21"/>
              </w:rPr>
            </w:pPr>
            <w:r>
              <w:rPr>
                <w:rFonts w:hint="eastAsia"/>
                <w:color w:val="auto"/>
                <w:szCs w:val="21"/>
              </w:rPr>
              <w:t>（2）总图布置进行功能分区，分区内部和相互之间保持一定通道和间距；贮存和生产设施的布置应保证生产人员安全操作及疏散方便；厂区围墙两侧建筑物之间应满足消防主管部门规定的防火间距要求；建、构筑物之间的防火间距应符合有关规定；电力线路不应跨越装置区。</w:t>
            </w:r>
          </w:p>
          <w:p w14:paraId="64634570">
            <w:pPr>
              <w:spacing w:line="360" w:lineRule="auto"/>
              <w:ind w:firstLine="420" w:firstLineChars="200"/>
              <w:rPr>
                <w:color w:val="auto"/>
                <w:szCs w:val="21"/>
              </w:rPr>
            </w:pPr>
            <w:r>
              <w:rPr>
                <w:rFonts w:hint="eastAsia"/>
                <w:color w:val="auto"/>
                <w:szCs w:val="21"/>
              </w:rPr>
              <w:t>（3）贮运安全防范措施：燃料存量应根据生产计划进行调整，分垛堆存，垛体积尽量小，垛间确保通风间距，防止内部高温引起自燃；加强职工安全教育，加强防火，达到消防、安全等有关部门的要求。</w:t>
            </w:r>
          </w:p>
          <w:p w14:paraId="013BAA97">
            <w:pPr>
              <w:spacing w:line="360" w:lineRule="auto"/>
              <w:ind w:firstLine="420" w:firstLineChars="200"/>
              <w:rPr>
                <w:color w:val="auto"/>
                <w:szCs w:val="21"/>
              </w:rPr>
            </w:pPr>
            <w:r>
              <w:rPr>
                <w:rFonts w:hint="eastAsia"/>
                <w:color w:val="auto"/>
                <w:szCs w:val="21"/>
              </w:rPr>
              <w:t>（4）工艺技术设计安全防范措施：应按照有关规定和标准合理设计工程的安全监测系统，包括自动监测、报警、紧急切断及紧急停车系统，防火、防爆等事故处理系统，还要完善应急救援设施和救援通道。</w:t>
            </w:r>
          </w:p>
          <w:p w14:paraId="1EE10A96">
            <w:pPr>
              <w:spacing w:line="360" w:lineRule="auto"/>
              <w:ind w:firstLine="420" w:firstLineChars="200"/>
              <w:rPr>
                <w:color w:val="auto"/>
                <w:szCs w:val="21"/>
              </w:rPr>
            </w:pPr>
            <w:r>
              <w:rPr>
                <w:rFonts w:hint="eastAsia"/>
                <w:color w:val="auto"/>
                <w:szCs w:val="21"/>
              </w:rPr>
              <w:t>（5）自动控制的安全防范措施：各生产装置的工艺控制应设置必要的报警自动控制及自动连锁停车的控制设施。</w:t>
            </w:r>
          </w:p>
          <w:p w14:paraId="3C2E020E">
            <w:pPr>
              <w:spacing w:line="360" w:lineRule="auto"/>
              <w:ind w:firstLine="420" w:firstLineChars="200"/>
              <w:rPr>
                <w:color w:val="auto"/>
                <w:szCs w:val="21"/>
              </w:rPr>
            </w:pPr>
            <w:r>
              <w:rPr>
                <w:rFonts w:hint="eastAsia"/>
                <w:color w:val="auto"/>
                <w:szCs w:val="21"/>
              </w:rPr>
              <w:t>（6）电气、电讯安全防范措施：应根据危险区域的等级，正确选择相应类型的级别和组别的电气设备。电气设备的组级别只能高于环境组级别，不能随意降低标准。设计、安装、运行、维修电气设备、线路、仪表等应符合国家有关标准、规程和规范的要求；电气控制设备及导线尽可能远离易燃物质。</w:t>
            </w:r>
          </w:p>
          <w:p w14:paraId="082DDB90">
            <w:pPr>
              <w:spacing w:line="360" w:lineRule="auto"/>
              <w:ind w:firstLine="420" w:firstLineChars="200"/>
              <w:rPr>
                <w:color w:val="auto"/>
                <w:szCs w:val="21"/>
              </w:rPr>
            </w:pPr>
            <w:r>
              <w:rPr>
                <w:rFonts w:hint="eastAsia"/>
                <w:color w:val="auto"/>
                <w:szCs w:val="21"/>
              </w:rPr>
              <w:t>（7）消防及火灾报警系统</w:t>
            </w:r>
          </w:p>
          <w:p w14:paraId="7F99F580">
            <w:pPr>
              <w:spacing w:line="360" w:lineRule="auto"/>
              <w:ind w:firstLine="420" w:firstLineChars="200"/>
              <w:rPr>
                <w:color w:val="auto"/>
                <w:szCs w:val="21"/>
              </w:rPr>
            </w:pPr>
            <w:r>
              <w:rPr>
                <w:rFonts w:hint="eastAsia"/>
                <w:color w:val="auto"/>
                <w:szCs w:val="21"/>
              </w:rPr>
              <w:t>按规定建设消防设施，划分禁火区域，严格按设计要求制订动火制度，消防设施配置安全报警系统、灭火器、消防栓、泡沫灭火站等消防设施。消防给水压力低压给水时，水压应不低于0.2MPa，高压给水时，水压宜在0.7～1.2Mpa。</w:t>
            </w:r>
          </w:p>
          <w:p w14:paraId="3B6F3BA4">
            <w:pPr>
              <w:spacing w:line="360" w:lineRule="auto"/>
              <w:ind w:firstLine="420" w:firstLineChars="200"/>
              <w:rPr>
                <w:rFonts w:hint="eastAsia"/>
                <w:color w:val="auto"/>
                <w:szCs w:val="21"/>
              </w:rPr>
            </w:pPr>
            <w:r>
              <w:rPr>
                <w:rFonts w:hint="eastAsia"/>
                <w:color w:val="auto"/>
                <w:szCs w:val="21"/>
              </w:rPr>
              <w:t>消火栓用水量、消防给水管道、消火栓配置、消防水池的配置应符合的相关要求；固定式泡沫灭火站的设计安装应按照《低倍数泡沫灭火系统设计规范》 进行；灭火器的配置应按照《建筑灭火器配置设计规范》进行。建筑消防设施应进行定期检测，并按有关规定，请当地公安、消防部门进行消防验收。</w:t>
            </w:r>
          </w:p>
          <w:p w14:paraId="5A28966E">
            <w:pPr>
              <w:spacing w:line="360" w:lineRule="auto"/>
              <w:ind w:firstLine="420" w:firstLineChars="200"/>
              <w:rPr>
                <w:color w:val="auto"/>
              </w:rPr>
            </w:pPr>
            <w:r>
              <w:rPr>
                <w:rFonts w:hint="eastAsia" w:cs="Times New Roman"/>
                <w:color w:val="auto"/>
                <w:szCs w:val="21"/>
                <w:lang w:eastAsia="zh-CN"/>
              </w:rPr>
              <w:t>所有地面做防渗混凝土，项目采用分区防渗的方式，将地下溶剂库座、事故池、危险废物贮存点作为重点防渗区。其中危险废物贮存点应符合《危险废物贮存污染控制标准》（GB18597—2023）要求，地下溶剂库座、事故池、危险废物贮存点要满足等效黏土层防渗层Mb≥6.0m，渗透系数K≤1.0×10-7cm/s的防渗要求；浸出车间、糠粕加工车间、液体油罐、固废暂存间等做一般防渗，浸出车间、糠粕加工车间、液体油罐、固废暂存间要满足等效黏土层防渗层Mb≥1.5m，渗透系数K≤1.0×10-7cm/s的防渗要求；厂区其他区域为简单防渗区，采取一般地面水泥硬化。</w:t>
            </w:r>
            <w:r>
              <w:rPr>
                <w:rFonts w:hint="eastAsia" w:ascii="Times New Roman" w:hAnsi="Times New Roman" w:eastAsia="宋体" w:cs="Times New Roman"/>
                <w:color w:val="auto"/>
                <w:szCs w:val="21"/>
                <w:lang w:eastAsia="zh-CN"/>
              </w:rPr>
              <w:t>。</w:t>
            </w:r>
          </w:p>
        </w:tc>
      </w:tr>
      <w:tr w14:paraId="7197A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8" w:hRule="atLeast"/>
          <w:jc w:val="center"/>
        </w:trPr>
        <w:tc>
          <w:tcPr>
            <w:tcW w:w="1778" w:type="dxa"/>
            <w:vAlign w:val="center"/>
          </w:tcPr>
          <w:p w14:paraId="7BAEAE30">
            <w:pPr>
              <w:adjustRightInd w:val="0"/>
              <w:snapToGrid w:val="0"/>
              <w:jc w:val="center"/>
              <w:rPr>
                <w:rFonts w:ascii="宋体" w:hAnsi="宋体" w:cs="宋体"/>
                <w:color w:val="auto"/>
                <w:spacing w:val="-8"/>
                <w:szCs w:val="21"/>
              </w:rPr>
            </w:pPr>
            <w:r>
              <w:rPr>
                <w:rFonts w:hint="eastAsia" w:ascii="宋体" w:hAnsi="宋体" w:cs="宋体"/>
                <w:color w:val="auto"/>
                <w:spacing w:val="-8"/>
                <w:szCs w:val="21"/>
              </w:rPr>
              <w:t>其他环境</w:t>
            </w:r>
          </w:p>
          <w:p w14:paraId="1C8E7509">
            <w:pPr>
              <w:adjustRightInd w:val="0"/>
              <w:snapToGrid w:val="0"/>
              <w:jc w:val="center"/>
              <w:rPr>
                <w:rFonts w:ascii="宋体" w:hAnsi="宋体" w:cs="宋体"/>
                <w:color w:val="auto"/>
                <w:spacing w:val="-8"/>
                <w:szCs w:val="21"/>
              </w:rPr>
            </w:pPr>
            <w:r>
              <w:rPr>
                <w:rFonts w:hint="eastAsia" w:ascii="宋体" w:hAnsi="宋体" w:cs="宋体"/>
                <w:color w:val="auto"/>
                <w:spacing w:val="-8"/>
                <w:szCs w:val="21"/>
              </w:rPr>
              <w:t>管理要求</w:t>
            </w:r>
          </w:p>
        </w:tc>
        <w:tc>
          <w:tcPr>
            <w:tcW w:w="7022" w:type="dxa"/>
            <w:gridSpan w:val="4"/>
            <w:vAlign w:val="center"/>
          </w:tcPr>
          <w:p w14:paraId="1A1F8CF5">
            <w:pPr>
              <w:adjustRightInd w:val="0"/>
              <w:snapToGrid w:val="0"/>
              <w:jc w:val="center"/>
              <w:rPr>
                <w:rFonts w:ascii="宋体" w:hAnsi="宋体" w:cs="宋体"/>
                <w:color w:val="auto"/>
                <w:szCs w:val="21"/>
              </w:rPr>
            </w:pPr>
            <w:r>
              <w:rPr>
                <w:rFonts w:hint="eastAsia" w:ascii="宋体" w:hAnsi="宋体" w:cs="宋体"/>
                <w:color w:val="auto"/>
                <w:szCs w:val="21"/>
              </w:rPr>
              <w:t>排污口规范化、落实监测计划和信息公开制度。</w:t>
            </w:r>
          </w:p>
        </w:tc>
      </w:tr>
    </w:tbl>
    <w:p w14:paraId="66A92DD7">
      <w:pPr>
        <w:pStyle w:val="33"/>
        <w:spacing w:before="0" w:beforeAutospacing="0" w:after="0" w:afterAutospacing="0" w:line="360" w:lineRule="auto"/>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bookmarkStart w:id="53" w:name="_Toc22395"/>
      <w:bookmarkStart w:id="54" w:name="_Toc23008"/>
      <w:r>
        <w:rPr>
          <w:rFonts w:ascii="Times New Roman" w:hAnsi="Times New Roman" w:eastAsia="黑体"/>
          <w:snapToGrid w:val="0"/>
          <w:color w:val="auto"/>
          <w:sz w:val="30"/>
          <w:szCs w:val="30"/>
        </w:rPr>
        <w:t>六、结论</w:t>
      </w:r>
      <w:bookmarkEnd w:id="53"/>
      <w:bookmarkEnd w:id="54"/>
    </w:p>
    <w:tbl>
      <w:tblPr>
        <w:tblStyle w:val="3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853"/>
      </w:tblGrid>
      <w:tr w14:paraId="336B5B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14:paraId="5D55E188">
            <w:pPr>
              <w:spacing w:line="360" w:lineRule="auto"/>
              <w:ind w:firstLine="480" w:firstLineChars="200"/>
              <w:rPr>
                <w:color w:val="auto"/>
                <w:sz w:val="24"/>
              </w:rPr>
            </w:pPr>
            <w:r>
              <w:rPr>
                <w:color w:val="auto"/>
                <w:sz w:val="24"/>
              </w:rPr>
              <w:t>本项目运营期采取的各项环保措施在确保严格落实本报告表提出的污染物防治措施的前提下，对水环境、环境空气、声环境等的影响较小，可以被周围环境所接受。因此，本项目的建设从环境保护的角度而言是可行的。</w:t>
            </w:r>
          </w:p>
          <w:p w14:paraId="540DE9C9">
            <w:pPr>
              <w:spacing w:line="500" w:lineRule="exact"/>
              <w:ind w:firstLine="480" w:firstLineChars="200"/>
              <w:rPr>
                <w:color w:val="auto"/>
                <w:sz w:val="24"/>
              </w:rPr>
            </w:pPr>
          </w:p>
          <w:p w14:paraId="31451DB5">
            <w:pPr>
              <w:spacing w:line="500" w:lineRule="exact"/>
              <w:ind w:firstLine="480" w:firstLineChars="200"/>
              <w:rPr>
                <w:color w:val="auto"/>
                <w:sz w:val="24"/>
              </w:rPr>
            </w:pPr>
          </w:p>
          <w:p w14:paraId="19C5206D">
            <w:pPr>
              <w:spacing w:line="500" w:lineRule="exact"/>
              <w:ind w:firstLine="480" w:firstLineChars="200"/>
              <w:rPr>
                <w:color w:val="auto"/>
                <w:sz w:val="24"/>
              </w:rPr>
            </w:pPr>
          </w:p>
          <w:p w14:paraId="30FD134C">
            <w:pPr>
              <w:spacing w:line="500" w:lineRule="exact"/>
              <w:ind w:firstLine="480" w:firstLineChars="200"/>
              <w:rPr>
                <w:color w:val="auto"/>
                <w:sz w:val="24"/>
              </w:rPr>
            </w:pPr>
          </w:p>
          <w:p w14:paraId="466BB328">
            <w:pPr>
              <w:spacing w:line="500" w:lineRule="exact"/>
              <w:ind w:firstLine="480" w:firstLineChars="200"/>
              <w:rPr>
                <w:color w:val="auto"/>
                <w:sz w:val="24"/>
              </w:rPr>
            </w:pPr>
          </w:p>
          <w:p w14:paraId="6E9CFDB9">
            <w:pPr>
              <w:spacing w:line="500" w:lineRule="exact"/>
              <w:ind w:firstLine="480" w:firstLineChars="200"/>
              <w:rPr>
                <w:color w:val="auto"/>
                <w:sz w:val="24"/>
              </w:rPr>
            </w:pPr>
          </w:p>
          <w:p w14:paraId="72BC2DB1">
            <w:pPr>
              <w:spacing w:line="500" w:lineRule="exact"/>
              <w:ind w:firstLine="480" w:firstLineChars="200"/>
              <w:rPr>
                <w:color w:val="auto"/>
                <w:sz w:val="24"/>
              </w:rPr>
            </w:pPr>
          </w:p>
          <w:p w14:paraId="2ADB76E0">
            <w:pPr>
              <w:spacing w:line="500" w:lineRule="exact"/>
              <w:ind w:firstLine="480" w:firstLineChars="200"/>
              <w:rPr>
                <w:color w:val="auto"/>
                <w:sz w:val="24"/>
              </w:rPr>
            </w:pPr>
          </w:p>
          <w:p w14:paraId="6DDBE1E9">
            <w:pPr>
              <w:spacing w:line="500" w:lineRule="exact"/>
              <w:ind w:firstLine="480" w:firstLineChars="200"/>
              <w:rPr>
                <w:color w:val="auto"/>
                <w:sz w:val="24"/>
              </w:rPr>
            </w:pPr>
          </w:p>
          <w:p w14:paraId="22E39C02">
            <w:pPr>
              <w:spacing w:line="500" w:lineRule="exact"/>
              <w:ind w:firstLine="480" w:firstLineChars="200"/>
              <w:rPr>
                <w:color w:val="auto"/>
                <w:sz w:val="24"/>
              </w:rPr>
            </w:pPr>
          </w:p>
          <w:p w14:paraId="172960BD">
            <w:pPr>
              <w:spacing w:line="500" w:lineRule="exact"/>
              <w:ind w:firstLine="480" w:firstLineChars="200"/>
              <w:rPr>
                <w:color w:val="auto"/>
                <w:sz w:val="24"/>
              </w:rPr>
            </w:pPr>
          </w:p>
          <w:p w14:paraId="31FF6472">
            <w:pPr>
              <w:spacing w:line="500" w:lineRule="exact"/>
              <w:ind w:firstLine="480" w:firstLineChars="200"/>
              <w:rPr>
                <w:color w:val="auto"/>
                <w:sz w:val="24"/>
              </w:rPr>
            </w:pPr>
          </w:p>
          <w:p w14:paraId="55C7DE8B">
            <w:pPr>
              <w:spacing w:line="500" w:lineRule="exact"/>
              <w:ind w:firstLine="480" w:firstLineChars="200"/>
              <w:rPr>
                <w:color w:val="auto"/>
                <w:sz w:val="24"/>
              </w:rPr>
            </w:pPr>
          </w:p>
          <w:p w14:paraId="554561B3">
            <w:pPr>
              <w:spacing w:line="500" w:lineRule="exact"/>
              <w:ind w:firstLine="480" w:firstLineChars="200"/>
              <w:rPr>
                <w:color w:val="auto"/>
                <w:sz w:val="24"/>
              </w:rPr>
            </w:pPr>
          </w:p>
          <w:p w14:paraId="070D4333">
            <w:pPr>
              <w:spacing w:line="500" w:lineRule="exact"/>
              <w:ind w:firstLine="480" w:firstLineChars="200"/>
              <w:rPr>
                <w:color w:val="auto"/>
                <w:sz w:val="24"/>
              </w:rPr>
            </w:pPr>
          </w:p>
          <w:p w14:paraId="13B3E216">
            <w:pPr>
              <w:spacing w:line="500" w:lineRule="exact"/>
              <w:ind w:firstLine="480" w:firstLineChars="200"/>
              <w:rPr>
                <w:color w:val="auto"/>
                <w:sz w:val="24"/>
              </w:rPr>
            </w:pPr>
          </w:p>
          <w:p w14:paraId="321D681B">
            <w:pPr>
              <w:spacing w:line="500" w:lineRule="exact"/>
              <w:ind w:firstLine="480" w:firstLineChars="200"/>
              <w:rPr>
                <w:color w:val="auto"/>
                <w:sz w:val="24"/>
              </w:rPr>
            </w:pPr>
          </w:p>
          <w:p w14:paraId="307DA63C">
            <w:pPr>
              <w:spacing w:line="500" w:lineRule="exact"/>
              <w:ind w:firstLine="480" w:firstLineChars="200"/>
              <w:rPr>
                <w:color w:val="auto"/>
                <w:sz w:val="24"/>
              </w:rPr>
            </w:pPr>
          </w:p>
          <w:p w14:paraId="55EF7B54">
            <w:pPr>
              <w:spacing w:line="500" w:lineRule="exact"/>
              <w:rPr>
                <w:color w:val="auto"/>
                <w:sz w:val="24"/>
              </w:rPr>
            </w:pPr>
          </w:p>
          <w:p w14:paraId="6EAFA278">
            <w:pPr>
              <w:spacing w:line="500" w:lineRule="exact"/>
              <w:ind w:firstLine="480" w:firstLineChars="200"/>
              <w:rPr>
                <w:color w:val="auto"/>
                <w:sz w:val="24"/>
              </w:rPr>
            </w:pPr>
          </w:p>
          <w:p w14:paraId="25FAE52F">
            <w:pPr>
              <w:spacing w:line="500" w:lineRule="exact"/>
              <w:ind w:firstLine="480" w:firstLineChars="200"/>
              <w:rPr>
                <w:color w:val="auto"/>
                <w:sz w:val="24"/>
              </w:rPr>
            </w:pPr>
          </w:p>
          <w:p w14:paraId="43456055">
            <w:pPr>
              <w:spacing w:line="500" w:lineRule="exact"/>
              <w:ind w:firstLine="480" w:firstLineChars="200"/>
              <w:rPr>
                <w:color w:val="auto"/>
                <w:sz w:val="24"/>
              </w:rPr>
            </w:pPr>
          </w:p>
        </w:tc>
      </w:tr>
    </w:tbl>
    <w:p w14:paraId="37FF9500">
      <w:pPr>
        <w:rPr>
          <w:color w:val="auto"/>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73EF6D24">
      <w:pPr>
        <w:pStyle w:val="33"/>
        <w:adjustRightInd w:val="0"/>
        <w:snapToGrid w:val="0"/>
        <w:spacing w:before="0" w:beforeAutospacing="0" w:after="0" w:afterAutospacing="0" w:line="0" w:lineRule="atLeast"/>
        <w:rPr>
          <w:rFonts w:ascii="Times New Roman" w:hAnsi="Times New Roman" w:eastAsia="黑体"/>
          <w:snapToGrid w:val="0"/>
          <w:color w:val="auto"/>
          <w:sz w:val="32"/>
          <w:szCs w:val="32"/>
        </w:rPr>
      </w:pPr>
      <w:bookmarkStart w:id="55" w:name="_Toc65222367"/>
      <w:r>
        <w:rPr>
          <w:rFonts w:ascii="Times New Roman" w:hAnsi="Times New Roman" w:eastAsia="黑体"/>
          <w:snapToGrid w:val="0"/>
          <w:color w:val="auto"/>
          <w:sz w:val="32"/>
          <w:szCs w:val="32"/>
        </w:rPr>
        <w:t>附表</w:t>
      </w:r>
      <w:bookmarkEnd w:id="55"/>
    </w:p>
    <w:p w14:paraId="2D2C721E">
      <w:pPr>
        <w:pStyle w:val="33"/>
        <w:adjustRightInd w:val="0"/>
        <w:snapToGrid w:val="0"/>
        <w:spacing w:before="0" w:beforeAutospacing="0" w:after="0" w:afterAutospacing="0" w:line="0" w:lineRule="atLeast"/>
        <w:jc w:val="center"/>
        <w:outlineLvl w:val="0"/>
        <w:rPr>
          <w:rFonts w:ascii="Times New Roman" w:hAnsi="Times New Roman" w:eastAsia="方正小标宋_GBK"/>
          <w:snapToGrid w:val="0"/>
          <w:color w:val="auto"/>
          <w:sz w:val="38"/>
          <w:szCs w:val="38"/>
        </w:rPr>
      </w:pPr>
      <w:bookmarkStart w:id="56" w:name="_Toc68786114"/>
      <w:bookmarkStart w:id="57" w:name="_Toc65222368"/>
      <w:bookmarkStart w:id="58" w:name="_Toc19561"/>
      <w:bookmarkStart w:id="59" w:name="_Toc31145"/>
      <w:r>
        <w:rPr>
          <w:rFonts w:ascii="Times New Roman" w:hAnsi="Times New Roman" w:eastAsia="方正小标宋_GBK"/>
          <w:snapToGrid w:val="0"/>
          <w:color w:val="auto"/>
          <w:sz w:val="38"/>
          <w:szCs w:val="38"/>
        </w:rPr>
        <w:t>建设项目污染物排放量汇总表</w:t>
      </w:r>
      <w:bookmarkEnd w:id="56"/>
      <w:bookmarkEnd w:id="57"/>
      <w:bookmarkEnd w:id="58"/>
      <w:bookmarkEnd w:id="59"/>
    </w:p>
    <w:tbl>
      <w:tblPr>
        <w:tblStyle w:val="38"/>
        <w:tblW w:w="4992"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929"/>
        <w:gridCol w:w="1348"/>
        <w:gridCol w:w="958"/>
        <w:gridCol w:w="1424"/>
        <w:gridCol w:w="2074"/>
        <w:gridCol w:w="1401"/>
        <w:gridCol w:w="2125"/>
        <w:gridCol w:w="2129"/>
      </w:tblGrid>
      <w:tr w14:paraId="4A97A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695" w:type="dxa"/>
            <w:tcBorders>
              <w:tl2br w:val="single" w:color="auto" w:sz="4" w:space="0"/>
            </w:tcBorders>
            <w:tcMar>
              <w:left w:w="28" w:type="dxa"/>
              <w:right w:w="28" w:type="dxa"/>
            </w:tcMar>
            <w:vAlign w:val="center"/>
          </w:tcPr>
          <w:p w14:paraId="269C0334">
            <w:pPr>
              <w:pStyle w:val="82"/>
              <w:spacing w:beforeLines="0" w:afterLines="0" w:line="240" w:lineRule="auto"/>
              <w:jc w:val="right"/>
              <w:rPr>
                <w:rFonts w:ascii="黑体" w:hAnsi="黑体" w:eastAsia="黑体" w:cs="宋体"/>
                <w:snapToGrid w:val="0"/>
                <w:color w:val="auto"/>
                <w:spacing w:val="-6"/>
                <w:kern w:val="21"/>
                <w:szCs w:val="21"/>
                <w:highlight w:val="none"/>
              </w:rPr>
            </w:pPr>
            <w:r>
              <w:rPr>
                <w:rFonts w:hint="eastAsia" w:ascii="黑体" w:hAnsi="黑体" w:eastAsia="黑体" w:cs="宋体"/>
                <w:snapToGrid w:val="0"/>
                <w:color w:val="auto"/>
                <w:spacing w:val="-6"/>
                <w:kern w:val="21"/>
                <w:szCs w:val="21"/>
                <w:highlight w:val="none"/>
              </w:rPr>
              <w:t>项目</w:t>
            </w:r>
          </w:p>
          <w:p w14:paraId="1D9C21F9">
            <w:pPr>
              <w:pStyle w:val="82"/>
              <w:spacing w:beforeLines="0" w:afterLines="0" w:line="240" w:lineRule="auto"/>
              <w:jc w:val="left"/>
              <w:rPr>
                <w:rFonts w:ascii="黑体" w:hAnsi="黑体" w:eastAsia="黑体" w:cs="宋体"/>
                <w:snapToGrid w:val="0"/>
                <w:color w:val="auto"/>
                <w:spacing w:val="-6"/>
                <w:kern w:val="21"/>
                <w:szCs w:val="21"/>
                <w:highlight w:val="none"/>
              </w:rPr>
            </w:pPr>
            <w:r>
              <w:rPr>
                <w:rFonts w:hint="eastAsia" w:ascii="黑体" w:hAnsi="黑体" w:eastAsia="黑体" w:cs="宋体"/>
                <w:snapToGrid w:val="0"/>
                <w:color w:val="auto"/>
                <w:spacing w:val="-6"/>
                <w:kern w:val="21"/>
                <w:szCs w:val="21"/>
                <w:highlight w:val="none"/>
              </w:rPr>
              <w:t>分类</w:t>
            </w:r>
          </w:p>
        </w:tc>
        <w:tc>
          <w:tcPr>
            <w:tcW w:w="1103" w:type="dxa"/>
            <w:tcMar>
              <w:left w:w="28" w:type="dxa"/>
              <w:right w:w="28" w:type="dxa"/>
            </w:tcMar>
            <w:vAlign w:val="center"/>
          </w:tcPr>
          <w:p w14:paraId="0BA23DB2">
            <w:pPr>
              <w:pStyle w:val="82"/>
              <w:spacing w:beforeLines="0" w:afterLines="0" w:line="240" w:lineRule="auto"/>
              <w:rPr>
                <w:rFonts w:ascii="黑体" w:hAnsi="黑体" w:eastAsia="黑体" w:cs="宋体"/>
                <w:snapToGrid w:val="0"/>
                <w:color w:val="auto"/>
                <w:spacing w:val="-6"/>
                <w:kern w:val="21"/>
                <w:szCs w:val="21"/>
                <w:highlight w:val="none"/>
              </w:rPr>
            </w:pPr>
            <w:r>
              <w:rPr>
                <w:rFonts w:hint="eastAsia" w:ascii="黑体" w:hAnsi="黑体" w:eastAsia="黑体" w:cs="宋体"/>
                <w:snapToGrid w:val="0"/>
                <w:color w:val="auto"/>
                <w:spacing w:val="-6"/>
                <w:kern w:val="21"/>
                <w:szCs w:val="21"/>
                <w:highlight w:val="none"/>
              </w:rPr>
              <w:t>污染物名称</w:t>
            </w:r>
          </w:p>
        </w:tc>
        <w:tc>
          <w:tcPr>
            <w:tcW w:w="771" w:type="dxa"/>
            <w:tcMar>
              <w:left w:w="28" w:type="dxa"/>
              <w:right w:w="28" w:type="dxa"/>
            </w:tcMar>
            <w:vAlign w:val="center"/>
          </w:tcPr>
          <w:p w14:paraId="76449274">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现有工程</w:t>
            </w:r>
          </w:p>
          <w:p w14:paraId="6A2A3B1B">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排放量（固</w:t>
            </w:r>
            <w:r>
              <w:rPr>
                <w:rFonts w:hint="eastAsia" w:ascii="黑体" w:hAnsi="黑体" w:eastAsia="黑体"/>
                <w:snapToGrid w:val="0"/>
                <w:color w:val="auto"/>
                <w:spacing w:val="-6"/>
                <w:kern w:val="21"/>
                <w:szCs w:val="21"/>
                <w:highlight w:val="none"/>
              </w:rPr>
              <w:t>体</w:t>
            </w:r>
            <w:r>
              <w:rPr>
                <w:rFonts w:ascii="黑体" w:hAnsi="黑体" w:eastAsia="黑体"/>
                <w:snapToGrid w:val="0"/>
                <w:color w:val="auto"/>
                <w:spacing w:val="-6"/>
                <w:kern w:val="21"/>
                <w:szCs w:val="21"/>
                <w:highlight w:val="none"/>
              </w:rPr>
              <w:t>废</w:t>
            </w:r>
            <w:r>
              <w:rPr>
                <w:rFonts w:hint="eastAsia" w:ascii="黑体" w:hAnsi="黑体" w:eastAsia="黑体"/>
                <w:snapToGrid w:val="0"/>
                <w:color w:val="auto"/>
                <w:spacing w:val="-6"/>
                <w:kern w:val="21"/>
                <w:szCs w:val="21"/>
                <w:highlight w:val="none"/>
              </w:rPr>
              <w:t>物</w:t>
            </w:r>
            <w:r>
              <w:rPr>
                <w:rFonts w:ascii="黑体" w:hAnsi="黑体" w:eastAsia="黑体"/>
                <w:snapToGrid w:val="0"/>
                <w:color w:val="auto"/>
                <w:spacing w:val="-6"/>
                <w:kern w:val="21"/>
                <w:szCs w:val="21"/>
                <w:highlight w:val="none"/>
              </w:rPr>
              <w:t>产生量）</w:t>
            </w:r>
            <w:r>
              <w:rPr>
                <w:rFonts w:hint="eastAsia" w:ascii="黑体" w:hAnsi="黑体" w:eastAsia="黑体"/>
                <w:snapToGrid w:val="0"/>
                <w:color w:val="auto"/>
                <w:spacing w:val="-6"/>
                <w:kern w:val="21"/>
                <w:szCs w:val="21"/>
                <w:highlight w:val="none"/>
              </w:rPr>
              <w:t>①</w:t>
            </w:r>
          </w:p>
        </w:tc>
        <w:tc>
          <w:tcPr>
            <w:tcW w:w="548" w:type="dxa"/>
            <w:tcMar>
              <w:left w:w="28" w:type="dxa"/>
              <w:right w:w="28" w:type="dxa"/>
            </w:tcMar>
            <w:vAlign w:val="center"/>
          </w:tcPr>
          <w:p w14:paraId="5BFB22C6">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现有工程</w:t>
            </w:r>
          </w:p>
          <w:p w14:paraId="1E71B3CE">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许可排放量</w:t>
            </w:r>
          </w:p>
          <w:p w14:paraId="4832A7C1">
            <w:pPr>
              <w:pStyle w:val="82"/>
              <w:spacing w:beforeLines="0" w:afterLines="0"/>
              <w:rPr>
                <w:rFonts w:ascii="黑体" w:hAnsi="黑体" w:eastAsia="黑体"/>
                <w:snapToGrid w:val="0"/>
                <w:color w:val="auto"/>
                <w:spacing w:val="-6"/>
                <w:kern w:val="21"/>
                <w:szCs w:val="21"/>
                <w:highlight w:val="none"/>
              </w:rPr>
            </w:pPr>
            <w:r>
              <w:rPr>
                <w:rFonts w:hint="eastAsia" w:ascii="黑体" w:hAnsi="黑体" w:eastAsia="黑体"/>
                <w:snapToGrid w:val="0"/>
                <w:color w:val="auto"/>
                <w:spacing w:val="-6"/>
                <w:kern w:val="21"/>
                <w:szCs w:val="21"/>
                <w:highlight w:val="none"/>
              </w:rPr>
              <w:t>②</w:t>
            </w:r>
          </w:p>
        </w:tc>
        <w:tc>
          <w:tcPr>
            <w:tcW w:w="814" w:type="dxa"/>
            <w:tcMar>
              <w:left w:w="28" w:type="dxa"/>
              <w:right w:w="28" w:type="dxa"/>
            </w:tcMar>
            <w:vAlign w:val="center"/>
          </w:tcPr>
          <w:p w14:paraId="20E15384">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在建工程</w:t>
            </w:r>
          </w:p>
          <w:p w14:paraId="77FB7986">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排放量（固</w:t>
            </w:r>
            <w:r>
              <w:rPr>
                <w:rFonts w:hint="eastAsia" w:ascii="黑体" w:hAnsi="黑体" w:eastAsia="黑体"/>
                <w:snapToGrid w:val="0"/>
                <w:color w:val="auto"/>
                <w:spacing w:val="-6"/>
                <w:kern w:val="21"/>
                <w:szCs w:val="21"/>
                <w:highlight w:val="none"/>
              </w:rPr>
              <w:t>体</w:t>
            </w:r>
            <w:r>
              <w:rPr>
                <w:rFonts w:ascii="黑体" w:hAnsi="黑体" w:eastAsia="黑体"/>
                <w:snapToGrid w:val="0"/>
                <w:color w:val="auto"/>
                <w:spacing w:val="-6"/>
                <w:kern w:val="21"/>
                <w:szCs w:val="21"/>
                <w:highlight w:val="none"/>
              </w:rPr>
              <w:t>废</w:t>
            </w:r>
            <w:r>
              <w:rPr>
                <w:rFonts w:hint="eastAsia" w:ascii="黑体" w:hAnsi="黑体" w:eastAsia="黑体"/>
                <w:snapToGrid w:val="0"/>
                <w:color w:val="auto"/>
                <w:spacing w:val="-6"/>
                <w:kern w:val="21"/>
                <w:szCs w:val="21"/>
                <w:highlight w:val="none"/>
              </w:rPr>
              <w:t>物</w:t>
            </w:r>
            <w:r>
              <w:rPr>
                <w:rFonts w:ascii="黑体" w:hAnsi="黑体" w:eastAsia="黑体"/>
                <w:snapToGrid w:val="0"/>
                <w:color w:val="auto"/>
                <w:spacing w:val="-6"/>
                <w:kern w:val="21"/>
                <w:szCs w:val="21"/>
                <w:highlight w:val="none"/>
              </w:rPr>
              <w:t>产生量）</w:t>
            </w:r>
            <w:r>
              <w:rPr>
                <w:rFonts w:hint="eastAsia" w:ascii="黑体" w:hAnsi="黑体" w:eastAsia="黑体"/>
                <w:snapToGrid w:val="0"/>
                <w:color w:val="auto"/>
                <w:spacing w:val="-6"/>
                <w:kern w:val="21"/>
                <w:szCs w:val="21"/>
                <w:highlight w:val="none"/>
              </w:rPr>
              <w:t>③</w:t>
            </w:r>
          </w:p>
        </w:tc>
        <w:tc>
          <w:tcPr>
            <w:tcW w:w="1186" w:type="dxa"/>
            <w:tcMar>
              <w:left w:w="28" w:type="dxa"/>
              <w:right w:w="28" w:type="dxa"/>
            </w:tcMar>
            <w:vAlign w:val="center"/>
          </w:tcPr>
          <w:p w14:paraId="2ED6FB4F">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本项目</w:t>
            </w:r>
          </w:p>
          <w:p w14:paraId="465EBAB6">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排放量（固</w:t>
            </w:r>
            <w:r>
              <w:rPr>
                <w:rFonts w:hint="eastAsia" w:ascii="黑体" w:hAnsi="黑体" w:eastAsia="黑体"/>
                <w:snapToGrid w:val="0"/>
                <w:color w:val="auto"/>
                <w:spacing w:val="-6"/>
                <w:kern w:val="21"/>
                <w:szCs w:val="21"/>
                <w:highlight w:val="none"/>
              </w:rPr>
              <w:t>体</w:t>
            </w:r>
            <w:r>
              <w:rPr>
                <w:rFonts w:ascii="黑体" w:hAnsi="黑体" w:eastAsia="黑体"/>
                <w:snapToGrid w:val="0"/>
                <w:color w:val="auto"/>
                <w:spacing w:val="-6"/>
                <w:kern w:val="21"/>
                <w:szCs w:val="21"/>
                <w:highlight w:val="none"/>
              </w:rPr>
              <w:t>废</w:t>
            </w:r>
            <w:r>
              <w:rPr>
                <w:rFonts w:hint="eastAsia" w:ascii="黑体" w:hAnsi="黑体" w:eastAsia="黑体"/>
                <w:snapToGrid w:val="0"/>
                <w:color w:val="auto"/>
                <w:spacing w:val="-6"/>
                <w:kern w:val="21"/>
                <w:szCs w:val="21"/>
                <w:highlight w:val="none"/>
              </w:rPr>
              <w:t>物</w:t>
            </w:r>
            <w:r>
              <w:rPr>
                <w:rFonts w:ascii="黑体" w:hAnsi="黑体" w:eastAsia="黑体"/>
                <w:snapToGrid w:val="0"/>
                <w:color w:val="auto"/>
                <w:spacing w:val="-6"/>
                <w:kern w:val="21"/>
                <w:szCs w:val="21"/>
                <w:highlight w:val="none"/>
              </w:rPr>
              <w:t>产生量）</w:t>
            </w:r>
            <w:r>
              <w:rPr>
                <w:rFonts w:hint="eastAsia" w:ascii="黑体" w:hAnsi="黑体" w:eastAsia="黑体"/>
                <w:snapToGrid w:val="0"/>
                <w:color w:val="auto"/>
                <w:spacing w:val="-6"/>
                <w:kern w:val="21"/>
                <w:szCs w:val="21"/>
                <w:highlight w:val="none"/>
              </w:rPr>
              <w:t>④</w:t>
            </w:r>
          </w:p>
        </w:tc>
        <w:tc>
          <w:tcPr>
            <w:tcW w:w="801" w:type="dxa"/>
            <w:tcMar>
              <w:left w:w="28" w:type="dxa"/>
              <w:right w:w="28" w:type="dxa"/>
            </w:tcMar>
            <w:vAlign w:val="center"/>
          </w:tcPr>
          <w:p w14:paraId="0BA26968">
            <w:pPr>
              <w:pStyle w:val="82"/>
              <w:spacing w:beforeLines="0" w:afterLines="0" w:line="240" w:lineRule="auto"/>
              <w:rPr>
                <w:rFonts w:ascii="黑体" w:hAnsi="黑体" w:eastAsia="黑体"/>
                <w:snapToGrid w:val="0"/>
                <w:color w:val="auto"/>
                <w:spacing w:val="-16"/>
                <w:kern w:val="21"/>
                <w:szCs w:val="21"/>
                <w:highlight w:val="none"/>
              </w:rPr>
            </w:pPr>
            <w:r>
              <w:rPr>
                <w:rFonts w:ascii="黑体" w:hAnsi="黑体" w:eastAsia="黑体"/>
                <w:snapToGrid w:val="0"/>
                <w:color w:val="auto"/>
                <w:spacing w:val="-16"/>
                <w:kern w:val="21"/>
                <w:szCs w:val="21"/>
                <w:highlight w:val="none"/>
              </w:rPr>
              <w:t>以新带老削减量</w:t>
            </w:r>
          </w:p>
          <w:p w14:paraId="341BFEF5">
            <w:pPr>
              <w:pStyle w:val="82"/>
              <w:spacing w:beforeLines="0" w:afterLines="0" w:line="240" w:lineRule="auto"/>
              <w:rPr>
                <w:rFonts w:ascii="黑体" w:hAnsi="黑体" w:eastAsia="黑体"/>
                <w:snapToGrid w:val="0"/>
                <w:color w:val="auto"/>
                <w:spacing w:val="-16"/>
                <w:kern w:val="21"/>
                <w:szCs w:val="21"/>
                <w:highlight w:val="none"/>
              </w:rPr>
            </w:pPr>
            <w:r>
              <w:rPr>
                <w:rFonts w:ascii="黑体" w:hAnsi="黑体" w:eastAsia="黑体"/>
                <w:snapToGrid w:val="0"/>
                <w:color w:val="auto"/>
                <w:spacing w:val="-16"/>
                <w:kern w:val="21"/>
                <w:szCs w:val="21"/>
                <w:highlight w:val="none"/>
              </w:rPr>
              <w:t>（新建项目不填）</w:t>
            </w:r>
            <w:r>
              <w:rPr>
                <w:rFonts w:hint="eastAsia" w:ascii="黑体" w:hAnsi="黑体" w:eastAsia="黑体"/>
                <w:snapToGrid w:val="0"/>
                <w:color w:val="auto"/>
                <w:spacing w:val="-16"/>
                <w:kern w:val="21"/>
                <w:szCs w:val="21"/>
                <w:highlight w:val="none"/>
              </w:rPr>
              <w:t>⑤</w:t>
            </w:r>
          </w:p>
        </w:tc>
        <w:tc>
          <w:tcPr>
            <w:tcW w:w="1215" w:type="dxa"/>
            <w:tcMar>
              <w:left w:w="28" w:type="dxa"/>
              <w:right w:w="28" w:type="dxa"/>
            </w:tcMar>
            <w:vAlign w:val="center"/>
          </w:tcPr>
          <w:p w14:paraId="2FE17406">
            <w:pPr>
              <w:pStyle w:val="82"/>
              <w:spacing w:beforeLines="0" w:afterLines="0" w:line="240" w:lineRule="auto"/>
              <w:rPr>
                <w:rFonts w:ascii="黑体" w:hAnsi="黑体" w:eastAsia="黑体"/>
                <w:snapToGrid w:val="0"/>
                <w:color w:val="auto"/>
                <w:spacing w:val="-16"/>
                <w:kern w:val="21"/>
                <w:szCs w:val="21"/>
                <w:highlight w:val="none"/>
              </w:rPr>
            </w:pPr>
            <w:r>
              <w:rPr>
                <w:rFonts w:ascii="黑体" w:hAnsi="黑体" w:eastAsia="黑体"/>
                <w:snapToGrid w:val="0"/>
                <w:color w:val="auto"/>
                <w:spacing w:val="-16"/>
                <w:kern w:val="21"/>
                <w:szCs w:val="21"/>
                <w:highlight w:val="none"/>
              </w:rPr>
              <w:t>本项目建成后</w:t>
            </w:r>
          </w:p>
          <w:p w14:paraId="36B4772C">
            <w:pPr>
              <w:pStyle w:val="82"/>
              <w:spacing w:beforeLines="0" w:afterLines="0" w:line="240" w:lineRule="auto"/>
              <w:rPr>
                <w:rFonts w:ascii="黑体" w:hAnsi="黑体" w:eastAsia="黑体"/>
                <w:snapToGrid w:val="0"/>
                <w:color w:val="auto"/>
                <w:spacing w:val="-16"/>
                <w:kern w:val="21"/>
                <w:szCs w:val="21"/>
                <w:highlight w:val="none"/>
              </w:rPr>
            </w:pPr>
            <w:r>
              <w:rPr>
                <w:rFonts w:hint="eastAsia" w:ascii="黑体" w:hAnsi="黑体" w:eastAsia="黑体"/>
                <w:snapToGrid w:val="0"/>
                <w:color w:val="auto"/>
                <w:spacing w:val="-16"/>
                <w:kern w:val="21"/>
                <w:szCs w:val="21"/>
                <w:highlight w:val="none"/>
              </w:rPr>
              <w:t>全厂</w:t>
            </w:r>
            <w:r>
              <w:rPr>
                <w:rFonts w:ascii="黑体" w:hAnsi="黑体" w:eastAsia="黑体"/>
                <w:snapToGrid w:val="0"/>
                <w:color w:val="auto"/>
                <w:spacing w:val="-16"/>
                <w:kern w:val="21"/>
                <w:szCs w:val="21"/>
                <w:highlight w:val="none"/>
              </w:rPr>
              <w:t>排放量（固</w:t>
            </w:r>
            <w:r>
              <w:rPr>
                <w:rFonts w:hint="eastAsia" w:ascii="黑体" w:hAnsi="黑体" w:eastAsia="黑体"/>
                <w:snapToGrid w:val="0"/>
                <w:color w:val="auto"/>
                <w:spacing w:val="-16"/>
                <w:kern w:val="21"/>
                <w:szCs w:val="21"/>
                <w:highlight w:val="none"/>
              </w:rPr>
              <w:t>体</w:t>
            </w:r>
            <w:r>
              <w:rPr>
                <w:rFonts w:ascii="黑体" w:hAnsi="黑体" w:eastAsia="黑体"/>
                <w:snapToGrid w:val="0"/>
                <w:color w:val="auto"/>
                <w:spacing w:val="-16"/>
                <w:kern w:val="21"/>
                <w:szCs w:val="21"/>
                <w:highlight w:val="none"/>
              </w:rPr>
              <w:t>废</w:t>
            </w:r>
            <w:r>
              <w:rPr>
                <w:rFonts w:hint="eastAsia" w:ascii="黑体" w:hAnsi="黑体" w:eastAsia="黑体"/>
                <w:snapToGrid w:val="0"/>
                <w:color w:val="auto"/>
                <w:spacing w:val="-16"/>
                <w:kern w:val="21"/>
                <w:szCs w:val="21"/>
                <w:highlight w:val="none"/>
              </w:rPr>
              <w:t>物</w:t>
            </w:r>
            <w:r>
              <w:rPr>
                <w:rFonts w:ascii="黑体" w:hAnsi="黑体" w:eastAsia="黑体"/>
                <w:snapToGrid w:val="0"/>
                <w:color w:val="auto"/>
                <w:spacing w:val="-16"/>
                <w:kern w:val="21"/>
                <w:szCs w:val="21"/>
                <w:highlight w:val="none"/>
              </w:rPr>
              <w:t>产生量）</w:t>
            </w:r>
            <w:r>
              <w:rPr>
                <w:rFonts w:hint="eastAsia" w:ascii="黑体" w:hAnsi="黑体" w:eastAsia="黑体"/>
                <w:snapToGrid w:val="0"/>
                <w:color w:val="auto"/>
                <w:spacing w:val="-16"/>
                <w:kern w:val="21"/>
                <w:szCs w:val="21"/>
                <w:highlight w:val="none"/>
              </w:rPr>
              <w:t>⑥</w:t>
            </w:r>
          </w:p>
        </w:tc>
        <w:tc>
          <w:tcPr>
            <w:tcW w:w="1217" w:type="dxa"/>
            <w:tcMar>
              <w:left w:w="28" w:type="dxa"/>
              <w:right w:w="28" w:type="dxa"/>
            </w:tcMar>
            <w:vAlign w:val="center"/>
          </w:tcPr>
          <w:p w14:paraId="12A8935B">
            <w:pPr>
              <w:pStyle w:val="82"/>
              <w:spacing w:beforeLines="0" w:afterLines="0" w:line="240" w:lineRule="auto"/>
              <w:rPr>
                <w:rFonts w:ascii="黑体" w:hAnsi="黑体" w:eastAsia="黑体"/>
                <w:snapToGrid w:val="0"/>
                <w:color w:val="auto"/>
                <w:spacing w:val="-6"/>
                <w:kern w:val="21"/>
                <w:szCs w:val="21"/>
                <w:highlight w:val="none"/>
              </w:rPr>
            </w:pPr>
            <w:r>
              <w:rPr>
                <w:rFonts w:ascii="黑体" w:hAnsi="黑体" w:eastAsia="黑体"/>
                <w:snapToGrid w:val="0"/>
                <w:color w:val="auto"/>
                <w:spacing w:val="-6"/>
                <w:kern w:val="21"/>
                <w:szCs w:val="21"/>
                <w:highlight w:val="none"/>
              </w:rPr>
              <w:t>变化量</w:t>
            </w:r>
          </w:p>
          <w:p w14:paraId="67359819">
            <w:pPr>
              <w:pStyle w:val="82"/>
              <w:spacing w:beforeLines="0" w:afterLines="0" w:line="240" w:lineRule="auto"/>
              <w:rPr>
                <w:rFonts w:ascii="黑体" w:hAnsi="黑体" w:eastAsia="黑体"/>
                <w:snapToGrid w:val="0"/>
                <w:color w:val="auto"/>
                <w:spacing w:val="-6"/>
                <w:kern w:val="21"/>
                <w:szCs w:val="21"/>
                <w:highlight w:val="none"/>
              </w:rPr>
            </w:pPr>
            <w:r>
              <w:rPr>
                <w:rFonts w:hint="eastAsia" w:ascii="黑体" w:hAnsi="黑体" w:eastAsia="黑体"/>
                <w:snapToGrid w:val="0"/>
                <w:color w:val="auto"/>
                <w:spacing w:val="-6"/>
                <w:kern w:val="21"/>
                <w:szCs w:val="21"/>
                <w:highlight w:val="none"/>
              </w:rPr>
              <w:t>⑦</w:t>
            </w:r>
          </w:p>
        </w:tc>
      </w:tr>
      <w:tr w14:paraId="1A376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695" w:type="dxa"/>
            <w:vMerge w:val="restart"/>
            <w:vAlign w:val="center"/>
          </w:tcPr>
          <w:p w14:paraId="18C271DF">
            <w:pPr>
              <w:pStyle w:val="82"/>
              <w:spacing w:beforeLines="0" w:afterLines="0" w:line="240" w:lineRule="auto"/>
              <w:rPr>
                <w:rFonts w:hAnsi="宋体" w:cs="宋体"/>
                <w:snapToGrid w:val="0"/>
                <w:color w:val="auto"/>
                <w:kern w:val="21"/>
                <w:szCs w:val="21"/>
                <w:highlight w:val="none"/>
              </w:rPr>
            </w:pPr>
            <w:r>
              <w:rPr>
                <w:rFonts w:hint="eastAsia" w:hAnsi="宋体" w:cs="宋体"/>
                <w:snapToGrid w:val="0"/>
                <w:color w:val="auto"/>
                <w:kern w:val="21"/>
                <w:szCs w:val="21"/>
                <w:highlight w:val="none"/>
              </w:rPr>
              <w:t>废气</w:t>
            </w:r>
          </w:p>
        </w:tc>
        <w:tc>
          <w:tcPr>
            <w:tcW w:w="1103" w:type="dxa"/>
            <w:vAlign w:val="center"/>
          </w:tcPr>
          <w:p w14:paraId="5BED7893">
            <w:pPr>
              <w:pStyle w:val="82"/>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颗粒物</w:t>
            </w:r>
          </w:p>
        </w:tc>
        <w:tc>
          <w:tcPr>
            <w:tcW w:w="771" w:type="dxa"/>
            <w:vAlign w:val="center"/>
          </w:tcPr>
          <w:p w14:paraId="64D1B3D0">
            <w:pPr>
              <w:pStyle w:val="82"/>
              <w:spacing w:beforeLines="0" w:afterLines="0" w:line="240" w:lineRule="auto"/>
              <w:rPr>
                <w:rFonts w:hAnsi="宋体" w:cs="宋体"/>
                <w:snapToGrid w:val="0"/>
                <w:color w:val="auto"/>
                <w:kern w:val="21"/>
                <w:szCs w:val="21"/>
                <w:highlight w:val="none"/>
              </w:rPr>
            </w:pPr>
          </w:p>
        </w:tc>
        <w:tc>
          <w:tcPr>
            <w:tcW w:w="548" w:type="dxa"/>
            <w:vAlign w:val="center"/>
          </w:tcPr>
          <w:p w14:paraId="4F1DAC93">
            <w:pPr>
              <w:pStyle w:val="82"/>
              <w:spacing w:beforeLines="0" w:afterLines="0" w:line="240" w:lineRule="auto"/>
              <w:rPr>
                <w:rFonts w:hint="eastAsia" w:hAnsi="宋体" w:eastAsia="宋体" w:cs="宋体"/>
                <w:snapToGrid w:val="0"/>
                <w:color w:val="auto"/>
                <w:kern w:val="21"/>
                <w:szCs w:val="21"/>
                <w:highlight w:val="none"/>
                <w:lang w:val="en-US" w:eastAsia="zh-CN"/>
              </w:rPr>
            </w:pPr>
          </w:p>
        </w:tc>
        <w:tc>
          <w:tcPr>
            <w:tcW w:w="814" w:type="dxa"/>
            <w:vAlign w:val="center"/>
          </w:tcPr>
          <w:p w14:paraId="17CC74B9">
            <w:pPr>
              <w:pStyle w:val="82"/>
              <w:spacing w:beforeLines="0" w:afterLines="0" w:line="240" w:lineRule="auto"/>
              <w:rPr>
                <w:rFonts w:hAnsi="宋体" w:cs="宋体"/>
                <w:snapToGrid w:val="0"/>
                <w:color w:val="auto"/>
                <w:kern w:val="21"/>
                <w:szCs w:val="21"/>
                <w:highlight w:val="none"/>
              </w:rPr>
            </w:pPr>
          </w:p>
        </w:tc>
        <w:tc>
          <w:tcPr>
            <w:tcW w:w="1186" w:type="dxa"/>
            <w:vAlign w:val="center"/>
          </w:tcPr>
          <w:p w14:paraId="7BC9D958">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2.97</w:t>
            </w:r>
            <w:r>
              <w:rPr>
                <w:rFonts w:hint="eastAsia" w:ascii="Times New Roman" w:hAnsi="Times New Roman" w:eastAsia="宋体" w:cs="Times New Roman"/>
                <w:color w:val="auto"/>
                <w:kern w:val="0"/>
                <w:szCs w:val="21"/>
                <w:highlight w:val="none"/>
                <w:lang w:bidi="ar"/>
              </w:rPr>
              <w:t>t/a</w:t>
            </w:r>
          </w:p>
        </w:tc>
        <w:tc>
          <w:tcPr>
            <w:tcW w:w="801" w:type="dxa"/>
            <w:vAlign w:val="center"/>
          </w:tcPr>
          <w:p w14:paraId="3401D93F">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77519CE7">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2.97</w:t>
            </w:r>
            <w:r>
              <w:rPr>
                <w:rFonts w:hint="eastAsia" w:ascii="Times New Roman" w:hAnsi="Times New Roman" w:eastAsia="宋体" w:cs="Times New Roman"/>
                <w:color w:val="auto"/>
                <w:kern w:val="0"/>
                <w:szCs w:val="21"/>
                <w:highlight w:val="none"/>
                <w:lang w:bidi="ar"/>
              </w:rPr>
              <w:t>t/a</w:t>
            </w:r>
          </w:p>
        </w:tc>
        <w:tc>
          <w:tcPr>
            <w:tcW w:w="1217" w:type="dxa"/>
            <w:vAlign w:val="center"/>
          </w:tcPr>
          <w:p w14:paraId="751D54E4">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r>
              <w:rPr>
                <w:rFonts w:hint="eastAsia" w:ascii="Times New Roman" w:hAnsi="Times New Roman" w:eastAsia="宋体" w:cs="Times New Roman"/>
                <w:color w:val="auto"/>
                <w:kern w:val="0"/>
                <w:szCs w:val="21"/>
                <w:highlight w:val="none"/>
                <w:lang w:val="en-US" w:eastAsia="zh-CN" w:bidi="ar"/>
              </w:rPr>
              <w:t>2.97</w:t>
            </w:r>
            <w:r>
              <w:rPr>
                <w:rFonts w:hint="eastAsia" w:ascii="Times New Roman" w:hAnsi="Times New Roman" w:eastAsia="宋体" w:cs="Times New Roman"/>
                <w:color w:val="auto"/>
                <w:kern w:val="0"/>
                <w:szCs w:val="21"/>
                <w:highlight w:val="none"/>
                <w:lang w:bidi="ar"/>
              </w:rPr>
              <w:t>t/a</w:t>
            </w:r>
          </w:p>
        </w:tc>
      </w:tr>
      <w:tr w14:paraId="7B66AC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695" w:type="dxa"/>
            <w:vMerge w:val="continue"/>
            <w:vAlign w:val="center"/>
          </w:tcPr>
          <w:p w14:paraId="0764CB84">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1B479B8A">
            <w:pPr>
              <w:pStyle w:val="82"/>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SO</w:t>
            </w:r>
            <w:r>
              <w:rPr>
                <w:rFonts w:ascii="Times New Roman"/>
                <w:snapToGrid w:val="0"/>
                <w:color w:val="auto"/>
                <w:kern w:val="21"/>
                <w:szCs w:val="21"/>
                <w:highlight w:val="none"/>
                <w:vertAlign w:val="subscript"/>
              </w:rPr>
              <w:t>2</w:t>
            </w:r>
          </w:p>
        </w:tc>
        <w:tc>
          <w:tcPr>
            <w:tcW w:w="771" w:type="dxa"/>
            <w:vAlign w:val="center"/>
          </w:tcPr>
          <w:p w14:paraId="5963B3A8">
            <w:pPr>
              <w:pStyle w:val="82"/>
              <w:spacing w:beforeLines="0" w:afterLines="0" w:line="240" w:lineRule="auto"/>
              <w:rPr>
                <w:rFonts w:hAnsi="宋体" w:cs="宋体"/>
                <w:snapToGrid w:val="0"/>
                <w:color w:val="auto"/>
                <w:kern w:val="21"/>
                <w:szCs w:val="21"/>
                <w:highlight w:val="none"/>
              </w:rPr>
            </w:pPr>
          </w:p>
        </w:tc>
        <w:tc>
          <w:tcPr>
            <w:tcW w:w="548" w:type="dxa"/>
            <w:vAlign w:val="center"/>
          </w:tcPr>
          <w:p w14:paraId="1467F4A2">
            <w:pPr>
              <w:pStyle w:val="82"/>
              <w:spacing w:beforeLines="0" w:afterLines="0" w:line="240" w:lineRule="auto"/>
              <w:rPr>
                <w:rFonts w:hAnsi="宋体" w:cs="宋体"/>
                <w:snapToGrid w:val="0"/>
                <w:color w:val="auto"/>
                <w:kern w:val="21"/>
                <w:szCs w:val="21"/>
                <w:highlight w:val="none"/>
              </w:rPr>
            </w:pPr>
          </w:p>
        </w:tc>
        <w:tc>
          <w:tcPr>
            <w:tcW w:w="814" w:type="dxa"/>
            <w:vAlign w:val="center"/>
          </w:tcPr>
          <w:p w14:paraId="2D9ED250">
            <w:pPr>
              <w:pStyle w:val="82"/>
              <w:spacing w:beforeLines="0" w:afterLines="0" w:line="240" w:lineRule="auto"/>
              <w:rPr>
                <w:rFonts w:hAnsi="宋体" w:cs="宋体"/>
                <w:snapToGrid w:val="0"/>
                <w:color w:val="auto"/>
                <w:kern w:val="21"/>
                <w:szCs w:val="21"/>
                <w:highlight w:val="none"/>
              </w:rPr>
            </w:pPr>
          </w:p>
        </w:tc>
        <w:tc>
          <w:tcPr>
            <w:tcW w:w="1186" w:type="dxa"/>
            <w:vAlign w:val="center"/>
          </w:tcPr>
          <w:p w14:paraId="10141955">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7.81</w:t>
            </w:r>
            <w:r>
              <w:rPr>
                <w:rFonts w:hint="eastAsia" w:ascii="Times New Roman" w:hAnsi="Times New Roman" w:eastAsia="宋体" w:cs="Times New Roman"/>
                <w:color w:val="auto"/>
                <w:kern w:val="0"/>
                <w:szCs w:val="21"/>
                <w:highlight w:val="none"/>
                <w:lang w:bidi="ar"/>
              </w:rPr>
              <w:t>t/a</w:t>
            </w:r>
          </w:p>
        </w:tc>
        <w:tc>
          <w:tcPr>
            <w:tcW w:w="801" w:type="dxa"/>
            <w:vAlign w:val="center"/>
          </w:tcPr>
          <w:p w14:paraId="2B0F6498">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27F1EFA0">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7.81</w:t>
            </w:r>
            <w:r>
              <w:rPr>
                <w:rFonts w:hint="eastAsia" w:ascii="Times New Roman" w:hAnsi="Times New Roman" w:eastAsia="宋体" w:cs="Times New Roman"/>
                <w:color w:val="auto"/>
                <w:kern w:val="0"/>
                <w:szCs w:val="21"/>
                <w:highlight w:val="none"/>
                <w:lang w:bidi="ar"/>
              </w:rPr>
              <w:t>t/a</w:t>
            </w:r>
          </w:p>
        </w:tc>
        <w:tc>
          <w:tcPr>
            <w:tcW w:w="1217" w:type="dxa"/>
            <w:vAlign w:val="center"/>
          </w:tcPr>
          <w:p w14:paraId="3BD13CBB">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r>
              <w:rPr>
                <w:rFonts w:hint="eastAsia" w:ascii="Times New Roman" w:hAnsi="Times New Roman" w:eastAsia="宋体" w:cs="Times New Roman"/>
                <w:color w:val="auto"/>
                <w:kern w:val="0"/>
                <w:szCs w:val="21"/>
                <w:highlight w:val="none"/>
                <w:lang w:val="en-US" w:eastAsia="zh-CN" w:bidi="ar"/>
              </w:rPr>
              <w:t>7.81</w:t>
            </w:r>
            <w:r>
              <w:rPr>
                <w:rFonts w:hint="eastAsia" w:ascii="Times New Roman" w:hAnsi="Times New Roman" w:eastAsia="宋体" w:cs="Times New Roman"/>
                <w:color w:val="auto"/>
                <w:kern w:val="0"/>
                <w:szCs w:val="21"/>
                <w:highlight w:val="none"/>
                <w:lang w:bidi="ar"/>
              </w:rPr>
              <w:t>t/a</w:t>
            </w:r>
          </w:p>
        </w:tc>
      </w:tr>
      <w:tr w14:paraId="6CA73E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695" w:type="dxa"/>
            <w:vMerge w:val="continue"/>
            <w:vAlign w:val="center"/>
          </w:tcPr>
          <w:p w14:paraId="0DD6E332">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1B27CE83">
            <w:pPr>
              <w:pStyle w:val="82"/>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NOx</w:t>
            </w:r>
          </w:p>
        </w:tc>
        <w:tc>
          <w:tcPr>
            <w:tcW w:w="771" w:type="dxa"/>
            <w:vAlign w:val="center"/>
          </w:tcPr>
          <w:p w14:paraId="558EB208">
            <w:pPr>
              <w:pStyle w:val="82"/>
              <w:spacing w:beforeLines="0" w:afterLines="0" w:line="240" w:lineRule="auto"/>
              <w:rPr>
                <w:rFonts w:ascii="Times New Roman"/>
                <w:color w:val="auto"/>
                <w:szCs w:val="21"/>
                <w:highlight w:val="none"/>
              </w:rPr>
            </w:pPr>
          </w:p>
        </w:tc>
        <w:tc>
          <w:tcPr>
            <w:tcW w:w="548" w:type="dxa"/>
            <w:vAlign w:val="center"/>
          </w:tcPr>
          <w:p w14:paraId="2B093628">
            <w:pPr>
              <w:pStyle w:val="82"/>
              <w:spacing w:beforeLines="0" w:afterLines="0" w:line="240" w:lineRule="auto"/>
              <w:rPr>
                <w:rFonts w:ascii="Times New Roman"/>
                <w:color w:val="auto"/>
                <w:szCs w:val="21"/>
                <w:highlight w:val="none"/>
              </w:rPr>
            </w:pPr>
          </w:p>
        </w:tc>
        <w:tc>
          <w:tcPr>
            <w:tcW w:w="814" w:type="dxa"/>
            <w:vAlign w:val="center"/>
          </w:tcPr>
          <w:p w14:paraId="51B33844">
            <w:pPr>
              <w:pStyle w:val="82"/>
              <w:spacing w:beforeLines="0" w:afterLines="0" w:line="240" w:lineRule="auto"/>
              <w:rPr>
                <w:rFonts w:ascii="Times New Roman"/>
                <w:color w:val="auto"/>
                <w:szCs w:val="21"/>
                <w:highlight w:val="none"/>
              </w:rPr>
            </w:pPr>
          </w:p>
        </w:tc>
        <w:tc>
          <w:tcPr>
            <w:tcW w:w="1186" w:type="dxa"/>
            <w:vAlign w:val="center"/>
          </w:tcPr>
          <w:p w14:paraId="24E49AE2">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33.89</w:t>
            </w:r>
            <w:r>
              <w:rPr>
                <w:rFonts w:hint="eastAsia" w:ascii="Times New Roman" w:hAnsi="Times New Roman" w:eastAsia="宋体" w:cs="Times New Roman"/>
                <w:color w:val="auto"/>
                <w:kern w:val="0"/>
                <w:szCs w:val="21"/>
                <w:highlight w:val="none"/>
                <w:lang w:bidi="ar"/>
              </w:rPr>
              <w:t>t/a</w:t>
            </w:r>
          </w:p>
        </w:tc>
        <w:tc>
          <w:tcPr>
            <w:tcW w:w="801" w:type="dxa"/>
            <w:vAlign w:val="center"/>
          </w:tcPr>
          <w:p w14:paraId="53C32E11">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239908E9">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33.89</w:t>
            </w:r>
            <w:r>
              <w:rPr>
                <w:rFonts w:hint="eastAsia" w:ascii="Times New Roman" w:hAnsi="Times New Roman" w:eastAsia="宋体" w:cs="Times New Roman"/>
                <w:color w:val="auto"/>
                <w:kern w:val="0"/>
                <w:szCs w:val="21"/>
                <w:highlight w:val="none"/>
                <w:lang w:bidi="ar"/>
              </w:rPr>
              <w:t>t/a</w:t>
            </w:r>
          </w:p>
        </w:tc>
        <w:tc>
          <w:tcPr>
            <w:tcW w:w="1217" w:type="dxa"/>
            <w:vAlign w:val="center"/>
          </w:tcPr>
          <w:p w14:paraId="380B22BC">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cs="Times New Roman"/>
                <w:color w:val="auto"/>
                <w:kern w:val="0"/>
                <w:szCs w:val="21"/>
                <w:highlight w:val="none"/>
                <w:lang w:val="en-US" w:eastAsia="zh-CN" w:bidi="ar"/>
              </w:rPr>
              <w:t>+</w:t>
            </w:r>
            <w:r>
              <w:rPr>
                <w:rFonts w:hint="eastAsia" w:ascii="Times New Roman" w:hAnsi="Times New Roman" w:eastAsia="宋体" w:cs="Times New Roman"/>
                <w:color w:val="auto"/>
                <w:kern w:val="0"/>
                <w:szCs w:val="21"/>
                <w:highlight w:val="none"/>
                <w:lang w:val="en-US" w:eastAsia="zh-CN" w:bidi="ar"/>
              </w:rPr>
              <w:t>33.89</w:t>
            </w:r>
            <w:r>
              <w:rPr>
                <w:rFonts w:hint="eastAsia" w:ascii="Times New Roman" w:hAnsi="Times New Roman" w:eastAsia="宋体" w:cs="Times New Roman"/>
                <w:color w:val="auto"/>
                <w:kern w:val="0"/>
                <w:szCs w:val="21"/>
                <w:highlight w:val="none"/>
                <w:lang w:bidi="ar"/>
              </w:rPr>
              <w:t>t/a</w:t>
            </w:r>
          </w:p>
        </w:tc>
      </w:tr>
      <w:tr w14:paraId="26F2D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695" w:type="dxa"/>
            <w:vMerge w:val="continue"/>
            <w:vAlign w:val="center"/>
          </w:tcPr>
          <w:p w14:paraId="0BD0059C">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7231D8ED">
            <w:pPr>
              <w:pStyle w:val="82"/>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VOCs</w:t>
            </w:r>
          </w:p>
        </w:tc>
        <w:tc>
          <w:tcPr>
            <w:tcW w:w="771" w:type="dxa"/>
            <w:vAlign w:val="center"/>
          </w:tcPr>
          <w:p w14:paraId="50D802E4">
            <w:pPr>
              <w:pStyle w:val="82"/>
              <w:spacing w:beforeLines="0" w:afterLines="0" w:line="240" w:lineRule="auto"/>
              <w:rPr>
                <w:rFonts w:ascii="Times New Roman"/>
                <w:color w:val="auto"/>
                <w:szCs w:val="21"/>
                <w:highlight w:val="none"/>
              </w:rPr>
            </w:pPr>
          </w:p>
        </w:tc>
        <w:tc>
          <w:tcPr>
            <w:tcW w:w="548" w:type="dxa"/>
            <w:vAlign w:val="center"/>
          </w:tcPr>
          <w:p w14:paraId="53C7DF24">
            <w:pPr>
              <w:pStyle w:val="82"/>
              <w:spacing w:beforeLines="0" w:afterLines="0" w:line="240" w:lineRule="auto"/>
              <w:rPr>
                <w:rFonts w:ascii="Times New Roman"/>
                <w:color w:val="auto"/>
                <w:szCs w:val="21"/>
                <w:highlight w:val="none"/>
              </w:rPr>
            </w:pPr>
          </w:p>
        </w:tc>
        <w:tc>
          <w:tcPr>
            <w:tcW w:w="814" w:type="dxa"/>
            <w:vAlign w:val="center"/>
          </w:tcPr>
          <w:p w14:paraId="52027557">
            <w:pPr>
              <w:pStyle w:val="82"/>
              <w:spacing w:beforeLines="0" w:afterLines="0" w:line="240" w:lineRule="auto"/>
              <w:rPr>
                <w:rFonts w:ascii="Times New Roman"/>
                <w:color w:val="auto"/>
                <w:szCs w:val="21"/>
                <w:highlight w:val="none"/>
              </w:rPr>
            </w:pPr>
          </w:p>
        </w:tc>
        <w:tc>
          <w:tcPr>
            <w:tcW w:w="1186" w:type="dxa"/>
            <w:vAlign w:val="center"/>
          </w:tcPr>
          <w:p w14:paraId="1BE9E282">
            <w:pPr>
              <w:widowControl/>
              <w:jc w:val="center"/>
              <w:textAlignment w:val="center"/>
              <w:rPr>
                <w:color w:val="auto"/>
                <w:szCs w:val="21"/>
                <w:highlight w:val="none"/>
              </w:rPr>
            </w:pPr>
            <w:r>
              <w:rPr>
                <w:rFonts w:hint="eastAsia" w:ascii="Times New Roman" w:hAnsi="Times New Roman" w:eastAsia="宋体" w:cs="Times New Roman"/>
                <w:color w:val="auto"/>
                <w:szCs w:val="21"/>
                <w:highlight w:val="none"/>
              </w:rPr>
              <w:t>9</w:t>
            </w:r>
            <w:r>
              <w:rPr>
                <w:rFonts w:hint="eastAsia" w:cs="Times New Roman"/>
                <w:color w:val="auto"/>
                <w:szCs w:val="21"/>
                <w:highlight w:val="none"/>
                <w:lang w:val="en-US" w:eastAsia="zh-CN"/>
              </w:rPr>
              <w:t>.05</w:t>
            </w:r>
            <w:r>
              <w:rPr>
                <w:rFonts w:hint="eastAsia" w:ascii="Times New Roman" w:hAnsi="Times New Roman" w:eastAsia="宋体" w:cs="Times New Roman"/>
                <w:color w:val="auto"/>
                <w:szCs w:val="21"/>
                <w:highlight w:val="none"/>
              </w:rPr>
              <w:t>t/a</w:t>
            </w:r>
          </w:p>
        </w:tc>
        <w:tc>
          <w:tcPr>
            <w:tcW w:w="801" w:type="dxa"/>
            <w:vAlign w:val="center"/>
          </w:tcPr>
          <w:p w14:paraId="53CFB8F5">
            <w:pPr>
              <w:spacing w:beforeLines="0" w:afterLines="0" w:line="240" w:lineRule="auto"/>
              <w:rPr>
                <w:rFonts w:ascii="Times New Roman"/>
                <w:color w:val="auto"/>
                <w:szCs w:val="21"/>
                <w:highlight w:val="none"/>
              </w:rPr>
            </w:pPr>
          </w:p>
        </w:tc>
        <w:tc>
          <w:tcPr>
            <w:tcW w:w="1215" w:type="dxa"/>
            <w:vAlign w:val="center"/>
          </w:tcPr>
          <w:p w14:paraId="178C0C4A">
            <w:pPr>
              <w:widowControl/>
              <w:jc w:val="center"/>
              <w:textAlignment w:val="center"/>
              <w:rPr>
                <w:color w:val="auto"/>
                <w:szCs w:val="21"/>
                <w:highlight w:val="none"/>
              </w:rPr>
            </w:pPr>
            <w:r>
              <w:rPr>
                <w:rFonts w:hint="eastAsia" w:ascii="Times New Roman" w:hAnsi="Times New Roman" w:eastAsia="宋体" w:cs="Times New Roman"/>
                <w:color w:val="auto"/>
                <w:szCs w:val="21"/>
                <w:highlight w:val="none"/>
              </w:rPr>
              <w:t>9</w:t>
            </w:r>
            <w:r>
              <w:rPr>
                <w:rFonts w:hint="eastAsia" w:cs="Times New Roman"/>
                <w:color w:val="auto"/>
                <w:szCs w:val="21"/>
                <w:highlight w:val="none"/>
                <w:lang w:val="en-US" w:eastAsia="zh-CN"/>
              </w:rPr>
              <w:t>.05</w:t>
            </w:r>
            <w:r>
              <w:rPr>
                <w:rFonts w:hint="eastAsia" w:ascii="Times New Roman" w:hAnsi="Times New Roman" w:eastAsia="宋体" w:cs="Times New Roman"/>
                <w:color w:val="auto"/>
                <w:szCs w:val="21"/>
                <w:highlight w:val="none"/>
              </w:rPr>
              <w:t>t/a</w:t>
            </w:r>
          </w:p>
        </w:tc>
        <w:tc>
          <w:tcPr>
            <w:tcW w:w="1217" w:type="dxa"/>
            <w:vAlign w:val="center"/>
          </w:tcPr>
          <w:p w14:paraId="4A3EDC6D">
            <w:pPr>
              <w:widowControl/>
              <w:jc w:val="center"/>
              <w:textAlignment w:val="center"/>
              <w:rPr>
                <w:color w:val="auto"/>
                <w:szCs w:val="21"/>
                <w:highlight w:val="none"/>
              </w:rPr>
            </w:pPr>
            <w:r>
              <w:rPr>
                <w:rFonts w:hint="eastAsia" w:cs="Times New Roman"/>
                <w:color w:val="auto"/>
                <w:szCs w:val="21"/>
                <w:highlight w:val="none"/>
                <w:lang w:val="en-US" w:eastAsia="zh-CN"/>
              </w:rPr>
              <w:t>+</w:t>
            </w:r>
            <w:r>
              <w:rPr>
                <w:rFonts w:hint="eastAsia" w:ascii="Times New Roman" w:hAnsi="Times New Roman" w:eastAsia="宋体" w:cs="Times New Roman"/>
                <w:color w:val="auto"/>
                <w:szCs w:val="21"/>
                <w:highlight w:val="none"/>
              </w:rPr>
              <w:t>9</w:t>
            </w:r>
            <w:r>
              <w:rPr>
                <w:rFonts w:hint="eastAsia" w:cs="Times New Roman"/>
                <w:color w:val="auto"/>
                <w:szCs w:val="21"/>
                <w:highlight w:val="none"/>
                <w:lang w:val="en-US" w:eastAsia="zh-CN"/>
              </w:rPr>
              <w:t>.05</w:t>
            </w:r>
            <w:r>
              <w:rPr>
                <w:rFonts w:hint="eastAsia" w:ascii="Times New Roman" w:hAnsi="Times New Roman" w:eastAsia="宋体" w:cs="Times New Roman"/>
                <w:color w:val="auto"/>
                <w:szCs w:val="21"/>
                <w:highlight w:val="none"/>
              </w:rPr>
              <w:t>t/a</w:t>
            </w:r>
          </w:p>
        </w:tc>
      </w:tr>
      <w:tr w14:paraId="78FE33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695" w:type="dxa"/>
            <w:vMerge w:val="continue"/>
            <w:vAlign w:val="center"/>
          </w:tcPr>
          <w:p w14:paraId="5FC2A571">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70D894AF">
            <w:pPr>
              <w:pStyle w:val="82"/>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工业粉尘</w:t>
            </w:r>
          </w:p>
        </w:tc>
        <w:tc>
          <w:tcPr>
            <w:tcW w:w="771" w:type="dxa"/>
            <w:vAlign w:val="center"/>
          </w:tcPr>
          <w:p w14:paraId="0DEDBE12">
            <w:pPr>
              <w:pStyle w:val="82"/>
              <w:spacing w:beforeLines="0" w:afterLines="0" w:line="240" w:lineRule="auto"/>
              <w:rPr>
                <w:rFonts w:ascii="Times New Roman"/>
                <w:color w:val="auto"/>
                <w:szCs w:val="21"/>
                <w:highlight w:val="none"/>
              </w:rPr>
            </w:pPr>
          </w:p>
        </w:tc>
        <w:tc>
          <w:tcPr>
            <w:tcW w:w="548" w:type="dxa"/>
            <w:vAlign w:val="center"/>
          </w:tcPr>
          <w:p w14:paraId="32552648">
            <w:pPr>
              <w:pStyle w:val="82"/>
              <w:spacing w:beforeLines="0" w:afterLines="0" w:line="240" w:lineRule="auto"/>
              <w:rPr>
                <w:rFonts w:ascii="Times New Roman"/>
                <w:color w:val="auto"/>
                <w:szCs w:val="21"/>
                <w:highlight w:val="none"/>
              </w:rPr>
            </w:pPr>
          </w:p>
        </w:tc>
        <w:tc>
          <w:tcPr>
            <w:tcW w:w="814" w:type="dxa"/>
            <w:vAlign w:val="center"/>
          </w:tcPr>
          <w:p w14:paraId="414E34D1">
            <w:pPr>
              <w:pStyle w:val="82"/>
              <w:spacing w:beforeLines="0" w:afterLines="0" w:line="240" w:lineRule="auto"/>
              <w:rPr>
                <w:rFonts w:ascii="Times New Roman"/>
                <w:color w:val="auto"/>
                <w:szCs w:val="21"/>
                <w:highlight w:val="none"/>
              </w:rPr>
            </w:pPr>
          </w:p>
        </w:tc>
        <w:tc>
          <w:tcPr>
            <w:tcW w:w="1186" w:type="dxa"/>
            <w:vAlign w:val="center"/>
          </w:tcPr>
          <w:p w14:paraId="4F2FE679">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cs="Times New Roman"/>
                <w:color w:val="auto"/>
                <w:kern w:val="0"/>
                <w:szCs w:val="21"/>
                <w:highlight w:val="none"/>
                <w:lang w:val="en-US" w:eastAsia="zh-CN" w:bidi="ar"/>
              </w:rPr>
              <w:t>7.194</w:t>
            </w:r>
            <w:r>
              <w:rPr>
                <w:rFonts w:hint="eastAsia" w:ascii="Times New Roman" w:hAnsi="Times New Roman" w:eastAsia="宋体" w:cs="Times New Roman"/>
                <w:color w:val="auto"/>
                <w:kern w:val="0"/>
                <w:szCs w:val="21"/>
                <w:highlight w:val="none"/>
                <w:lang w:bidi="ar"/>
              </w:rPr>
              <w:t>t/a</w:t>
            </w:r>
          </w:p>
        </w:tc>
        <w:tc>
          <w:tcPr>
            <w:tcW w:w="801" w:type="dxa"/>
            <w:vAlign w:val="center"/>
          </w:tcPr>
          <w:p w14:paraId="070802FF">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7E69197A">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cs="Times New Roman"/>
                <w:color w:val="auto"/>
                <w:kern w:val="0"/>
                <w:szCs w:val="21"/>
                <w:highlight w:val="none"/>
                <w:lang w:val="en-US" w:eastAsia="zh-CN" w:bidi="ar"/>
              </w:rPr>
              <w:t>7.194</w:t>
            </w:r>
            <w:r>
              <w:rPr>
                <w:rFonts w:hint="eastAsia" w:ascii="Times New Roman" w:hAnsi="Times New Roman" w:eastAsia="宋体" w:cs="Times New Roman"/>
                <w:color w:val="auto"/>
                <w:kern w:val="0"/>
                <w:szCs w:val="21"/>
                <w:highlight w:val="none"/>
                <w:lang w:bidi="ar"/>
              </w:rPr>
              <w:t>t/a</w:t>
            </w:r>
          </w:p>
        </w:tc>
        <w:tc>
          <w:tcPr>
            <w:tcW w:w="1217" w:type="dxa"/>
            <w:vAlign w:val="center"/>
          </w:tcPr>
          <w:p w14:paraId="631D4070">
            <w:pPr>
              <w:widowControl/>
              <w:jc w:val="center"/>
              <w:textAlignment w:val="center"/>
              <w:rPr>
                <w:rFonts w:hint="eastAsia" w:ascii="Times New Roman" w:hAnsi="Times New Roman" w:eastAsia="宋体" w:cs="Times New Roman"/>
                <w:color w:val="auto"/>
                <w:kern w:val="0"/>
                <w:szCs w:val="21"/>
                <w:highlight w:val="none"/>
                <w:lang w:bidi="ar"/>
              </w:rPr>
            </w:pPr>
            <w:r>
              <w:rPr>
                <w:rFonts w:hint="eastAsia" w:cs="Times New Roman"/>
                <w:color w:val="auto"/>
                <w:kern w:val="0"/>
                <w:szCs w:val="21"/>
                <w:highlight w:val="none"/>
                <w:lang w:val="en-US" w:eastAsia="zh-CN" w:bidi="ar"/>
              </w:rPr>
              <w:t>+7.194</w:t>
            </w:r>
            <w:r>
              <w:rPr>
                <w:rFonts w:hint="eastAsia" w:ascii="Times New Roman" w:hAnsi="Times New Roman" w:eastAsia="宋体" w:cs="Times New Roman"/>
                <w:color w:val="auto"/>
                <w:kern w:val="0"/>
                <w:szCs w:val="21"/>
                <w:highlight w:val="none"/>
                <w:lang w:bidi="ar"/>
              </w:rPr>
              <w:t>t/a</w:t>
            </w:r>
          </w:p>
        </w:tc>
      </w:tr>
      <w:tr w14:paraId="39259D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695" w:type="dxa"/>
            <w:vMerge w:val="continue"/>
            <w:vAlign w:val="center"/>
          </w:tcPr>
          <w:p w14:paraId="74DC3D02">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7A3DFDFF">
            <w:pPr>
              <w:pStyle w:val="82"/>
              <w:spacing w:beforeLines="0" w:afterLines="0" w:line="240" w:lineRule="auto"/>
              <w:rPr>
                <w:rFonts w:hint="eastAsia" w:ascii="Times New Roman" w:eastAsia="宋体"/>
                <w:snapToGrid w:val="0"/>
                <w:color w:val="auto"/>
                <w:kern w:val="21"/>
                <w:szCs w:val="21"/>
                <w:highlight w:val="none"/>
                <w:lang w:val="en-US" w:eastAsia="zh-CN"/>
              </w:rPr>
            </w:pPr>
            <w:r>
              <w:rPr>
                <w:rFonts w:hint="eastAsia" w:ascii="Times New Roman"/>
                <w:snapToGrid w:val="0"/>
                <w:color w:val="auto"/>
                <w:kern w:val="21"/>
                <w:szCs w:val="21"/>
                <w:highlight w:val="none"/>
              </w:rPr>
              <w:t>NH</w:t>
            </w:r>
            <w:r>
              <w:rPr>
                <w:rFonts w:hint="eastAsia" w:ascii="Times New Roman"/>
                <w:snapToGrid w:val="0"/>
                <w:color w:val="auto"/>
                <w:kern w:val="21"/>
                <w:szCs w:val="21"/>
                <w:highlight w:val="none"/>
                <w:vertAlign w:val="subscript"/>
                <w:lang w:val="en-US" w:eastAsia="zh-CN"/>
              </w:rPr>
              <w:t>3</w:t>
            </w:r>
          </w:p>
        </w:tc>
        <w:tc>
          <w:tcPr>
            <w:tcW w:w="771" w:type="dxa"/>
            <w:vAlign w:val="center"/>
          </w:tcPr>
          <w:p w14:paraId="57BC3EC1">
            <w:pPr>
              <w:pStyle w:val="82"/>
              <w:spacing w:beforeLines="0" w:afterLines="0" w:line="240" w:lineRule="auto"/>
              <w:rPr>
                <w:rFonts w:ascii="Times New Roman"/>
                <w:color w:val="auto"/>
                <w:szCs w:val="21"/>
                <w:highlight w:val="none"/>
              </w:rPr>
            </w:pPr>
          </w:p>
        </w:tc>
        <w:tc>
          <w:tcPr>
            <w:tcW w:w="548" w:type="dxa"/>
            <w:vAlign w:val="center"/>
          </w:tcPr>
          <w:p w14:paraId="29A094F0">
            <w:pPr>
              <w:pStyle w:val="82"/>
              <w:spacing w:beforeLines="0" w:afterLines="0" w:line="240" w:lineRule="auto"/>
              <w:rPr>
                <w:rFonts w:ascii="Times New Roman"/>
                <w:color w:val="auto"/>
                <w:szCs w:val="21"/>
                <w:highlight w:val="none"/>
              </w:rPr>
            </w:pPr>
          </w:p>
        </w:tc>
        <w:tc>
          <w:tcPr>
            <w:tcW w:w="814" w:type="dxa"/>
            <w:vAlign w:val="center"/>
          </w:tcPr>
          <w:p w14:paraId="57B2BEA0">
            <w:pPr>
              <w:pStyle w:val="82"/>
              <w:spacing w:beforeLines="0" w:afterLines="0" w:line="240" w:lineRule="auto"/>
              <w:rPr>
                <w:rFonts w:ascii="Times New Roman"/>
                <w:color w:val="auto"/>
                <w:szCs w:val="21"/>
                <w:highlight w:val="none"/>
              </w:rPr>
            </w:pPr>
          </w:p>
        </w:tc>
        <w:tc>
          <w:tcPr>
            <w:tcW w:w="1186" w:type="dxa"/>
            <w:vAlign w:val="center"/>
          </w:tcPr>
          <w:p w14:paraId="2A3C472A">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6.3×10</w:t>
            </w:r>
            <w:r>
              <w:rPr>
                <w:rFonts w:hint="eastAsia" w:cs="Times New Roman"/>
                <w:color w:val="auto"/>
                <w:kern w:val="0"/>
                <w:szCs w:val="21"/>
                <w:highlight w:val="none"/>
                <w:vertAlign w:val="superscript"/>
                <w:lang w:val="en-US" w:eastAsia="zh-CN" w:bidi="ar"/>
              </w:rPr>
              <w:t>-5</w:t>
            </w:r>
          </w:p>
        </w:tc>
        <w:tc>
          <w:tcPr>
            <w:tcW w:w="801" w:type="dxa"/>
            <w:vAlign w:val="center"/>
          </w:tcPr>
          <w:p w14:paraId="73A8578C">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40A0A5A0">
            <w:pPr>
              <w:widowControl/>
              <w:jc w:val="center"/>
              <w:textAlignment w:val="center"/>
              <w:rPr>
                <w:rFonts w:hint="eastAsia"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6.3×10</w:t>
            </w:r>
            <w:r>
              <w:rPr>
                <w:rFonts w:hint="eastAsia" w:cs="Times New Roman"/>
                <w:color w:val="auto"/>
                <w:kern w:val="0"/>
                <w:szCs w:val="21"/>
                <w:highlight w:val="none"/>
                <w:vertAlign w:val="superscript"/>
                <w:lang w:val="en-US" w:eastAsia="zh-CN" w:bidi="ar"/>
              </w:rPr>
              <w:t>-5</w:t>
            </w:r>
          </w:p>
        </w:tc>
        <w:tc>
          <w:tcPr>
            <w:tcW w:w="1217" w:type="dxa"/>
            <w:vAlign w:val="center"/>
          </w:tcPr>
          <w:p w14:paraId="2DD2A802">
            <w:pPr>
              <w:widowControl/>
              <w:jc w:val="center"/>
              <w:textAlignment w:val="center"/>
              <w:rPr>
                <w:rFonts w:hint="eastAsia"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+6.3×10</w:t>
            </w:r>
            <w:r>
              <w:rPr>
                <w:rFonts w:hint="eastAsia" w:cs="Times New Roman"/>
                <w:color w:val="auto"/>
                <w:kern w:val="0"/>
                <w:szCs w:val="21"/>
                <w:highlight w:val="none"/>
                <w:vertAlign w:val="superscript"/>
                <w:lang w:val="en-US" w:eastAsia="zh-CN" w:bidi="ar"/>
              </w:rPr>
              <w:t>-5</w:t>
            </w:r>
          </w:p>
        </w:tc>
      </w:tr>
      <w:tr w14:paraId="6D454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695" w:type="dxa"/>
            <w:vMerge w:val="continue"/>
            <w:vAlign w:val="center"/>
          </w:tcPr>
          <w:p w14:paraId="6B5C0687">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27ABAB10">
            <w:pPr>
              <w:pStyle w:val="82"/>
              <w:spacing w:beforeLines="0" w:afterLines="0" w:line="240" w:lineRule="auto"/>
              <w:rPr>
                <w:rFonts w:hint="eastAsia" w:ascii="Times New Roman"/>
                <w:snapToGrid w:val="0"/>
                <w:color w:val="auto"/>
                <w:kern w:val="21"/>
                <w:szCs w:val="21"/>
                <w:highlight w:val="none"/>
              </w:rPr>
            </w:pPr>
            <w:r>
              <w:rPr>
                <w:rFonts w:hint="eastAsia" w:ascii="Times New Roman"/>
                <w:snapToGrid w:val="0"/>
                <w:color w:val="auto"/>
                <w:kern w:val="21"/>
                <w:szCs w:val="21"/>
                <w:highlight w:val="none"/>
              </w:rPr>
              <w:t>H</w:t>
            </w:r>
            <w:r>
              <w:rPr>
                <w:rFonts w:hint="eastAsia" w:ascii="Times New Roman"/>
                <w:snapToGrid w:val="0"/>
                <w:color w:val="auto"/>
                <w:kern w:val="21"/>
                <w:szCs w:val="21"/>
                <w:highlight w:val="none"/>
                <w:vertAlign w:val="subscript"/>
                <w:lang w:val="en-US" w:eastAsia="zh-CN"/>
              </w:rPr>
              <w:t>2</w:t>
            </w:r>
            <w:r>
              <w:rPr>
                <w:rFonts w:hint="eastAsia" w:ascii="Times New Roman"/>
                <w:snapToGrid w:val="0"/>
                <w:color w:val="auto"/>
                <w:kern w:val="21"/>
                <w:szCs w:val="21"/>
                <w:highlight w:val="none"/>
              </w:rPr>
              <w:t>S</w:t>
            </w:r>
          </w:p>
        </w:tc>
        <w:tc>
          <w:tcPr>
            <w:tcW w:w="771" w:type="dxa"/>
            <w:vAlign w:val="center"/>
          </w:tcPr>
          <w:p w14:paraId="391E1F35">
            <w:pPr>
              <w:pStyle w:val="82"/>
              <w:spacing w:beforeLines="0" w:afterLines="0" w:line="240" w:lineRule="auto"/>
              <w:rPr>
                <w:rFonts w:ascii="Times New Roman"/>
                <w:color w:val="auto"/>
                <w:szCs w:val="21"/>
                <w:highlight w:val="none"/>
              </w:rPr>
            </w:pPr>
          </w:p>
        </w:tc>
        <w:tc>
          <w:tcPr>
            <w:tcW w:w="548" w:type="dxa"/>
            <w:vAlign w:val="center"/>
          </w:tcPr>
          <w:p w14:paraId="106350EB">
            <w:pPr>
              <w:pStyle w:val="82"/>
              <w:spacing w:beforeLines="0" w:afterLines="0" w:line="240" w:lineRule="auto"/>
              <w:rPr>
                <w:rFonts w:ascii="Times New Roman"/>
                <w:color w:val="auto"/>
                <w:szCs w:val="21"/>
                <w:highlight w:val="none"/>
              </w:rPr>
            </w:pPr>
          </w:p>
        </w:tc>
        <w:tc>
          <w:tcPr>
            <w:tcW w:w="814" w:type="dxa"/>
            <w:vAlign w:val="center"/>
          </w:tcPr>
          <w:p w14:paraId="019648FB">
            <w:pPr>
              <w:pStyle w:val="82"/>
              <w:spacing w:beforeLines="0" w:afterLines="0" w:line="240" w:lineRule="auto"/>
              <w:rPr>
                <w:rFonts w:ascii="Times New Roman"/>
                <w:color w:val="auto"/>
                <w:szCs w:val="21"/>
                <w:highlight w:val="none"/>
              </w:rPr>
            </w:pPr>
          </w:p>
        </w:tc>
        <w:tc>
          <w:tcPr>
            <w:tcW w:w="1186" w:type="dxa"/>
            <w:vAlign w:val="center"/>
          </w:tcPr>
          <w:p w14:paraId="22D2AF88">
            <w:pPr>
              <w:widowControl/>
              <w:jc w:val="center"/>
              <w:textAlignment w:val="center"/>
              <w:rPr>
                <w:rFonts w:hint="default"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2.5×10</w:t>
            </w:r>
            <w:r>
              <w:rPr>
                <w:rFonts w:hint="eastAsia" w:cs="Times New Roman"/>
                <w:color w:val="auto"/>
                <w:kern w:val="0"/>
                <w:szCs w:val="21"/>
                <w:highlight w:val="none"/>
                <w:vertAlign w:val="superscript"/>
                <w:lang w:val="en-US" w:eastAsia="zh-CN" w:bidi="ar"/>
              </w:rPr>
              <w:t>-5</w:t>
            </w:r>
          </w:p>
        </w:tc>
        <w:tc>
          <w:tcPr>
            <w:tcW w:w="801" w:type="dxa"/>
            <w:vAlign w:val="center"/>
          </w:tcPr>
          <w:p w14:paraId="71C42800">
            <w:pPr>
              <w:widowControl/>
              <w:jc w:val="center"/>
              <w:textAlignment w:val="center"/>
              <w:rPr>
                <w:rFonts w:hint="eastAsia" w:ascii="Times New Roman" w:hAnsi="Times New Roman" w:eastAsia="宋体" w:cs="Times New Roman"/>
                <w:color w:val="auto"/>
                <w:kern w:val="0"/>
                <w:szCs w:val="21"/>
                <w:highlight w:val="none"/>
                <w:lang w:bidi="ar"/>
              </w:rPr>
            </w:pPr>
          </w:p>
        </w:tc>
        <w:tc>
          <w:tcPr>
            <w:tcW w:w="1215" w:type="dxa"/>
            <w:vAlign w:val="center"/>
          </w:tcPr>
          <w:p w14:paraId="6BD6CD08">
            <w:pPr>
              <w:widowControl/>
              <w:jc w:val="center"/>
              <w:textAlignment w:val="center"/>
              <w:rPr>
                <w:rFonts w:hint="eastAsia"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2.5×10</w:t>
            </w:r>
            <w:r>
              <w:rPr>
                <w:rFonts w:hint="eastAsia" w:cs="Times New Roman"/>
                <w:color w:val="auto"/>
                <w:kern w:val="0"/>
                <w:szCs w:val="21"/>
                <w:highlight w:val="none"/>
                <w:vertAlign w:val="superscript"/>
                <w:lang w:val="en-US" w:eastAsia="zh-CN" w:bidi="ar"/>
              </w:rPr>
              <w:t>-5</w:t>
            </w:r>
          </w:p>
        </w:tc>
        <w:tc>
          <w:tcPr>
            <w:tcW w:w="1217" w:type="dxa"/>
            <w:vAlign w:val="center"/>
          </w:tcPr>
          <w:p w14:paraId="1479E9D6">
            <w:pPr>
              <w:widowControl/>
              <w:jc w:val="center"/>
              <w:textAlignment w:val="center"/>
              <w:rPr>
                <w:rFonts w:hint="eastAsia"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+2.5×10</w:t>
            </w:r>
            <w:r>
              <w:rPr>
                <w:rFonts w:hint="eastAsia" w:cs="Times New Roman"/>
                <w:color w:val="auto"/>
                <w:kern w:val="0"/>
                <w:szCs w:val="21"/>
                <w:highlight w:val="none"/>
                <w:vertAlign w:val="superscript"/>
                <w:lang w:val="en-US" w:eastAsia="zh-CN" w:bidi="ar"/>
              </w:rPr>
              <w:t>-5</w:t>
            </w:r>
          </w:p>
        </w:tc>
      </w:tr>
      <w:tr w14:paraId="42FEDC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695" w:type="dxa"/>
            <w:vMerge w:val="restart"/>
            <w:vAlign w:val="center"/>
          </w:tcPr>
          <w:p w14:paraId="25C3B0AC">
            <w:pPr>
              <w:pStyle w:val="82"/>
              <w:spacing w:beforeLines="0" w:afterLines="0" w:line="240" w:lineRule="auto"/>
              <w:rPr>
                <w:rFonts w:hAnsi="宋体" w:cs="宋体"/>
                <w:snapToGrid w:val="0"/>
                <w:color w:val="auto"/>
                <w:kern w:val="21"/>
                <w:szCs w:val="21"/>
                <w:highlight w:val="none"/>
              </w:rPr>
            </w:pPr>
            <w:r>
              <w:rPr>
                <w:rFonts w:hint="eastAsia" w:hAnsi="宋体" w:cs="宋体"/>
                <w:snapToGrid w:val="0"/>
                <w:color w:val="auto"/>
                <w:kern w:val="21"/>
                <w:szCs w:val="21"/>
                <w:highlight w:val="none"/>
              </w:rPr>
              <w:t>废水</w:t>
            </w:r>
          </w:p>
        </w:tc>
        <w:tc>
          <w:tcPr>
            <w:tcW w:w="1103" w:type="dxa"/>
            <w:vAlign w:val="center"/>
          </w:tcPr>
          <w:p w14:paraId="4F9D7E2C">
            <w:pPr>
              <w:pStyle w:val="82"/>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COD</w:t>
            </w:r>
          </w:p>
        </w:tc>
        <w:tc>
          <w:tcPr>
            <w:tcW w:w="771" w:type="dxa"/>
            <w:vAlign w:val="center"/>
          </w:tcPr>
          <w:p w14:paraId="6136A541">
            <w:pPr>
              <w:pStyle w:val="82"/>
              <w:spacing w:beforeLines="0" w:afterLines="0" w:line="240" w:lineRule="auto"/>
              <w:rPr>
                <w:rFonts w:ascii="Times New Roman"/>
                <w:color w:val="auto"/>
                <w:szCs w:val="21"/>
                <w:highlight w:val="none"/>
              </w:rPr>
            </w:pPr>
          </w:p>
        </w:tc>
        <w:tc>
          <w:tcPr>
            <w:tcW w:w="548" w:type="dxa"/>
            <w:vAlign w:val="center"/>
          </w:tcPr>
          <w:p w14:paraId="58558368">
            <w:pPr>
              <w:pStyle w:val="82"/>
              <w:spacing w:beforeLines="0" w:afterLines="0" w:line="240" w:lineRule="auto"/>
              <w:rPr>
                <w:rFonts w:ascii="Times New Roman"/>
                <w:color w:val="auto"/>
                <w:szCs w:val="21"/>
                <w:highlight w:val="none"/>
              </w:rPr>
            </w:pPr>
          </w:p>
        </w:tc>
        <w:tc>
          <w:tcPr>
            <w:tcW w:w="814" w:type="dxa"/>
            <w:vAlign w:val="center"/>
          </w:tcPr>
          <w:p w14:paraId="4CDEC8E0">
            <w:pPr>
              <w:pStyle w:val="82"/>
              <w:spacing w:beforeLines="0" w:afterLines="0" w:line="240" w:lineRule="auto"/>
              <w:rPr>
                <w:rFonts w:ascii="Times New Roman"/>
                <w:color w:val="auto"/>
                <w:szCs w:val="21"/>
                <w:highlight w:val="none"/>
              </w:rPr>
            </w:pPr>
          </w:p>
        </w:tc>
        <w:tc>
          <w:tcPr>
            <w:tcW w:w="1186" w:type="dxa"/>
            <w:vAlign w:val="center"/>
          </w:tcPr>
          <w:p w14:paraId="31E65093">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4.82</w:t>
            </w:r>
            <w:r>
              <w:rPr>
                <w:rFonts w:hint="default" w:ascii="Times New Roman" w:hAnsi="Times New Roman" w:eastAsia="宋体" w:cs="Times New Roman"/>
                <w:color w:val="auto"/>
                <w:kern w:val="0"/>
                <w:szCs w:val="21"/>
                <w:highlight w:val="none"/>
                <w:lang w:val="en-US" w:eastAsia="zh-CN" w:bidi="ar"/>
              </w:rPr>
              <w:t>t/a</w:t>
            </w:r>
          </w:p>
        </w:tc>
        <w:tc>
          <w:tcPr>
            <w:tcW w:w="801" w:type="dxa"/>
            <w:vAlign w:val="center"/>
          </w:tcPr>
          <w:p w14:paraId="1F77FF41">
            <w:pPr>
              <w:widowControl/>
              <w:jc w:val="center"/>
              <w:textAlignment w:val="center"/>
              <w:rPr>
                <w:color w:val="auto"/>
                <w:kern w:val="0"/>
                <w:szCs w:val="21"/>
                <w:highlight w:val="none"/>
                <w:lang w:bidi="ar"/>
              </w:rPr>
            </w:pPr>
          </w:p>
        </w:tc>
        <w:tc>
          <w:tcPr>
            <w:tcW w:w="1215" w:type="dxa"/>
            <w:vAlign w:val="center"/>
          </w:tcPr>
          <w:p w14:paraId="037F6668">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4.82</w:t>
            </w:r>
            <w:r>
              <w:rPr>
                <w:rFonts w:hint="default" w:ascii="Times New Roman" w:hAnsi="Times New Roman" w:eastAsia="宋体" w:cs="Times New Roman"/>
                <w:color w:val="auto"/>
                <w:kern w:val="0"/>
                <w:szCs w:val="21"/>
                <w:highlight w:val="none"/>
                <w:lang w:val="en-US" w:eastAsia="zh-CN" w:bidi="ar"/>
              </w:rPr>
              <w:t>t/a</w:t>
            </w:r>
          </w:p>
        </w:tc>
        <w:tc>
          <w:tcPr>
            <w:tcW w:w="1217" w:type="dxa"/>
            <w:vAlign w:val="center"/>
          </w:tcPr>
          <w:p w14:paraId="55D9803A">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+4.82</w:t>
            </w:r>
            <w:r>
              <w:rPr>
                <w:rFonts w:hint="default" w:ascii="Times New Roman" w:hAnsi="Times New Roman" w:eastAsia="宋体" w:cs="Times New Roman"/>
                <w:color w:val="auto"/>
                <w:kern w:val="0"/>
                <w:szCs w:val="21"/>
                <w:highlight w:val="none"/>
                <w:lang w:val="en-US" w:eastAsia="zh-CN" w:bidi="ar"/>
              </w:rPr>
              <w:t>t/a</w:t>
            </w:r>
          </w:p>
        </w:tc>
      </w:tr>
      <w:tr w14:paraId="0EB799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695" w:type="dxa"/>
            <w:vMerge w:val="continue"/>
            <w:vAlign w:val="center"/>
          </w:tcPr>
          <w:p w14:paraId="6C0BDC3F">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2669717C">
            <w:pPr>
              <w:pStyle w:val="82"/>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rPr>
              <w:t>NH</w:t>
            </w:r>
            <w:r>
              <w:rPr>
                <w:rFonts w:hint="eastAsia" w:ascii="Times New Roman"/>
                <w:snapToGrid w:val="0"/>
                <w:color w:val="auto"/>
                <w:kern w:val="21"/>
                <w:szCs w:val="21"/>
                <w:highlight w:val="none"/>
                <w:vertAlign w:val="subscript"/>
              </w:rPr>
              <w:t>3</w:t>
            </w:r>
            <w:r>
              <w:rPr>
                <w:rFonts w:hint="eastAsia" w:ascii="Times New Roman"/>
                <w:snapToGrid w:val="0"/>
                <w:color w:val="auto"/>
                <w:kern w:val="21"/>
                <w:szCs w:val="21"/>
                <w:highlight w:val="none"/>
              </w:rPr>
              <w:t>-N</w:t>
            </w:r>
          </w:p>
        </w:tc>
        <w:tc>
          <w:tcPr>
            <w:tcW w:w="771" w:type="dxa"/>
            <w:vAlign w:val="center"/>
          </w:tcPr>
          <w:p w14:paraId="0EF0FC8B">
            <w:pPr>
              <w:pStyle w:val="82"/>
              <w:spacing w:beforeLines="0" w:afterLines="0" w:line="240" w:lineRule="auto"/>
              <w:rPr>
                <w:rFonts w:ascii="Times New Roman"/>
                <w:color w:val="auto"/>
                <w:szCs w:val="21"/>
                <w:highlight w:val="none"/>
              </w:rPr>
            </w:pPr>
          </w:p>
        </w:tc>
        <w:tc>
          <w:tcPr>
            <w:tcW w:w="548" w:type="dxa"/>
            <w:vAlign w:val="center"/>
          </w:tcPr>
          <w:p w14:paraId="162CB57B">
            <w:pPr>
              <w:pStyle w:val="82"/>
              <w:spacing w:beforeLines="0" w:afterLines="0" w:line="240" w:lineRule="auto"/>
              <w:rPr>
                <w:rFonts w:ascii="Times New Roman"/>
                <w:color w:val="auto"/>
                <w:szCs w:val="21"/>
                <w:highlight w:val="none"/>
              </w:rPr>
            </w:pPr>
          </w:p>
        </w:tc>
        <w:tc>
          <w:tcPr>
            <w:tcW w:w="814" w:type="dxa"/>
            <w:vAlign w:val="center"/>
          </w:tcPr>
          <w:p w14:paraId="7563CE4D">
            <w:pPr>
              <w:pStyle w:val="82"/>
              <w:spacing w:beforeLines="0" w:afterLines="0" w:line="240" w:lineRule="auto"/>
              <w:rPr>
                <w:rFonts w:ascii="Times New Roman"/>
                <w:color w:val="auto"/>
                <w:szCs w:val="21"/>
                <w:highlight w:val="none"/>
              </w:rPr>
            </w:pPr>
          </w:p>
        </w:tc>
        <w:tc>
          <w:tcPr>
            <w:tcW w:w="1186" w:type="dxa"/>
            <w:vAlign w:val="center"/>
          </w:tcPr>
          <w:p w14:paraId="7478AA2F">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0.084</w:t>
            </w:r>
            <w:r>
              <w:rPr>
                <w:rFonts w:hint="default" w:ascii="Times New Roman" w:hAnsi="Times New Roman" w:eastAsia="宋体" w:cs="Times New Roman"/>
                <w:color w:val="auto"/>
                <w:kern w:val="0"/>
                <w:szCs w:val="21"/>
                <w:highlight w:val="none"/>
                <w:lang w:val="en-US" w:eastAsia="zh-CN" w:bidi="ar"/>
              </w:rPr>
              <w:t>t/a</w:t>
            </w:r>
          </w:p>
        </w:tc>
        <w:tc>
          <w:tcPr>
            <w:tcW w:w="801" w:type="dxa"/>
            <w:vAlign w:val="center"/>
          </w:tcPr>
          <w:p w14:paraId="23AE9A2F">
            <w:pPr>
              <w:widowControl/>
              <w:jc w:val="center"/>
              <w:textAlignment w:val="center"/>
              <w:rPr>
                <w:color w:val="auto"/>
                <w:kern w:val="0"/>
                <w:szCs w:val="21"/>
                <w:highlight w:val="none"/>
                <w:lang w:bidi="ar"/>
              </w:rPr>
            </w:pPr>
          </w:p>
        </w:tc>
        <w:tc>
          <w:tcPr>
            <w:tcW w:w="1215" w:type="dxa"/>
            <w:vAlign w:val="center"/>
          </w:tcPr>
          <w:p w14:paraId="0218ED30">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0.084</w:t>
            </w:r>
            <w:r>
              <w:rPr>
                <w:rFonts w:hint="default" w:ascii="Times New Roman" w:hAnsi="Times New Roman" w:eastAsia="宋体" w:cs="Times New Roman"/>
                <w:color w:val="auto"/>
                <w:kern w:val="0"/>
                <w:szCs w:val="21"/>
                <w:highlight w:val="none"/>
                <w:lang w:val="en-US" w:eastAsia="zh-CN" w:bidi="ar"/>
              </w:rPr>
              <w:t>t/a</w:t>
            </w:r>
          </w:p>
        </w:tc>
        <w:tc>
          <w:tcPr>
            <w:tcW w:w="1217" w:type="dxa"/>
            <w:vAlign w:val="center"/>
          </w:tcPr>
          <w:p w14:paraId="4532C0F8">
            <w:pPr>
              <w:keepNext w:val="0"/>
              <w:keepLines w:val="0"/>
              <w:widowControl/>
              <w:suppressLineNumbers w:val="0"/>
              <w:spacing w:before="0" w:beforeAutospacing="0" w:after="0" w:afterAutospacing="0"/>
              <w:ind w:left="0" w:leftChars="0" w:right="0" w:rightChars="0"/>
              <w:jc w:val="center"/>
              <w:textAlignment w:val="center"/>
              <w:rPr>
                <w:color w:val="auto"/>
                <w:kern w:val="0"/>
                <w:szCs w:val="21"/>
                <w:highlight w:val="none"/>
                <w:lang w:bidi="ar"/>
              </w:rPr>
            </w:pPr>
            <w:r>
              <w:rPr>
                <w:rFonts w:hint="eastAsia" w:cs="Times New Roman"/>
                <w:color w:val="auto"/>
                <w:kern w:val="0"/>
                <w:szCs w:val="21"/>
                <w:highlight w:val="none"/>
                <w:lang w:val="en-US" w:eastAsia="zh-CN" w:bidi="ar"/>
              </w:rPr>
              <w:t>+0.084</w:t>
            </w:r>
            <w:r>
              <w:rPr>
                <w:rFonts w:hint="default" w:ascii="Times New Roman" w:hAnsi="Times New Roman" w:eastAsia="宋体" w:cs="Times New Roman"/>
                <w:color w:val="auto"/>
                <w:kern w:val="0"/>
                <w:szCs w:val="21"/>
                <w:highlight w:val="none"/>
                <w:lang w:val="en-US" w:eastAsia="zh-CN" w:bidi="ar"/>
              </w:rPr>
              <w:t>t/a</w:t>
            </w:r>
          </w:p>
        </w:tc>
      </w:tr>
      <w:tr w14:paraId="2B1C19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restart"/>
            <w:vAlign w:val="center"/>
          </w:tcPr>
          <w:p w14:paraId="0E39B394">
            <w:pPr>
              <w:pStyle w:val="82"/>
              <w:spacing w:beforeLines="0" w:afterLines="0" w:line="240" w:lineRule="auto"/>
              <w:rPr>
                <w:rFonts w:hAnsi="宋体" w:cs="宋体"/>
                <w:snapToGrid w:val="0"/>
                <w:color w:val="auto"/>
                <w:kern w:val="21"/>
                <w:szCs w:val="21"/>
                <w:highlight w:val="none"/>
              </w:rPr>
            </w:pPr>
            <w:r>
              <w:rPr>
                <w:rFonts w:hint="eastAsia" w:hAnsi="宋体" w:cs="宋体"/>
                <w:snapToGrid w:val="0"/>
                <w:color w:val="auto"/>
                <w:kern w:val="21"/>
                <w:szCs w:val="21"/>
                <w:highlight w:val="none"/>
              </w:rPr>
              <w:t>一般工业固体废物</w:t>
            </w:r>
          </w:p>
        </w:tc>
        <w:tc>
          <w:tcPr>
            <w:tcW w:w="1103" w:type="dxa"/>
            <w:vAlign w:val="center"/>
          </w:tcPr>
          <w:p w14:paraId="4ABD2B3E">
            <w:pPr>
              <w:adjustRightInd w:val="0"/>
              <w:snapToGrid w:val="0"/>
              <w:ind w:left="-105" w:leftChars="-50" w:right="-105" w:rightChars="-50"/>
              <w:jc w:val="center"/>
              <w:rPr>
                <w:rFonts w:hAnsi="宋体" w:cs="宋体"/>
                <w:snapToGrid w:val="0"/>
                <w:color w:val="auto"/>
                <w:kern w:val="21"/>
                <w:szCs w:val="21"/>
                <w:highlight w:val="none"/>
              </w:rPr>
            </w:pPr>
            <w:r>
              <w:rPr>
                <w:color w:val="auto"/>
                <w:szCs w:val="21"/>
                <w:highlight w:val="none"/>
              </w:rPr>
              <w:t>生活垃圾</w:t>
            </w:r>
          </w:p>
        </w:tc>
        <w:tc>
          <w:tcPr>
            <w:tcW w:w="771" w:type="dxa"/>
            <w:vAlign w:val="center"/>
          </w:tcPr>
          <w:p w14:paraId="46A7FD78">
            <w:pPr>
              <w:pStyle w:val="82"/>
              <w:spacing w:beforeLines="0" w:afterLines="0" w:line="240" w:lineRule="auto"/>
              <w:rPr>
                <w:rFonts w:ascii="Times New Roman"/>
                <w:color w:val="auto"/>
                <w:szCs w:val="21"/>
                <w:highlight w:val="none"/>
              </w:rPr>
            </w:pPr>
          </w:p>
        </w:tc>
        <w:tc>
          <w:tcPr>
            <w:tcW w:w="548" w:type="dxa"/>
            <w:vAlign w:val="center"/>
          </w:tcPr>
          <w:p w14:paraId="653ACFB9">
            <w:pPr>
              <w:pStyle w:val="82"/>
              <w:spacing w:beforeLines="0" w:afterLines="0" w:line="240" w:lineRule="auto"/>
              <w:rPr>
                <w:rFonts w:ascii="Times New Roman"/>
                <w:color w:val="auto"/>
                <w:szCs w:val="21"/>
                <w:highlight w:val="none"/>
              </w:rPr>
            </w:pPr>
          </w:p>
        </w:tc>
        <w:tc>
          <w:tcPr>
            <w:tcW w:w="814" w:type="dxa"/>
            <w:vAlign w:val="center"/>
          </w:tcPr>
          <w:p w14:paraId="1B24AEAF">
            <w:pPr>
              <w:pStyle w:val="82"/>
              <w:spacing w:beforeLines="0" w:afterLines="0" w:line="240" w:lineRule="auto"/>
              <w:rPr>
                <w:rFonts w:ascii="Times New Roman"/>
                <w:color w:val="auto"/>
                <w:szCs w:val="21"/>
                <w:highlight w:val="none"/>
              </w:rPr>
            </w:pPr>
          </w:p>
        </w:tc>
        <w:tc>
          <w:tcPr>
            <w:tcW w:w="1186" w:type="dxa"/>
            <w:vAlign w:val="center"/>
          </w:tcPr>
          <w:p w14:paraId="648C1855">
            <w:pPr>
              <w:adjustRightInd w:val="0"/>
              <w:snapToGrid w:val="0"/>
              <w:ind w:left="-105" w:leftChars="-50" w:right="-105" w:rightChars="-50"/>
              <w:jc w:val="center"/>
              <w:rPr>
                <w:color w:val="auto"/>
                <w:szCs w:val="21"/>
                <w:highlight w:val="none"/>
              </w:rPr>
            </w:pPr>
            <w:r>
              <w:rPr>
                <w:rFonts w:hint="eastAsia"/>
                <w:color w:val="auto"/>
                <w:szCs w:val="21"/>
                <w:highlight w:val="none"/>
              </w:rPr>
              <w:t>15.3</w:t>
            </w:r>
            <w:r>
              <w:rPr>
                <w:color w:val="auto"/>
                <w:szCs w:val="21"/>
                <w:highlight w:val="none"/>
              </w:rPr>
              <w:t>t/a</w:t>
            </w:r>
          </w:p>
        </w:tc>
        <w:tc>
          <w:tcPr>
            <w:tcW w:w="801" w:type="dxa"/>
            <w:vAlign w:val="center"/>
          </w:tcPr>
          <w:p w14:paraId="00DB3933">
            <w:pPr>
              <w:pStyle w:val="82"/>
              <w:spacing w:beforeLines="0" w:afterLines="0" w:line="240" w:lineRule="auto"/>
              <w:rPr>
                <w:rFonts w:ascii="Times New Roman"/>
                <w:color w:val="auto"/>
                <w:szCs w:val="21"/>
                <w:highlight w:val="none"/>
              </w:rPr>
            </w:pPr>
          </w:p>
        </w:tc>
        <w:tc>
          <w:tcPr>
            <w:tcW w:w="1215" w:type="dxa"/>
            <w:vAlign w:val="center"/>
          </w:tcPr>
          <w:p w14:paraId="4966DA97">
            <w:pPr>
              <w:adjustRightInd w:val="0"/>
              <w:snapToGrid w:val="0"/>
              <w:ind w:left="-105" w:leftChars="-50" w:right="-105" w:rightChars="-50"/>
              <w:jc w:val="center"/>
              <w:rPr>
                <w:color w:val="auto"/>
                <w:szCs w:val="21"/>
                <w:highlight w:val="none"/>
              </w:rPr>
            </w:pPr>
            <w:r>
              <w:rPr>
                <w:rFonts w:hint="eastAsia"/>
                <w:color w:val="auto"/>
                <w:szCs w:val="21"/>
                <w:highlight w:val="none"/>
              </w:rPr>
              <w:t>15.3</w:t>
            </w:r>
            <w:r>
              <w:rPr>
                <w:color w:val="auto"/>
                <w:szCs w:val="21"/>
                <w:highlight w:val="none"/>
              </w:rPr>
              <w:t>t/a</w:t>
            </w:r>
          </w:p>
        </w:tc>
        <w:tc>
          <w:tcPr>
            <w:tcW w:w="1217" w:type="dxa"/>
            <w:vAlign w:val="center"/>
          </w:tcPr>
          <w:p w14:paraId="5D8547DF">
            <w:pPr>
              <w:adjustRightInd w:val="0"/>
              <w:snapToGrid w:val="0"/>
              <w:ind w:left="-105" w:leftChars="-50" w:right="-105" w:rightChars="-50"/>
              <w:jc w:val="center"/>
              <w:rPr>
                <w:color w:val="auto"/>
                <w:szCs w:val="21"/>
                <w:highlight w:val="none"/>
              </w:rPr>
            </w:pPr>
            <w:r>
              <w:rPr>
                <w:rFonts w:hint="eastAsia"/>
                <w:color w:val="auto"/>
                <w:szCs w:val="21"/>
                <w:highlight w:val="none"/>
              </w:rPr>
              <w:t>+15.3</w:t>
            </w:r>
            <w:r>
              <w:rPr>
                <w:color w:val="auto"/>
                <w:szCs w:val="21"/>
                <w:highlight w:val="none"/>
              </w:rPr>
              <w:t>t/a</w:t>
            </w:r>
          </w:p>
        </w:tc>
      </w:tr>
      <w:tr w14:paraId="002CB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28491A1A">
            <w:pPr>
              <w:pStyle w:val="82"/>
              <w:spacing w:beforeLines="0" w:afterLines="0" w:line="240" w:lineRule="auto"/>
              <w:rPr>
                <w:rFonts w:hint="eastAsia" w:hAnsi="宋体" w:cs="宋体"/>
                <w:snapToGrid w:val="0"/>
                <w:color w:val="auto"/>
                <w:kern w:val="21"/>
                <w:szCs w:val="21"/>
                <w:highlight w:val="none"/>
              </w:rPr>
            </w:pPr>
          </w:p>
        </w:tc>
        <w:tc>
          <w:tcPr>
            <w:tcW w:w="1103" w:type="dxa"/>
            <w:vAlign w:val="center"/>
          </w:tcPr>
          <w:p w14:paraId="286FE777">
            <w:pPr>
              <w:adjustRightInd w:val="0"/>
              <w:snapToGrid w:val="0"/>
              <w:ind w:left="-105" w:leftChars="-50" w:right="-105" w:rightChars="-50"/>
              <w:jc w:val="center"/>
              <w:rPr>
                <w:color w:val="auto"/>
                <w:szCs w:val="21"/>
                <w:highlight w:val="none"/>
              </w:rPr>
            </w:pPr>
            <w:r>
              <w:rPr>
                <w:color w:val="auto"/>
                <w:szCs w:val="21"/>
                <w:highlight w:val="none"/>
              </w:rPr>
              <w:t>废离子交换树脂</w:t>
            </w:r>
          </w:p>
        </w:tc>
        <w:tc>
          <w:tcPr>
            <w:tcW w:w="771" w:type="dxa"/>
            <w:vAlign w:val="center"/>
          </w:tcPr>
          <w:p w14:paraId="2D062D69">
            <w:pPr>
              <w:adjustRightInd w:val="0"/>
              <w:snapToGrid w:val="0"/>
              <w:ind w:left="-105" w:leftChars="-50" w:right="-105" w:rightChars="-50"/>
              <w:jc w:val="center"/>
              <w:rPr>
                <w:color w:val="auto"/>
                <w:szCs w:val="21"/>
                <w:highlight w:val="none"/>
              </w:rPr>
            </w:pPr>
          </w:p>
        </w:tc>
        <w:tc>
          <w:tcPr>
            <w:tcW w:w="548" w:type="dxa"/>
            <w:vAlign w:val="center"/>
          </w:tcPr>
          <w:p w14:paraId="07A743EC">
            <w:pPr>
              <w:adjustRightInd w:val="0"/>
              <w:snapToGrid w:val="0"/>
              <w:ind w:left="-105" w:leftChars="-50" w:right="-105" w:rightChars="-50"/>
              <w:jc w:val="center"/>
              <w:rPr>
                <w:color w:val="auto"/>
                <w:szCs w:val="21"/>
                <w:highlight w:val="none"/>
              </w:rPr>
            </w:pPr>
          </w:p>
        </w:tc>
        <w:tc>
          <w:tcPr>
            <w:tcW w:w="814" w:type="dxa"/>
            <w:vAlign w:val="center"/>
          </w:tcPr>
          <w:p w14:paraId="106F270C">
            <w:pPr>
              <w:adjustRightInd w:val="0"/>
              <w:snapToGrid w:val="0"/>
              <w:ind w:left="-105" w:leftChars="-50" w:right="-105" w:rightChars="-50"/>
              <w:jc w:val="center"/>
              <w:rPr>
                <w:color w:val="auto"/>
                <w:szCs w:val="21"/>
                <w:highlight w:val="none"/>
              </w:rPr>
            </w:pPr>
          </w:p>
        </w:tc>
        <w:tc>
          <w:tcPr>
            <w:tcW w:w="1186" w:type="dxa"/>
            <w:vAlign w:val="center"/>
          </w:tcPr>
          <w:p w14:paraId="7AF8A7BF">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0.5</w:t>
            </w:r>
            <w:r>
              <w:rPr>
                <w:color w:val="auto"/>
                <w:szCs w:val="21"/>
                <w:highlight w:val="none"/>
              </w:rPr>
              <w:t>t/a</w:t>
            </w:r>
          </w:p>
        </w:tc>
        <w:tc>
          <w:tcPr>
            <w:tcW w:w="801" w:type="dxa"/>
            <w:vAlign w:val="center"/>
          </w:tcPr>
          <w:p w14:paraId="72F1B05E">
            <w:pPr>
              <w:adjustRightInd w:val="0"/>
              <w:snapToGrid w:val="0"/>
              <w:ind w:left="-105" w:leftChars="-50" w:right="-105" w:rightChars="-50"/>
              <w:jc w:val="center"/>
              <w:rPr>
                <w:color w:val="auto"/>
                <w:szCs w:val="21"/>
                <w:highlight w:val="none"/>
              </w:rPr>
            </w:pPr>
          </w:p>
        </w:tc>
        <w:tc>
          <w:tcPr>
            <w:tcW w:w="1215" w:type="dxa"/>
            <w:vAlign w:val="center"/>
          </w:tcPr>
          <w:p w14:paraId="6B845121">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0.5</w:t>
            </w:r>
            <w:r>
              <w:rPr>
                <w:color w:val="auto"/>
                <w:szCs w:val="21"/>
                <w:highlight w:val="none"/>
              </w:rPr>
              <w:t>t/a</w:t>
            </w:r>
          </w:p>
        </w:tc>
        <w:tc>
          <w:tcPr>
            <w:tcW w:w="1217" w:type="dxa"/>
            <w:vAlign w:val="center"/>
          </w:tcPr>
          <w:p w14:paraId="48234E8D">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+0.5</w:t>
            </w:r>
            <w:r>
              <w:rPr>
                <w:color w:val="auto"/>
                <w:szCs w:val="21"/>
                <w:highlight w:val="none"/>
              </w:rPr>
              <w:t>t/a</w:t>
            </w:r>
          </w:p>
        </w:tc>
      </w:tr>
      <w:tr w14:paraId="6BE805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3CCB7E8D">
            <w:pPr>
              <w:pStyle w:val="82"/>
              <w:spacing w:beforeLines="0" w:afterLines="0" w:line="240" w:lineRule="auto"/>
              <w:rPr>
                <w:rFonts w:hint="eastAsia" w:hAnsi="宋体" w:cs="宋体"/>
                <w:snapToGrid w:val="0"/>
                <w:color w:val="auto"/>
                <w:kern w:val="21"/>
                <w:szCs w:val="21"/>
                <w:highlight w:val="none"/>
              </w:rPr>
            </w:pPr>
          </w:p>
        </w:tc>
        <w:tc>
          <w:tcPr>
            <w:tcW w:w="1103" w:type="dxa"/>
            <w:vAlign w:val="center"/>
          </w:tcPr>
          <w:p w14:paraId="73E10ED3">
            <w:pPr>
              <w:adjustRightInd w:val="0"/>
              <w:snapToGrid w:val="0"/>
              <w:ind w:left="-105" w:leftChars="-50" w:right="-105" w:rightChars="-50"/>
              <w:jc w:val="center"/>
              <w:rPr>
                <w:color w:val="auto"/>
                <w:szCs w:val="21"/>
                <w:highlight w:val="none"/>
              </w:rPr>
            </w:pPr>
            <w:r>
              <w:rPr>
                <w:color w:val="auto"/>
                <w:szCs w:val="21"/>
                <w:highlight w:val="none"/>
              </w:rPr>
              <w:t>灰渣</w:t>
            </w:r>
          </w:p>
        </w:tc>
        <w:tc>
          <w:tcPr>
            <w:tcW w:w="771" w:type="dxa"/>
            <w:vAlign w:val="center"/>
          </w:tcPr>
          <w:p w14:paraId="5A06A09B">
            <w:pPr>
              <w:adjustRightInd w:val="0"/>
              <w:snapToGrid w:val="0"/>
              <w:ind w:left="-105" w:leftChars="-50" w:right="-105" w:rightChars="-50"/>
              <w:jc w:val="center"/>
              <w:rPr>
                <w:color w:val="auto"/>
                <w:szCs w:val="21"/>
                <w:highlight w:val="none"/>
              </w:rPr>
            </w:pPr>
          </w:p>
        </w:tc>
        <w:tc>
          <w:tcPr>
            <w:tcW w:w="548" w:type="dxa"/>
            <w:vAlign w:val="center"/>
          </w:tcPr>
          <w:p w14:paraId="25E9A540">
            <w:pPr>
              <w:adjustRightInd w:val="0"/>
              <w:snapToGrid w:val="0"/>
              <w:ind w:left="-105" w:leftChars="-50" w:right="-105" w:rightChars="-50"/>
              <w:jc w:val="center"/>
              <w:rPr>
                <w:color w:val="auto"/>
                <w:szCs w:val="21"/>
                <w:highlight w:val="none"/>
              </w:rPr>
            </w:pPr>
          </w:p>
        </w:tc>
        <w:tc>
          <w:tcPr>
            <w:tcW w:w="814" w:type="dxa"/>
            <w:vAlign w:val="center"/>
          </w:tcPr>
          <w:p w14:paraId="6103F57C">
            <w:pPr>
              <w:adjustRightInd w:val="0"/>
              <w:snapToGrid w:val="0"/>
              <w:ind w:left="-105" w:leftChars="-50" w:right="-105" w:rightChars="-50"/>
              <w:jc w:val="center"/>
              <w:rPr>
                <w:color w:val="auto"/>
                <w:szCs w:val="21"/>
                <w:highlight w:val="none"/>
              </w:rPr>
            </w:pPr>
          </w:p>
        </w:tc>
        <w:tc>
          <w:tcPr>
            <w:tcW w:w="1186" w:type="dxa"/>
            <w:vAlign w:val="center"/>
          </w:tcPr>
          <w:p w14:paraId="7B444BFF">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1701.37</w:t>
            </w:r>
            <w:r>
              <w:rPr>
                <w:color w:val="auto"/>
                <w:szCs w:val="21"/>
                <w:highlight w:val="none"/>
              </w:rPr>
              <w:t>t/a</w:t>
            </w:r>
          </w:p>
        </w:tc>
        <w:tc>
          <w:tcPr>
            <w:tcW w:w="801" w:type="dxa"/>
            <w:vAlign w:val="center"/>
          </w:tcPr>
          <w:p w14:paraId="1E2CF66A">
            <w:pPr>
              <w:adjustRightInd w:val="0"/>
              <w:snapToGrid w:val="0"/>
              <w:ind w:left="-105" w:leftChars="-50" w:right="-105" w:rightChars="-50"/>
              <w:jc w:val="center"/>
              <w:rPr>
                <w:color w:val="auto"/>
                <w:szCs w:val="21"/>
                <w:highlight w:val="none"/>
              </w:rPr>
            </w:pPr>
          </w:p>
        </w:tc>
        <w:tc>
          <w:tcPr>
            <w:tcW w:w="1215" w:type="dxa"/>
            <w:vAlign w:val="center"/>
          </w:tcPr>
          <w:p w14:paraId="4C3883B7">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1701.37</w:t>
            </w:r>
            <w:r>
              <w:rPr>
                <w:color w:val="auto"/>
                <w:szCs w:val="21"/>
                <w:highlight w:val="none"/>
              </w:rPr>
              <w:t>t/a</w:t>
            </w:r>
          </w:p>
        </w:tc>
        <w:tc>
          <w:tcPr>
            <w:tcW w:w="1217" w:type="dxa"/>
            <w:vAlign w:val="center"/>
          </w:tcPr>
          <w:p w14:paraId="7453E6AA">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+1701.37</w:t>
            </w:r>
            <w:r>
              <w:rPr>
                <w:color w:val="auto"/>
                <w:szCs w:val="21"/>
                <w:highlight w:val="none"/>
              </w:rPr>
              <w:t>t/a</w:t>
            </w:r>
          </w:p>
        </w:tc>
      </w:tr>
      <w:tr w14:paraId="7B850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5C3406A8">
            <w:pPr>
              <w:pStyle w:val="82"/>
              <w:spacing w:beforeLines="0" w:afterLines="0" w:line="240" w:lineRule="auto"/>
              <w:rPr>
                <w:rFonts w:hint="eastAsia" w:hAnsi="宋体" w:cs="宋体"/>
                <w:snapToGrid w:val="0"/>
                <w:color w:val="auto"/>
                <w:kern w:val="21"/>
                <w:szCs w:val="21"/>
                <w:highlight w:val="none"/>
              </w:rPr>
            </w:pPr>
          </w:p>
        </w:tc>
        <w:tc>
          <w:tcPr>
            <w:tcW w:w="1103" w:type="dxa"/>
            <w:vAlign w:val="center"/>
          </w:tcPr>
          <w:p w14:paraId="05624EB3">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废布袋</w:t>
            </w:r>
          </w:p>
        </w:tc>
        <w:tc>
          <w:tcPr>
            <w:tcW w:w="771" w:type="dxa"/>
            <w:vAlign w:val="center"/>
          </w:tcPr>
          <w:p w14:paraId="7A1EA27C">
            <w:pPr>
              <w:adjustRightInd w:val="0"/>
              <w:snapToGrid w:val="0"/>
              <w:ind w:left="-105" w:leftChars="-50" w:right="-105" w:rightChars="-50"/>
              <w:jc w:val="center"/>
              <w:rPr>
                <w:color w:val="auto"/>
                <w:szCs w:val="21"/>
                <w:highlight w:val="none"/>
              </w:rPr>
            </w:pPr>
          </w:p>
        </w:tc>
        <w:tc>
          <w:tcPr>
            <w:tcW w:w="548" w:type="dxa"/>
            <w:vAlign w:val="center"/>
          </w:tcPr>
          <w:p w14:paraId="32D88F65">
            <w:pPr>
              <w:adjustRightInd w:val="0"/>
              <w:snapToGrid w:val="0"/>
              <w:ind w:left="-105" w:leftChars="-50" w:right="-105" w:rightChars="-50"/>
              <w:jc w:val="center"/>
              <w:rPr>
                <w:color w:val="auto"/>
                <w:szCs w:val="21"/>
                <w:highlight w:val="none"/>
              </w:rPr>
            </w:pPr>
          </w:p>
        </w:tc>
        <w:tc>
          <w:tcPr>
            <w:tcW w:w="814" w:type="dxa"/>
            <w:vAlign w:val="center"/>
          </w:tcPr>
          <w:p w14:paraId="5280A01D">
            <w:pPr>
              <w:adjustRightInd w:val="0"/>
              <w:snapToGrid w:val="0"/>
              <w:ind w:left="-105" w:leftChars="-50" w:right="-105" w:rightChars="-50"/>
              <w:jc w:val="center"/>
              <w:rPr>
                <w:color w:val="auto"/>
                <w:szCs w:val="21"/>
                <w:highlight w:val="none"/>
              </w:rPr>
            </w:pPr>
          </w:p>
        </w:tc>
        <w:tc>
          <w:tcPr>
            <w:tcW w:w="1186" w:type="dxa"/>
            <w:vAlign w:val="center"/>
          </w:tcPr>
          <w:p w14:paraId="5C189F10">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0.1t/3a</w:t>
            </w:r>
          </w:p>
        </w:tc>
        <w:tc>
          <w:tcPr>
            <w:tcW w:w="801" w:type="dxa"/>
            <w:vAlign w:val="center"/>
          </w:tcPr>
          <w:p w14:paraId="0A0D2D10">
            <w:pPr>
              <w:adjustRightInd w:val="0"/>
              <w:snapToGrid w:val="0"/>
              <w:ind w:left="-105" w:leftChars="-50" w:right="-105" w:rightChars="-50"/>
              <w:jc w:val="center"/>
              <w:rPr>
                <w:color w:val="auto"/>
                <w:szCs w:val="21"/>
                <w:highlight w:val="none"/>
              </w:rPr>
            </w:pPr>
          </w:p>
        </w:tc>
        <w:tc>
          <w:tcPr>
            <w:tcW w:w="1215" w:type="dxa"/>
            <w:vAlign w:val="center"/>
          </w:tcPr>
          <w:p w14:paraId="7E8BBC09">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0.1t/3a</w:t>
            </w:r>
          </w:p>
        </w:tc>
        <w:tc>
          <w:tcPr>
            <w:tcW w:w="1217" w:type="dxa"/>
            <w:vAlign w:val="center"/>
          </w:tcPr>
          <w:p w14:paraId="034C62CE">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+0.1t/3a</w:t>
            </w:r>
          </w:p>
        </w:tc>
      </w:tr>
      <w:tr w14:paraId="140EDF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569D270C">
            <w:pPr>
              <w:pStyle w:val="82"/>
              <w:spacing w:beforeLines="0" w:afterLines="0" w:line="240" w:lineRule="auto"/>
              <w:rPr>
                <w:rFonts w:hint="eastAsia" w:hAnsi="宋体" w:cs="宋体"/>
                <w:snapToGrid w:val="0"/>
                <w:color w:val="auto"/>
                <w:kern w:val="21"/>
                <w:szCs w:val="21"/>
                <w:highlight w:val="none"/>
              </w:rPr>
            </w:pPr>
          </w:p>
        </w:tc>
        <w:tc>
          <w:tcPr>
            <w:tcW w:w="1103" w:type="dxa"/>
            <w:vAlign w:val="center"/>
          </w:tcPr>
          <w:p w14:paraId="1EB558D6">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废机油</w:t>
            </w:r>
          </w:p>
        </w:tc>
        <w:tc>
          <w:tcPr>
            <w:tcW w:w="771" w:type="dxa"/>
            <w:vAlign w:val="center"/>
          </w:tcPr>
          <w:p w14:paraId="6A036435">
            <w:pPr>
              <w:adjustRightInd w:val="0"/>
              <w:snapToGrid w:val="0"/>
              <w:ind w:left="-105" w:leftChars="-50" w:right="-105" w:rightChars="-50"/>
              <w:jc w:val="center"/>
              <w:rPr>
                <w:color w:val="auto"/>
                <w:szCs w:val="21"/>
                <w:highlight w:val="none"/>
              </w:rPr>
            </w:pPr>
          </w:p>
        </w:tc>
        <w:tc>
          <w:tcPr>
            <w:tcW w:w="548" w:type="dxa"/>
            <w:vAlign w:val="center"/>
          </w:tcPr>
          <w:p w14:paraId="3355762A">
            <w:pPr>
              <w:adjustRightInd w:val="0"/>
              <w:snapToGrid w:val="0"/>
              <w:ind w:left="-105" w:leftChars="-50" w:right="-105" w:rightChars="-50"/>
              <w:jc w:val="center"/>
              <w:rPr>
                <w:color w:val="auto"/>
                <w:szCs w:val="21"/>
                <w:highlight w:val="none"/>
              </w:rPr>
            </w:pPr>
          </w:p>
        </w:tc>
        <w:tc>
          <w:tcPr>
            <w:tcW w:w="814" w:type="dxa"/>
            <w:vAlign w:val="center"/>
          </w:tcPr>
          <w:p w14:paraId="63EA0AA4">
            <w:pPr>
              <w:adjustRightInd w:val="0"/>
              <w:snapToGrid w:val="0"/>
              <w:ind w:left="-105" w:leftChars="-50" w:right="-105" w:rightChars="-50"/>
              <w:jc w:val="center"/>
              <w:rPr>
                <w:color w:val="auto"/>
                <w:szCs w:val="21"/>
                <w:highlight w:val="none"/>
              </w:rPr>
            </w:pPr>
          </w:p>
        </w:tc>
        <w:tc>
          <w:tcPr>
            <w:tcW w:w="1186" w:type="dxa"/>
            <w:vAlign w:val="center"/>
          </w:tcPr>
          <w:p w14:paraId="5D095B4B">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0.2</w:t>
            </w:r>
            <w:r>
              <w:rPr>
                <w:color w:val="auto"/>
                <w:szCs w:val="21"/>
                <w:highlight w:val="none"/>
              </w:rPr>
              <w:t>t/a</w:t>
            </w:r>
          </w:p>
        </w:tc>
        <w:tc>
          <w:tcPr>
            <w:tcW w:w="801" w:type="dxa"/>
            <w:vAlign w:val="center"/>
          </w:tcPr>
          <w:p w14:paraId="2875B8C4">
            <w:pPr>
              <w:adjustRightInd w:val="0"/>
              <w:snapToGrid w:val="0"/>
              <w:ind w:left="-105" w:leftChars="-50" w:right="-105" w:rightChars="-50"/>
              <w:jc w:val="center"/>
              <w:rPr>
                <w:color w:val="auto"/>
                <w:szCs w:val="21"/>
                <w:highlight w:val="none"/>
              </w:rPr>
            </w:pPr>
          </w:p>
        </w:tc>
        <w:tc>
          <w:tcPr>
            <w:tcW w:w="1215" w:type="dxa"/>
            <w:vAlign w:val="center"/>
          </w:tcPr>
          <w:p w14:paraId="3C4EA15E">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0.2</w:t>
            </w:r>
            <w:r>
              <w:rPr>
                <w:color w:val="auto"/>
                <w:szCs w:val="21"/>
                <w:highlight w:val="none"/>
              </w:rPr>
              <w:t>t/a</w:t>
            </w:r>
          </w:p>
        </w:tc>
        <w:tc>
          <w:tcPr>
            <w:tcW w:w="1217" w:type="dxa"/>
            <w:vAlign w:val="center"/>
          </w:tcPr>
          <w:p w14:paraId="33E8E993">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+0.2</w:t>
            </w:r>
            <w:r>
              <w:rPr>
                <w:color w:val="auto"/>
                <w:szCs w:val="21"/>
                <w:highlight w:val="none"/>
              </w:rPr>
              <w:t>t/a</w:t>
            </w:r>
          </w:p>
        </w:tc>
      </w:tr>
      <w:tr w14:paraId="4BAEB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14802D7A">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47EDE0FC">
            <w:pPr>
              <w:adjustRightInd w:val="0"/>
              <w:snapToGrid w:val="0"/>
              <w:ind w:left="-105" w:leftChars="-50" w:right="-105" w:rightChars="-50"/>
              <w:jc w:val="center"/>
              <w:rPr>
                <w:color w:val="auto"/>
                <w:szCs w:val="21"/>
                <w:highlight w:val="none"/>
              </w:rPr>
            </w:pPr>
            <w:r>
              <w:rPr>
                <w:rFonts w:hint="eastAsia"/>
                <w:color w:val="auto"/>
                <w:szCs w:val="21"/>
                <w:highlight w:val="none"/>
              </w:rPr>
              <w:t>生产废料</w:t>
            </w:r>
          </w:p>
        </w:tc>
        <w:tc>
          <w:tcPr>
            <w:tcW w:w="771" w:type="dxa"/>
            <w:vAlign w:val="center"/>
          </w:tcPr>
          <w:p w14:paraId="2B0F53DC">
            <w:pPr>
              <w:adjustRightInd w:val="0"/>
              <w:snapToGrid w:val="0"/>
              <w:ind w:left="-105" w:leftChars="-50" w:right="-105" w:rightChars="-50"/>
              <w:jc w:val="center"/>
              <w:rPr>
                <w:color w:val="auto"/>
                <w:szCs w:val="21"/>
                <w:highlight w:val="none"/>
              </w:rPr>
            </w:pPr>
          </w:p>
        </w:tc>
        <w:tc>
          <w:tcPr>
            <w:tcW w:w="548" w:type="dxa"/>
            <w:vAlign w:val="center"/>
          </w:tcPr>
          <w:p w14:paraId="03651FC4">
            <w:pPr>
              <w:adjustRightInd w:val="0"/>
              <w:snapToGrid w:val="0"/>
              <w:ind w:left="-105" w:leftChars="-50" w:right="-105" w:rightChars="-50"/>
              <w:jc w:val="center"/>
              <w:rPr>
                <w:color w:val="auto"/>
                <w:szCs w:val="21"/>
                <w:highlight w:val="none"/>
              </w:rPr>
            </w:pPr>
          </w:p>
        </w:tc>
        <w:tc>
          <w:tcPr>
            <w:tcW w:w="814" w:type="dxa"/>
            <w:vAlign w:val="center"/>
          </w:tcPr>
          <w:p w14:paraId="58CD51CE">
            <w:pPr>
              <w:adjustRightInd w:val="0"/>
              <w:snapToGrid w:val="0"/>
              <w:ind w:left="-105" w:leftChars="-50" w:right="-105" w:rightChars="-50"/>
              <w:jc w:val="center"/>
              <w:rPr>
                <w:color w:val="auto"/>
                <w:szCs w:val="21"/>
                <w:highlight w:val="none"/>
              </w:rPr>
            </w:pPr>
          </w:p>
        </w:tc>
        <w:tc>
          <w:tcPr>
            <w:tcW w:w="1186" w:type="dxa"/>
            <w:vAlign w:val="center"/>
          </w:tcPr>
          <w:p w14:paraId="67784D2D">
            <w:pPr>
              <w:adjustRightInd w:val="0"/>
              <w:snapToGrid w:val="0"/>
              <w:ind w:left="-105" w:leftChars="-50" w:right="-105" w:rightChars="-50"/>
              <w:jc w:val="center"/>
              <w:rPr>
                <w:color w:val="auto"/>
                <w:szCs w:val="21"/>
                <w:highlight w:val="none"/>
              </w:rPr>
            </w:pPr>
            <w:r>
              <w:rPr>
                <w:rFonts w:hint="eastAsia"/>
                <w:color w:val="auto"/>
                <w:szCs w:val="21"/>
                <w:highlight w:val="none"/>
              </w:rPr>
              <w:t>5155</w:t>
            </w:r>
            <w:r>
              <w:rPr>
                <w:color w:val="auto"/>
                <w:szCs w:val="21"/>
                <w:highlight w:val="none"/>
              </w:rPr>
              <w:t>t/a</w:t>
            </w:r>
          </w:p>
        </w:tc>
        <w:tc>
          <w:tcPr>
            <w:tcW w:w="801" w:type="dxa"/>
            <w:vAlign w:val="center"/>
          </w:tcPr>
          <w:p w14:paraId="0593CA93">
            <w:pPr>
              <w:adjustRightInd w:val="0"/>
              <w:snapToGrid w:val="0"/>
              <w:ind w:left="-105" w:leftChars="-50" w:right="-105" w:rightChars="-50"/>
              <w:jc w:val="center"/>
              <w:rPr>
                <w:color w:val="auto"/>
                <w:szCs w:val="21"/>
                <w:highlight w:val="none"/>
              </w:rPr>
            </w:pPr>
          </w:p>
        </w:tc>
        <w:tc>
          <w:tcPr>
            <w:tcW w:w="1215" w:type="dxa"/>
            <w:vAlign w:val="center"/>
          </w:tcPr>
          <w:p w14:paraId="77F4929F">
            <w:pPr>
              <w:adjustRightInd w:val="0"/>
              <w:snapToGrid w:val="0"/>
              <w:ind w:left="-105" w:leftChars="-50" w:right="-105" w:rightChars="-50"/>
              <w:jc w:val="center"/>
              <w:rPr>
                <w:color w:val="auto"/>
                <w:szCs w:val="21"/>
                <w:highlight w:val="none"/>
              </w:rPr>
            </w:pPr>
            <w:r>
              <w:rPr>
                <w:rFonts w:hint="eastAsia"/>
                <w:color w:val="auto"/>
                <w:szCs w:val="21"/>
                <w:highlight w:val="none"/>
              </w:rPr>
              <w:t>5155</w:t>
            </w:r>
            <w:r>
              <w:rPr>
                <w:color w:val="auto"/>
                <w:szCs w:val="21"/>
                <w:highlight w:val="none"/>
              </w:rPr>
              <w:t>t/a</w:t>
            </w:r>
          </w:p>
        </w:tc>
        <w:tc>
          <w:tcPr>
            <w:tcW w:w="1217" w:type="dxa"/>
            <w:vAlign w:val="center"/>
          </w:tcPr>
          <w:p w14:paraId="65D69A86">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w:t>
            </w:r>
            <w:r>
              <w:rPr>
                <w:rFonts w:hint="eastAsia"/>
                <w:color w:val="auto"/>
                <w:szCs w:val="21"/>
                <w:highlight w:val="none"/>
              </w:rPr>
              <w:t>5155</w:t>
            </w:r>
            <w:r>
              <w:rPr>
                <w:color w:val="auto"/>
                <w:szCs w:val="21"/>
                <w:highlight w:val="none"/>
              </w:rPr>
              <w:t>t/a</w:t>
            </w:r>
          </w:p>
        </w:tc>
      </w:tr>
      <w:tr w14:paraId="499698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767D5947">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7237E25F">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污泥</w:t>
            </w:r>
          </w:p>
        </w:tc>
        <w:tc>
          <w:tcPr>
            <w:tcW w:w="771" w:type="dxa"/>
            <w:vAlign w:val="center"/>
          </w:tcPr>
          <w:p w14:paraId="792D3335">
            <w:pPr>
              <w:adjustRightInd w:val="0"/>
              <w:snapToGrid w:val="0"/>
              <w:ind w:left="-105" w:leftChars="-50" w:right="-105" w:rightChars="-50"/>
              <w:jc w:val="center"/>
              <w:rPr>
                <w:color w:val="auto"/>
                <w:szCs w:val="21"/>
                <w:highlight w:val="none"/>
              </w:rPr>
            </w:pPr>
          </w:p>
        </w:tc>
        <w:tc>
          <w:tcPr>
            <w:tcW w:w="548" w:type="dxa"/>
            <w:vAlign w:val="center"/>
          </w:tcPr>
          <w:p w14:paraId="030CBB0E">
            <w:pPr>
              <w:adjustRightInd w:val="0"/>
              <w:snapToGrid w:val="0"/>
              <w:ind w:left="-105" w:leftChars="-50" w:right="-105" w:rightChars="-50"/>
              <w:jc w:val="center"/>
              <w:rPr>
                <w:color w:val="auto"/>
                <w:szCs w:val="21"/>
                <w:highlight w:val="none"/>
              </w:rPr>
            </w:pPr>
          </w:p>
        </w:tc>
        <w:tc>
          <w:tcPr>
            <w:tcW w:w="814" w:type="dxa"/>
            <w:vAlign w:val="center"/>
          </w:tcPr>
          <w:p w14:paraId="753939A6">
            <w:pPr>
              <w:adjustRightInd w:val="0"/>
              <w:snapToGrid w:val="0"/>
              <w:ind w:left="-105" w:leftChars="-50" w:right="-105" w:rightChars="-50"/>
              <w:jc w:val="center"/>
              <w:rPr>
                <w:color w:val="auto"/>
                <w:szCs w:val="21"/>
                <w:highlight w:val="none"/>
              </w:rPr>
            </w:pPr>
          </w:p>
        </w:tc>
        <w:tc>
          <w:tcPr>
            <w:tcW w:w="1186" w:type="dxa"/>
            <w:vAlign w:val="center"/>
          </w:tcPr>
          <w:p w14:paraId="49B6DBA5">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11.3</w:t>
            </w:r>
            <w:r>
              <w:rPr>
                <w:color w:val="auto"/>
                <w:szCs w:val="21"/>
                <w:highlight w:val="none"/>
              </w:rPr>
              <w:t>t/a</w:t>
            </w:r>
          </w:p>
        </w:tc>
        <w:tc>
          <w:tcPr>
            <w:tcW w:w="801" w:type="dxa"/>
            <w:vAlign w:val="center"/>
          </w:tcPr>
          <w:p w14:paraId="54ECC96F">
            <w:pPr>
              <w:adjustRightInd w:val="0"/>
              <w:snapToGrid w:val="0"/>
              <w:ind w:left="-105" w:leftChars="-50" w:right="-105" w:rightChars="-50"/>
              <w:jc w:val="center"/>
              <w:rPr>
                <w:color w:val="auto"/>
                <w:szCs w:val="21"/>
                <w:highlight w:val="none"/>
              </w:rPr>
            </w:pPr>
          </w:p>
        </w:tc>
        <w:tc>
          <w:tcPr>
            <w:tcW w:w="1215" w:type="dxa"/>
            <w:vAlign w:val="center"/>
          </w:tcPr>
          <w:p w14:paraId="69FD59DC">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11.3</w:t>
            </w:r>
            <w:r>
              <w:rPr>
                <w:color w:val="auto"/>
                <w:szCs w:val="21"/>
                <w:highlight w:val="none"/>
              </w:rPr>
              <w:t>t/a</w:t>
            </w:r>
          </w:p>
        </w:tc>
        <w:tc>
          <w:tcPr>
            <w:tcW w:w="1217" w:type="dxa"/>
            <w:vAlign w:val="center"/>
          </w:tcPr>
          <w:p w14:paraId="74FF9D62">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+11.3</w:t>
            </w:r>
            <w:r>
              <w:rPr>
                <w:color w:val="auto"/>
                <w:szCs w:val="21"/>
                <w:highlight w:val="none"/>
              </w:rPr>
              <w:t>t/a</w:t>
            </w:r>
          </w:p>
        </w:tc>
      </w:tr>
      <w:tr w14:paraId="105055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6DE437F5">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02B607E7">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废包装材料</w:t>
            </w:r>
          </w:p>
        </w:tc>
        <w:tc>
          <w:tcPr>
            <w:tcW w:w="771" w:type="dxa"/>
            <w:vAlign w:val="center"/>
          </w:tcPr>
          <w:p w14:paraId="25856891">
            <w:pPr>
              <w:adjustRightInd w:val="0"/>
              <w:snapToGrid w:val="0"/>
              <w:ind w:left="-105" w:leftChars="-50" w:right="-105" w:rightChars="-50"/>
              <w:jc w:val="center"/>
              <w:rPr>
                <w:color w:val="auto"/>
                <w:szCs w:val="21"/>
                <w:highlight w:val="none"/>
              </w:rPr>
            </w:pPr>
          </w:p>
        </w:tc>
        <w:tc>
          <w:tcPr>
            <w:tcW w:w="548" w:type="dxa"/>
            <w:vAlign w:val="center"/>
          </w:tcPr>
          <w:p w14:paraId="4023E6B0">
            <w:pPr>
              <w:adjustRightInd w:val="0"/>
              <w:snapToGrid w:val="0"/>
              <w:ind w:left="-105" w:leftChars="-50" w:right="-105" w:rightChars="-50"/>
              <w:jc w:val="center"/>
              <w:rPr>
                <w:color w:val="auto"/>
                <w:szCs w:val="21"/>
                <w:highlight w:val="none"/>
              </w:rPr>
            </w:pPr>
          </w:p>
        </w:tc>
        <w:tc>
          <w:tcPr>
            <w:tcW w:w="814" w:type="dxa"/>
            <w:vAlign w:val="center"/>
          </w:tcPr>
          <w:p w14:paraId="2DEA5AAB">
            <w:pPr>
              <w:adjustRightInd w:val="0"/>
              <w:snapToGrid w:val="0"/>
              <w:ind w:left="-105" w:leftChars="-50" w:right="-105" w:rightChars="-50"/>
              <w:jc w:val="center"/>
              <w:rPr>
                <w:color w:val="auto"/>
                <w:szCs w:val="21"/>
                <w:highlight w:val="none"/>
              </w:rPr>
            </w:pPr>
          </w:p>
        </w:tc>
        <w:tc>
          <w:tcPr>
            <w:tcW w:w="1186" w:type="dxa"/>
            <w:vAlign w:val="center"/>
          </w:tcPr>
          <w:p w14:paraId="2FFA236A">
            <w:pPr>
              <w:adjustRightInd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0.2</w:t>
            </w:r>
            <w:r>
              <w:rPr>
                <w:color w:val="auto"/>
                <w:szCs w:val="21"/>
                <w:highlight w:val="none"/>
              </w:rPr>
              <w:t>t/a</w:t>
            </w:r>
          </w:p>
        </w:tc>
        <w:tc>
          <w:tcPr>
            <w:tcW w:w="801" w:type="dxa"/>
            <w:vAlign w:val="center"/>
          </w:tcPr>
          <w:p w14:paraId="1A1A2464">
            <w:pPr>
              <w:adjustRightInd w:val="0"/>
              <w:snapToGrid w:val="0"/>
              <w:ind w:left="-105" w:leftChars="-50" w:right="-105" w:rightChars="-50"/>
              <w:jc w:val="center"/>
              <w:rPr>
                <w:color w:val="auto"/>
                <w:szCs w:val="21"/>
                <w:highlight w:val="none"/>
              </w:rPr>
            </w:pPr>
          </w:p>
        </w:tc>
        <w:tc>
          <w:tcPr>
            <w:tcW w:w="1215" w:type="dxa"/>
            <w:vAlign w:val="center"/>
          </w:tcPr>
          <w:p w14:paraId="2B6A253F">
            <w:pPr>
              <w:adjustRightInd w:val="0"/>
              <w:snapToGrid w:val="0"/>
              <w:ind w:left="-105" w:leftChars="-50" w:right="-105" w:rightChars="-50"/>
              <w:jc w:val="center"/>
              <w:rPr>
                <w:rFonts w:hint="eastAsia"/>
                <w:color w:val="auto"/>
                <w:szCs w:val="21"/>
                <w:highlight w:val="none"/>
                <w:lang w:val="en-US" w:eastAsia="zh-CN"/>
              </w:rPr>
            </w:pPr>
            <w:r>
              <w:rPr>
                <w:rFonts w:hint="eastAsia"/>
                <w:color w:val="auto"/>
                <w:szCs w:val="21"/>
                <w:highlight w:val="none"/>
                <w:lang w:val="en-US" w:eastAsia="zh-CN"/>
              </w:rPr>
              <w:t>0.2</w:t>
            </w:r>
            <w:r>
              <w:rPr>
                <w:color w:val="auto"/>
                <w:szCs w:val="21"/>
                <w:highlight w:val="none"/>
              </w:rPr>
              <w:t>t/a</w:t>
            </w:r>
          </w:p>
        </w:tc>
        <w:tc>
          <w:tcPr>
            <w:tcW w:w="1217" w:type="dxa"/>
            <w:vAlign w:val="center"/>
          </w:tcPr>
          <w:p w14:paraId="620512D8">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+0.2</w:t>
            </w:r>
            <w:r>
              <w:rPr>
                <w:color w:val="auto"/>
                <w:szCs w:val="21"/>
                <w:highlight w:val="none"/>
              </w:rPr>
              <w:t>t/a</w:t>
            </w:r>
          </w:p>
        </w:tc>
      </w:tr>
      <w:tr w14:paraId="53625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352DFCB1">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487473B5">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废活性炭</w:t>
            </w:r>
          </w:p>
        </w:tc>
        <w:tc>
          <w:tcPr>
            <w:tcW w:w="771" w:type="dxa"/>
            <w:vAlign w:val="center"/>
          </w:tcPr>
          <w:p w14:paraId="34C671E9">
            <w:pPr>
              <w:adjustRightInd w:val="0"/>
              <w:snapToGrid w:val="0"/>
              <w:ind w:left="-105" w:leftChars="-50" w:right="-105" w:rightChars="-50"/>
              <w:jc w:val="center"/>
              <w:rPr>
                <w:color w:val="auto"/>
                <w:szCs w:val="21"/>
                <w:highlight w:val="none"/>
              </w:rPr>
            </w:pPr>
          </w:p>
        </w:tc>
        <w:tc>
          <w:tcPr>
            <w:tcW w:w="548" w:type="dxa"/>
            <w:vAlign w:val="center"/>
          </w:tcPr>
          <w:p w14:paraId="42CA27DB">
            <w:pPr>
              <w:adjustRightInd w:val="0"/>
              <w:snapToGrid w:val="0"/>
              <w:ind w:left="-105" w:leftChars="-50" w:right="-105" w:rightChars="-50"/>
              <w:jc w:val="center"/>
              <w:rPr>
                <w:color w:val="auto"/>
                <w:szCs w:val="21"/>
                <w:highlight w:val="none"/>
              </w:rPr>
            </w:pPr>
          </w:p>
        </w:tc>
        <w:tc>
          <w:tcPr>
            <w:tcW w:w="814" w:type="dxa"/>
            <w:vAlign w:val="center"/>
          </w:tcPr>
          <w:p w14:paraId="16FA7838">
            <w:pPr>
              <w:adjustRightInd w:val="0"/>
              <w:snapToGrid w:val="0"/>
              <w:ind w:left="-105" w:leftChars="-50" w:right="-105" w:rightChars="-50"/>
              <w:jc w:val="center"/>
              <w:rPr>
                <w:color w:val="auto"/>
                <w:szCs w:val="21"/>
                <w:highlight w:val="none"/>
              </w:rPr>
            </w:pPr>
          </w:p>
        </w:tc>
        <w:tc>
          <w:tcPr>
            <w:tcW w:w="1186" w:type="dxa"/>
            <w:vAlign w:val="center"/>
          </w:tcPr>
          <w:p w14:paraId="0E6FF380">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0.5</w:t>
            </w:r>
            <w:r>
              <w:rPr>
                <w:color w:val="auto"/>
                <w:szCs w:val="21"/>
                <w:highlight w:val="none"/>
              </w:rPr>
              <w:t>t/a</w:t>
            </w:r>
          </w:p>
        </w:tc>
        <w:tc>
          <w:tcPr>
            <w:tcW w:w="801" w:type="dxa"/>
            <w:vAlign w:val="center"/>
          </w:tcPr>
          <w:p w14:paraId="44DFDBEC">
            <w:pPr>
              <w:adjustRightInd w:val="0"/>
              <w:snapToGrid w:val="0"/>
              <w:ind w:left="-105" w:leftChars="-50" w:right="-105" w:rightChars="-50"/>
              <w:jc w:val="center"/>
              <w:rPr>
                <w:color w:val="auto"/>
                <w:szCs w:val="21"/>
                <w:highlight w:val="none"/>
              </w:rPr>
            </w:pPr>
          </w:p>
        </w:tc>
        <w:tc>
          <w:tcPr>
            <w:tcW w:w="1215" w:type="dxa"/>
            <w:vAlign w:val="center"/>
          </w:tcPr>
          <w:p w14:paraId="5AB88F8A">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0.5</w:t>
            </w:r>
            <w:r>
              <w:rPr>
                <w:color w:val="auto"/>
                <w:szCs w:val="21"/>
                <w:highlight w:val="none"/>
              </w:rPr>
              <w:t>t/a</w:t>
            </w:r>
          </w:p>
        </w:tc>
        <w:tc>
          <w:tcPr>
            <w:tcW w:w="1217" w:type="dxa"/>
            <w:vAlign w:val="center"/>
          </w:tcPr>
          <w:p w14:paraId="33DEF9BA">
            <w:pPr>
              <w:adjustRightInd w:val="0"/>
              <w:snapToGrid w:val="0"/>
              <w:ind w:left="-105" w:leftChars="-50" w:right="-105" w:rightChars="-50"/>
              <w:jc w:val="center"/>
              <w:rPr>
                <w:color w:val="auto"/>
                <w:szCs w:val="21"/>
                <w:highlight w:val="none"/>
              </w:rPr>
            </w:pPr>
            <w:r>
              <w:rPr>
                <w:rFonts w:hint="eastAsia"/>
                <w:color w:val="auto"/>
                <w:szCs w:val="21"/>
                <w:highlight w:val="none"/>
                <w:lang w:val="en-US" w:eastAsia="zh-CN"/>
              </w:rPr>
              <w:t>+0.5</w:t>
            </w:r>
            <w:r>
              <w:rPr>
                <w:color w:val="auto"/>
                <w:szCs w:val="21"/>
                <w:highlight w:val="none"/>
              </w:rPr>
              <w:t>t/a</w:t>
            </w:r>
          </w:p>
        </w:tc>
      </w:tr>
      <w:tr w14:paraId="49F7DF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695" w:type="dxa"/>
            <w:vMerge w:val="continue"/>
            <w:vAlign w:val="center"/>
          </w:tcPr>
          <w:p w14:paraId="2E11CE2E">
            <w:pPr>
              <w:pStyle w:val="82"/>
              <w:spacing w:beforeLines="0" w:afterLines="0" w:line="240" w:lineRule="auto"/>
              <w:rPr>
                <w:rFonts w:hAnsi="宋体" w:cs="宋体"/>
                <w:snapToGrid w:val="0"/>
                <w:color w:val="auto"/>
                <w:kern w:val="21"/>
                <w:szCs w:val="21"/>
                <w:highlight w:val="none"/>
              </w:rPr>
            </w:pPr>
          </w:p>
        </w:tc>
        <w:tc>
          <w:tcPr>
            <w:tcW w:w="1103" w:type="dxa"/>
            <w:vAlign w:val="center"/>
          </w:tcPr>
          <w:p w14:paraId="2A2DE637">
            <w:pPr>
              <w:adjustRightInd w:val="0"/>
              <w:snapToGrid w:val="0"/>
              <w:ind w:left="-105" w:leftChars="-50" w:right="-105" w:rightChars="-50"/>
              <w:jc w:val="center"/>
              <w:rPr>
                <w:rFonts w:hint="eastAsia"/>
                <w:color w:val="auto"/>
                <w:szCs w:val="21"/>
                <w:highlight w:val="none"/>
                <w:lang w:eastAsia="zh-CN"/>
              </w:rPr>
            </w:pPr>
            <w:r>
              <w:rPr>
                <w:rFonts w:hint="eastAsia"/>
                <w:color w:val="auto"/>
                <w:szCs w:val="21"/>
                <w:highlight w:val="none"/>
                <w:lang w:val="en-US" w:eastAsia="zh-CN"/>
              </w:rPr>
              <w:t>废油脂</w:t>
            </w:r>
          </w:p>
        </w:tc>
        <w:tc>
          <w:tcPr>
            <w:tcW w:w="771" w:type="dxa"/>
            <w:vAlign w:val="center"/>
          </w:tcPr>
          <w:p w14:paraId="755BEC34">
            <w:pPr>
              <w:adjustRightInd w:val="0"/>
              <w:snapToGrid w:val="0"/>
              <w:ind w:left="-105" w:leftChars="-50" w:right="-105" w:rightChars="-50"/>
              <w:jc w:val="center"/>
              <w:rPr>
                <w:color w:val="auto"/>
                <w:szCs w:val="21"/>
                <w:highlight w:val="none"/>
              </w:rPr>
            </w:pPr>
          </w:p>
        </w:tc>
        <w:tc>
          <w:tcPr>
            <w:tcW w:w="548" w:type="dxa"/>
            <w:vAlign w:val="center"/>
          </w:tcPr>
          <w:p w14:paraId="68D00861">
            <w:pPr>
              <w:adjustRightInd w:val="0"/>
              <w:snapToGrid w:val="0"/>
              <w:ind w:left="-105" w:leftChars="-50" w:right="-105" w:rightChars="-50"/>
              <w:jc w:val="center"/>
              <w:rPr>
                <w:color w:val="auto"/>
                <w:szCs w:val="21"/>
                <w:highlight w:val="none"/>
              </w:rPr>
            </w:pPr>
          </w:p>
        </w:tc>
        <w:tc>
          <w:tcPr>
            <w:tcW w:w="814" w:type="dxa"/>
            <w:vAlign w:val="center"/>
          </w:tcPr>
          <w:p w14:paraId="1DBD4151">
            <w:pPr>
              <w:adjustRightInd w:val="0"/>
              <w:snapToGrid w:val="0"/>
              <w:ind w:left="-105" w:leftChars="-50" w:right="-105" w:rightChars="-50"/>
              <w:jc w:val="center"/>
              <w:rPr>
                <w:color w:val="auto"/>
                <w:szCs w:val="21"/>
                <w:highlight w:val="none"/>
              </w:rPr>
            </w:pPr>
          </w:p>
        </w:tc>
        <w:tc>
          <w:tcPr>
            <w:tcW w:w="1186" w:type="dxa"/>
            <w:vAlign w:val="center"/>
          </w:tcPr>
          <w:p w14:paraId="7EB12912">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0.11</w:t>
            </w:r>
            <w:r>
              <w:rPr>
                <w:color w:val="auto"/>
                <w:szCs w:val="21"/>
                <w:highlight w:val="none"/>
              </w:rPr>
              <w:t>t/a</w:t>
            </w:r>
          </w:p>
        </w:tc>
        <w:tc>
          <w:tcPr>
            <w:tcW w:w="801" w:type="dxa"/>
            <w:vAlign w:val="center"/>
          </w:tcPr>
          <w:p w14:paraId="69C9CAE4">
            <w:pPr>
              <w:adjustRightInd w:val="0"/>
              <w:snapToGrid w:val="0"/>
              <w:ind w:left="-105" w:leftChars="-50" w:right="-105" w:rightChars="-50"/>
              <w:jc w:val="center"/>
              <w:rPr>
                <w:color w:val="auto"/>
                <w:szCs w:val="21"/>
                <w:highlight w:val="none"/>
              </w:rPr>
            </w:pPr>
          </w:p>
        </w:tc>
        <w:tc>
          <w:tcPr>
            <w:tcW w:w="1215" w:type="dxa"/>
            <w:vAlign w:val="center"/>
          </w:tcPr>
          <w:p w14:paraId="42453A96">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0.11</w:t>
            </w:r>
            <w:r>
              <w:rPr>
                <w:color w:val="auto"/>
                <w:szCs w:val="21"/>
                <w:highlight w:val="none"/>
              </w:rPr>
              <w:t>t/a</w:t>
            </w:r>
          </w:p>
        </w:tc>
        <w:tc>
          <w:tcPr>
            <w:tcW w:w="1217" w:type="dxa"/>
            <w:vAlign w:val="center"/>
          </w:tcPr>
          <w:p w14:paraId="71FCFAAF">
            <w:pPr>
              <w:adjustRightInd w:val="0"/>
              <w:snapToGrid w:val="0"/>
              <w:ind w:left="-105" w:leftChars="-50" w:right="-105" w:rightChars="-50"/>
              <w:jc w:val="center"/>
              <w:rPr>
                <w:rFonts w:hint="eastAsia"/>
                <w:color w:val="auto"/>
                <w:szCs w:val="21"/>
                <w:highlight w:val="none"/>
              </w:rPr>
            </w:pPr>
            <w:r>
              <w:rPr>
                <w:rFonts w:hint="eastAsia"/>
                <w:color w:val="auto"/>
                <w:szCs w:val="21"/>
                <w:highlight w:val="none"/>
                <w:lang w:val="en-US" w:eastAsia="zh-CN"/>
              </w:rPr>
              <w:t>+0.11</w:t>
            </w:r>
            <w:r>
              <w:rPr>
                <w:color w:val="auto"/>
                <w:szCs w:val="21"/>
                <w:highlight w:val="none"/>
              </w:rPr>
              <w:t>t/a</w:t>
            </w:r>
          </w:p>
        </w:tc>
      </w:tr>
    </w:tbl>
    <w:p w14:paraId="3862982E">
      <w:pPr>
        <w:pStyle w:val="82"/>
        <w:spacing w:before="258" w:beforeLines="80" w:after="32"/>
        <w:jc w:val="left"/>
        <w:rPr>
          <w:rFonts w:ascii="Times New Roman"/>
          <w:snapToGrid w:val="0"/>
          <w:color w:val="auto"/>
          <w:kern w:val="21"/>
          <w:szCs w:val="21"/>
        </w:rPr>
      </w:pPr>
    </w:p>
    <w:p w14:paraId="3FD2BF00">
      <w:pPr>
        <w:pStyle w:val="82"/>
        <w:spacing w:before="258" w:beforeLines="80" w:after="32"/>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023D817C">
      <w:pPr>
        <w:rPr>
          <w:color w:val="auto"/>
        </w:rPr>
        <w:sectPr>
          <w:pgSz w:w="16838" w:h="11905" w:orient="landscape"/>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365C930E">
      <w:pPr>
        <w:jc w:val="center"/>
        <w:rPr>
          <w:color w:val="auto"/>
        </w:rPr>
      </w:pPr>
    </w:p>
    <w:p w14:paraId="2E3583A7">
      <w:pPr>
        <w:jc w:val="center"/>
        <w:rPr>
          <w:color w:val="auto"/>
        </w:rPr>
      </w:pPr>
    </w:p>
    <w:p w14:paraId="6382AD94">
      <w:pPr>
        <w:jc w:val="center"/>
        <w:rPr>
          <w:rFonts w:eastAsia="黑体"/>
          <w:color w:val="auto"/>
          <w:sz w:val="28"/>
          <w:szCs w:val="28"/>
        </w:rPr>
      </w:pPr>
      <w:r>
        <w:rPr>
          <w:color w:val="auto"/>
        </w:rPr>
        <w:drawing>
          <wp:inline distT="0" distB="0" distL="114300" distR="114300">
            <wp:extent cx="6116955" cy="3868420"/>
            <wp:effectExtent l="0" t="0" r="17145" b="1778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32"/>
                    <a:stretch>
                      <a:fillRect/>
                    </a:stretch>
                  </pic:blipFill>
                  <pic:spPr>
                    <a:xfrm>
                      <a:off x="0" y="0"/>
                      <a:ext cx="6116955" cy="3868420"/>
                    </a:xfrm>
                    <a:prstGeom prst="rect">
                      <a:avLst/>
                    </a:prstGeom>
                    <a:noFill/>
                    <a:ln>
                      <a:noFill/>
                    </a:ln>
                  </pic:spPr>
                </pic:pic>
              </a:graphicData>
            </a:graphic>
          </wp:inline>
        </w:drawing>
      </w:r>
    </w:p>
    <w:p w14:paraId="4A794C06">
      <w:pPr>
        <w:spacing w:line="360" w:lineRule="auto"/>
        <w:jc w:val="center"/>
        <w:outlineLvl w:val="0"/>
        <w:rPr>
          <w:rFonts w:eastAsia="黑体"/>
          <w:color w:val="auto"/>
          <w:sz w:val="28"/>
          <w:szCs w:val="28"/>
        </w:rPr>
      </w:pPr>
      <w:bookmarkStart w:id="60" w:name="_Toc12609"/>
      <w:r>
        <w:rPr>
          <w:rFonts w:eastAsia="黑体"/>
          <w:color w:val="auto"/>
          <w:sz w:val="28"/>
          <w:szCs w:val="28"/>
        </w:rPr>
        <w:t>附图1 项目地理位置图</w:t>
      </w:r>
      <w:bookmarkEnd w:id="60"/>
    </w:p>
    <w:p w14:paraId="2CB10059">
      <w:pPr>
        <w:pStyle w:val="48"/>
        <w:jc w:val="center"/>
        <w:rPr>
          <w:rFonts w:ascii="Times New Roman" w:cs="Times New Roman"/>
          <w:color w:val="auto"/>
        </w:rPr>
      </w:pPr>
    </w:p>
    <w:p w14:paraId="3F9F9CF8">
      <w:pPr>
        <w:pStyle w:val="50"/>
        <w:rPr>
          <w:color w:val="auto"/>
        </w:rPr>
      </w:pPr>
    </w:p>
    <w:p w14:paraId="3BF57B90">
      <w:pPr>
        <w:pStyle w:val="50"/>
        <w:rPr>
          <w:color w:val="auto"/>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7CADA170">
      <w:pPr>
        <w:jc w:val="center"/>
        <w:rPr>
          <w:rFonts w:hint="eastAsia" w:eastAsia="宋体"/>
          <w:color w:val="auto"/>
          <w:lang w:eastAsia="zh-CN"/>
        </w:rPr>
      </w:pPr>
      <w:r>
        <w:rPr>
          <w:rFonts w:hint="eastAsia"/>
          <w:color w:val="auto"/>
          <w:vertAlign w:val="baseline"/>
          <w:lang w:val="en-US" w:eastAsia="zh-CN"/>
        </w:rPr>
        <w:t>二期</w:t>
      </w:r>
      <w:r>
        <w:rPr>
          <w:rFonts w:hint="eastAsia" w:eastAsia="宋体"/>
          <w:color w:val="auto"/>
          <w:lang w:eastAsia="zh-CN"/>
        </w:rPr>
        <w:drawing>
          <wp:inline distT="0" distB="0" distL="114300" distR="114300">
            <wp:extent cx="4271645" cy="6042025"/>
            <wp:effectExtent l="0" t="0" r="15875" b="14605"/>
            <wp:docPr id="12" name="图片 12" descr="宏昌生物规划22.10.18一号建筑修改(2)(1)(1)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宏昌生物规划22.10.18一号建筑修改(2)(1)(1) Model (1)_00"/>
                    <pic:cNvPicPr>
                      <a:picLocks noChangeAspect="1"/>
                    </pic:cNvPicPr>
                  </pic:nvPicPr>
                  <pic:blipFill>
                    <a:blip r:embed="rId33"/>
                    <a:stretch>
                      <a:fillRect/>
                    </a:stretch>
                  </pic:blipFill>
                  <pic:spPr>
                    <a:xfrm rot="16200000">
                      <a:off x="0" y="0"/>
                      <a:ext cx="4271645" cy="6042025"/>
                    </a:xfrm>
                    <a:prstGeom prst="rect">
                      <a:avLst/>
                    </a:prstGeom>
                  </pic:spPr>
                </pic:pic>
              </a:graphicData>
            </a:graphic>
          </wp:inline>
        </w:drawing>
      </w:r>
    </w:p>
    <w:p w14:paraId="5F7C72B1">
      <w:pPr>
        <w:spacing w:line="360" w:lineRule="auto"/>
        <w:jc w:val="center"/>
        <w:outlineLvl w:val="0"/>
        <w:rPr>
          <w:rFonts w:eastAsia="黑体"/>
          <w:color w:val="auto"/>
          <w:sz w:val="28"/>
          <w:szCs w:val="28"/>
        </w:rPr>
      </w:pPr>
      <w:bookmarkStart w:id="61" w:name="_Toc24911"/>
      <w:r>
        <w:rPr>
          <w:rFonts w:eastAsia="黑体"/>
          <w:color w:val="auto"/>
          <w:sz w:val="28"/>
          <w:szCs w:val="28"/>
        </w:rPr>
        <w:t>附图</w:t>
      </w:r>
      <w:r>
        <w:rPr>
          <w:rFonts w:hint="eastAsia" w:eastAsia="黑体"/>
          <w:color w:val="auto"/>
          <w:sz w:val="28"/>
          <w:szCs w:val="28"/>
        </w:rPr>
        <w:t>2</w:t>
      </w:r>
      <w:r>
        <w:rPr>
          <w:rFonts w:eastAsia="黑体"/>
          <w:color w:val="auto"/>
          <w:sz w:val="28"/>
          <w:szCs w:val="28"/>
        </w:rPr>
        <w:t xml:space="preserve"> 项目</w:t>
      </w:r>
      <w:r>
        <w:rPr>
          <w:rFonts w:hint="eastAsia" w:eastAsia="黑体"/>
          <w:color w:val="auto"/>
          <w:sz w:val="28"/>
          <w:szCs w:val="28"/>
        </w:rPr>
        <w:t>平面布置</w:t>
      </w:r>
      <w:r>
        <w:rPr>
          <w:rFonts w:eastAsia="黑体"/>
          <w:color w:val="auto"/>
          <w:sz w:val="28"/>
          <w:szCs w:val="28"/>
        </w:rPr>
        <w:t>图</w:t>
      </w:r>
      <w:bookmarkEnd w:id="61"/>
    </w:p>
    <w:p w14:paraId="0200FF6C">
      <w:pPr>
        <w:rPr>
          <w:rFonts w:eastAsia="黑体"/>
          <w:color w:val="auto"/>
          <w:sz w:val="28"/>
          <w:szCs w:val="28"/>
        </w:rPr>
      </w:pPr>
      <w:r>
        <w:rPr>
          <w:rFonts w:eastAsia="黑体"/>
          <w:color w:val="auto"/>
          <w:sz w:val="28"/>
          <w:szCs w:val="28"/>
        </w:rPr>
        <w:br w:type="page"/>
      </w:r>
    </w:p>
    <w:p w14:paraId="547E0DC9">
      <w:pPr>
        <w:rPr>
          <w:color w:val="auto"/>
        </w:rPr>
      </w:pPr>
    </w:p>
    <w:p w14:paraId="7F2DFDDF">
      <w:pPr>
        <w:jc w:val="center"/>
        <w:rPr>
          <w:rFonts w:hint="eastAsia" w:eastAsia="宋体"/>
          <w:color w:val="auto"/>
          <w:lang w:eastAsia="zh-CN"/>
        </w:rPr>
      </w:pPr>
      <w:r>
        <w:rPr>
          <w:rFonts w:hint="eastAsia" w:eastAsia="宋体"/>
          <w:color w:val="auto"/>
          <w:lang w:eastAsia="zh-CN"/>
        </w:rPr>
        <w:drawing>
          <wp:inline distT="0" distB="0" distL="114300" distR="114300">
            <wp:extent cx="6112510" cy="4384675"/>
            <wp:effectExtent l="0" t="0" r="2540" b="15875"/>
            <wp:docPr id="29" name="图片 29" descr="e31baa48e7f54203c585b93214b3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31baa48e7f54203c585b93214b36c5"/>
                    <pic:cNvPicPr>
                      <a:picLocks noChangeAspect="1"/>
                    </pic:cNvPicPr>
                  </pic:nvPicPr>
                  <pic:blipFill>
                    <a:blip r:embed="rId34"/>
                    <a:stretch>
                      <a:fillRect/>
                    </a:stretch>
                  </pic:blipFill>
                  <pic:spPr>
                    <a:xfrm>
                      <a:off x="0" y="0"/>
                      <a:ext cx="6112510" cy="4384675"/>
                    </a:xfrm>
                    <a:prstGeom prst="rect">
                      <a:avLst/>
                    </a:prstGeom>
                  </pic:spPr>
                </pic:pic>
              </a:graphicData>
            </a:graphic>
          </wp:inline>
        </w:drawing>
      </w:r>
    </w:p>
    <w:p w14:paraId="46F8C31B">
      <w:pPr>
        <w:spacing w:line="360" w:lineRule="auto"/>
        <w:jc w:val="center"/>
        <w:outlineLvl w:val="0"/>
        <w:rPr>
          <w:rFonts w:eastAsia="黑体"/>
          <w:color w:val="auto"/>
          <w:sz w:val="28"/>
          <w:szCs w:val="28"/>
        </w:rPr>
      </w:pPr>
      <w:bookmarkStart w:id="62" w:name="_Toc14747"/>
      <w:r>
        <w:rPr>
          <w:rFonts w:eastAsia="黑体"/>
          <w:color w:val="auto"/>
          <w:sz w:val="28"/>
          <w:szCs w:val="28"/>
        </w:rPr>
        <w:t>附图</w:t>
      </w:r>
      <w:r>
        <w:rPr>
          <w:rFonts w:hint="eastAsia" w:eastAsia="黑体"/>
          <w:color w:val="auto"/>
          <w:sz w:val="28"/>
          <w:szCs w:val="28"/>
        </w:rPr>
        <w:t>3</w:t>
      </w:r>
      <w:r>
        <w:rPr>
          <w:rFonts w:eastAsia="黑体"/>
          <w:color w:val="auto"/>
          <w:sz w:val="28"/>
          <w:szCs w:val="28"/>
        </w:rPr>
        <w:t xml:space="preserve"> 环境空气现状监测点位图（引用）</w:t>
      </w:r>
      <w:bookmarkEnd w:id="62"/>
    </w:p>
    <w:p w14:paraId="58326D91">
      <w:pPr>
        <w:pStyle w:val="37"/>
        <w:ind w:firstLine="560"/>
        <w:rPr>
          <w:rFonts w:eastAsia="黑体"/>
          <w:color w:val="auto"/>
          <w:sz w:val="28"/>
          <w:szCs w:val="28"/>
        </w:rPr>
      </w:pPr>
    </w:p>
    <w:p w14:paraId="2ABB0754">
      <w:pPr>
        <w:rPr>
          <w:rFonts w:eastAsia="黑体"/>
          <w:color w:val="auto"/>
          <w:sz w:val="28"/>
          <w:szCs w:val="28"/>
        </w:rPr>
      </w:pPr>
      <w:r>
        <w:rPr>
          <w:rFonts w:eastAsia="黑体"/>
          <w:color w:val="auto"/>
          <w:sz w:val="28"/>
          <w:szCs w:val="28"/>
        </w:rPr>
        <w:br w:type="page"/>
      </w:r>
    </w:p>
    <w:p w14:paraId="53A17673">
      <w:pPr>
        <w:rPr>
          <w:color w:val="auto"/>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4DDB8825">
      <w:pPr>
        <w:spacing w:line="360" w:lineRule="auto"/>
        <w:outlineLvl w:val="0"/>
        <w:rPr>
          <w:rFonts w:eastAsia="黑体"/>
          <w:color w:val="auto"/>
          <w:sz w:val="28"/>
          <w:szCs w:val="28"/>
        </w:rPr>
      </w:pPr>
      <w:bookmarkStart w:id="63" w:name="_Toc10948"/>
      <w:r>
        <w:rPr>
          <w:rFonts w:eastAsia="黑体"/>
          <w:color w:val="auto"/>
          <w:sz w:val="28"/>
          <w:szCs w:val="28"/>
        </w:rPr>
        <w:t>附件1 营业执照</w:t>
      </w:r>
      <w:bookmarkEnd w:id="63"/>
    </w:p>
    <w:p w14:paraId="454DAF54">
      <w:pPr>
        <w:spacing w:line="360" w:lineRule="auto"/>
        <w:jc w:val="center"/>
        <w:rPr>
          <w:color w:val="auto"/>
        </w:rPr>
      </w:pPr>
      <w:r>
        <w:rPr>
          <w:color w:val="auto"/>
        </w:rPr>
        <w:drawing>
          <wp:inline distT="0" distB="0" distL="114300" distR="114300">
            <wp:extent cx="5263515" cy="3736340"/>
            <wp:effectExtent l="0" t="0" r="9525" b="12700"/>
            <wp:docPr id="5" name="图片 5"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营业执照"/>
                    <pic:cNvPicPr>
                      <a:picLocks noChangeAspect="1"/>
                    </pic:cNvPicPr>
                  </pic:nvPicPr>
                  <pic:blipFill>
                    <a:blip r:embed="rId35"/>
                    <a:stretch>
                      <a:fillRect/>
                    </a:stretch>
                  </pic:blipFill>
                  <pic:spPr>
                    <a:xfrm>
                      <a:off x="0" y="0"/>
                      <a:ext cx="5263515" cy="3736340"/>
                    </a:xfrm>
                    <a:prstGeom prst="rect">
                      <a:avLst/>
                    </a:prstGeom>
                  </pic:spPr>
                </pic:pic>
              </a:graphicData>
            </a:graphic>
          </wp:inline>
        </w:drawing>
      </w:r>
    </w:p>
    <w:p w14:paraId="7ECA2879">
      <w:pPr>
        <w:spacing w:line="360" w:lineRule="auto"/>
        <w:outlineLvl w:val="0"/>
        <w:rPr>
          <w:rFonts w:eastAsia="黑体"/>
          <w:color w:val="auto"/>
          <w:sz w:val="28"/>
          <w:szCs w:val="28"/>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29161876">
      <w:pPr>
        <w:spacing w:line="360" w:lineRule="auto"/>
        <w:outlineLvl w:val="0"/>
        <w:rPr>
          <w:rFonts w:eastAsia="黑体"/>
          <w:color w:val="auto"/>
          <w:sz w:val="28"/>
          <w:szCs w:val="28"/>
        </w:rPr>
      </w:pPr>
      <w:bookmarkStart w:id="64" w:name="_Toc3790"/>
      <w:r>
        <w:rPr>
          <w:rFonts w:hint="eastAsia" w:eastAsia="黑体"/>
          <w:color w:val="auto"/>
          <w:sz w:val="28"/>
          <w:szCs w:val="28"/>
        </w:rPr>
        <w:t>附件2 土地证</w:t>
      </w:r>
      <w:bookmarkEnd w:id="64"/>
    </w:p>
    <w:p w14:paraId="32DD4FA3">
      <w:pPr>
        <w:jc w:val="center"/>
        <w:rPr>
          <w:color w:val="auto"/>
        </w:rPr>
      </w:pPr>
      <w:r>
        <w:rPr>
          <w:rFonts w:hint="eastAsia"/>
          <w:color w:val="auto"/>
        </w:rPr>
        <w:drawing>
          <wp:inline distT="0" distB="0" distL="114300" distR="114300">
            <wp:extent cx="4512310" cy="8021955"/>
            <wp:effectExtent l="0" t="0" r="13970" b="9525"/>
            <wp:docPr id="15" name="图片 15" descr="828019eb7ac3be298b86adf1de1b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28019eb7ac3be298b86adf1de1b767"/>
                    <pic:cNvPicPr>
                      <a:picLocks noChangeAspect="1"/>
                    </pic:cNvPicPr>
                  </pic:nvPicPr>
                  <pic:blipFill>
                    <a:blip r:embed="rId36"/>
                    <a:stretch>
                      <a:fillRect/>
                    </a:stretch>
                  </pic:blipFill>
                  <pic:spPr>
                    <a:xfrm>
                      <a:off x="0" y="0"/>
                      <a:ext cx="4512310" cy="8021955"/>
                    </a:xfrm>
                    <a:prstGeom prst="rect">
                      <a:avLst/>
                    </a:prstGeom>
                  </pic:spPr>
                </pic:pic>
              </a:graphicData>
            </a:graphic>
          </wp:inline>
        </w:drawing>
      </w:r>
      <w:r>
        <w:rPr>
          <w:rFonts w:hint="eastAsia"/>
          <w:color w:val="auto"/>
        </w:rPr>
        <w:br w:type="page"/>
      </w:r>
    </w:p>
    <w:p w14:paraId="3526C8BA">
      <w:pPr>
        <w:spacing w:line="360" w:lineRule="auto"/>
        <w:outlineLvl w:val="0"/>
        <w:rPr>
          <w:rFonts w:eastAsia="黑体"/>
          <w:color w:val="auto"/>
          <w:sz w:val="28"/>
          <w:szCs w:val="28"/>
        </w:rPr>
      </w:pPr>
      <w:bookmarkStart w:id="65" w:name="_Toc2829"/>
      <w:r>
        <w:rPr>
          <w:rFonts w:hint="eastAsia" w:eastAsia="黑体"/>
          <w:color w:val="auto"/>
          <w:sz w:val="28"/>
          <w:szCs w:val="28"/>
        </w:rPr>
        <w:t>附件3 生物质成分分析报告</w:t>
      </w:r>
      <w:bookmarkEnd w:id="65"/>
    </w:p>
    <w:p w14:paraId="3FE5F1CE">
      <w:pPr>
        <w:jc w:val="center"/>
        <w:rPr>
          <w:color w:val="auto"/>
        </w:rPr>
      </w:pPr>
      <w:r>
        <w:rPr>
          <w:color w:val="auto"/>
        </w:rPr>
        <w:drawing>
          <wp:inline distT="0" distB="0" distL="114300" distR="114300">
            <wp:extent cx="5124450" cy="8096250"/>
            <wp:effectExtent l="0" t="0" r="0" b="0"/>
            <wp:docPr id="14" name="图片 14" descr="7d38ae895751c9534e6a210ccaa2c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d38ae895751c9534e6a210ccaa2c78"/>
                    <pic:cNvPicPr>
                      <a:picLocks noChangeAspect="1"/>
                    </pic:cNvPicPr>
                  </pic:nvPicPr>
                  <pic:blipFill>
                    <a:blip r:embed="rId37"/>
                    <a:stretch>
                      <a:fillRect/>
                    </a:stretch>
                  </pic:blipFill>
                  <pic:spPr>
                    <a:xfrm>
                      <a:off x="0" y="0"/>
                      <a:ext cx="5124450" cy="8096250"/>
                    </a:xfrm>
                    <a:prstGeom prst="rect">
                      <a:avLst/>
                    </a:prstGeom>
                  </pic:spPr>
                </pic:pic>
              </a:graphicData>
            </a:graphic>
          </wp:inline>
        </w:drawing>
      </w:r>
    </w:p>
    <w:p w14:paraId="3161DB9E">
      <w:pPr>
        <w:pStyle w:val="37"/>
        <w:rPr>
          <w:color w:val="auto"/>
        </w:rPr>
      </w:pPr>
    </w:p>
    <w:p w14:paraId="200118AE">
      <w:pPr>
        <w:spacing w:line="360" w:lineRule="auto"/>
        <w:outlineLvl w:val="0"/>
        <w:rPr>
          <w:rFonts w:eastAsia="黑体"/>
          <w:color w:val="auto"/>
          <w:sz w:val="28"/>
          <w:szCs w:val="28"/>
        </w:rPr>
      </w:pPr>
      <w:bookmarkStart w:id="66" w:name="_Toc28783"/>
      <w:r>
        <w:rPr>
          <w:rFonts w:eastAsia="黑体"/>
          <w:color w:val="auto"/>
          <w:sz w:val="28"/>
          <w:szCs w:val="28"/>
        </w:rPr>
        <w:t>附件</w:t>
      </w:r>
      <w:r>
        <w:rPr>
          <w:rFonts w:hint="eastAsia" w:eastAsia="黑体"/>
          <w:color w:val="auto"/>
          <w:sz w:val="28"/>
          <w:szCs w:val="28"/>
        </w:rPr>
        <w:t>4</w:t>
      </w:r>
      <w:r>
        <w:rPr>
          <w:rFonts w:eastAsia="黑体"/>
          <w:color w:val="auto"/>
          <w:sz w:val="28"/>
          <w:szCs w:val="28"/>
        </w:rPr>
        <w:t xml:space="preserve"> 监测报告</w:t>
      </w:r>
      <w:r>
        <w:rPr>
          <w:rFonts w:hint="eastAsia" w:eastAsia="黑体"/>
          <w:color w:val="auto"/>
          <w:sz w:val="28"/>
          <w:szCs w:val="28"/>
        </w:rPr>
        <w:t>（引用）</w:t>
      </w:r>
      <w:bookmarkEnd w:id="66"/>
    </w:p>
    <w:p w14:paraId="27A12998">
      <w:pPr>
        <w:bidi w:val="0"/>
        <w:jc w:val="center"/>
        <w:rPr>
          <w:color w:val="auto"/>
        </w:rPr>
      </w:pPr>
      <w:r>
        <w:rPr>
          <w:color w:val="auto"/>
        </w:rPr>
        <w:drawing>
          <wp:inline distT="0" distB="0" distL="114300" distR="114300">
            <wp:extent cx="4411980" cy="6301740"/>
            <wp:effectExtent l="0" t="0" r="7620" b="381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38"/>
                    <a:stretch>
                      <a:fillRect/>
                    </a:stretch>
                  </pic:blipFill>
                  <pic:spPr>
                    <a:xfrm>
                      <a:off x="0" y="0"/>
                      <a:ext cx="4411980" cy="6301740"/>
                    </a:xfrm>
                    <a:prstGeom prst="rect">
                      <a:avLst/>
                    </a:prstGeom>
                    <a:noFill/>
                    <a:ln>
                      <a:noFill/>
                    </a:ln>
                  </pic:spPr>
                </pic:pic>
              </a:graphicData>
            </a:graphic>
          </wp:inline>
        </w:drawing>
      </w:r>
      <w:r>
        <w:rPr>
          <w:color w:val="auto"/>
        </w:rPr>
        <w:drawing>
          <wp:inline distT="0" distB="0" distL="114300" distR="114300">
            <wp:extent cx="4404360" cy="6240780"/>
            <wp:effectExtent l="0" t="0" r="15240" b="762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39"/>
                    <a:stretch>
                      <a:fillRect/>
                    </a:stretch>
                  </pic:blipFill>
                  <pic:spPr>
                    <a:xfrm>
                      <a:off x="0" y="0"/>
                      <a:ext cx="4404360" cy="6240780"/>
                    </a:xfrm>
                    <a:prstGeom prst="rect">
                      <a:avLst/>
                    </a:prstGeom>
                    <a:noFill/>
                    <a:ln>
                      <a:noFill/>
                    </a:ln>
                  </pic:spPr>
                </pic:pic>
              </a:graphicData>
            </a:graphic>
          </wp:inline>
        </w:drawing>
      </w:r>
      <w:r>
        <w:rPr>
          <w:color w:val="auto"/>
        </w:rPr>
        <w:drawing>
          <wp:inline distT="0" distB="0" distL="114300" distR="114300">
            <wp:extent cx="4419600" cy="6172200"/>
            <wp:effectExtent l="0" t="0" r="0" b="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40"/>
                    <a:stretch>
                      <a:fillRect/>
                    </a:stretch>
                  </pic:blipFill>
                  <pic:spPr>
                    <a:xfrm>
                      <a:off x="0" y="0"/>
                      <a:ext cx="4419600" cy="6172200"/>
                    </a:xfrm>
                    <a:prstGeom prst="rect">
                      <a:avLst/>
                    </a:prstGeom>
                    <a:noFill/>
                    <a:ln>
                      <a:noFill/>
                    </a:ln>
                  </pic:spPr>
                </pic:pic>
              </a:graphicData>
            </a:graphic>
          </wp:inline>
        </w:drawing>
      </w:r>
      <w:r>
        <w:rPr>
          <w:color w:val="auto"/>
        </w:rPr>
        <w:drawing>
          <wp:inline distT="0" distB="0" distL="114300" distR="114300">
            <wp:extent cx="4396740" cy="6278880"/>
            <wp:effectExtent l="0" t="0" r="3810" b="762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41"/>
                    <a:stretch>
                      <a:fillRect/>
                    </a:stretch>
                  </pic:blipFill>
                  <pic:spPr>
                    <a:xfrm>
                      <a:off x="0" y="0"/>
                      <a:ext cx="4396740" cy="6278880"/>
                    </a:xfrm>
                    <a:prstGeom prst="rect">
                      <a:avLst/>
                    </a:prstGeom>
                    <a:noFill/>
                    <a:ln>
                      <a:noFill/>
                    </a:ln>
                  </pic:spPr>
                </pic:pic>
              </a:graphicData>
            </a:graphic>
          </wp:inline>
        </w:drawing>
      </w:r>
    </w:p>
    <w:p w14:paraId="12F1E198">
      <w:pPr>
        <w:pStyle w:val="37"/>
        <w:ind w:firstLine="560"/>
        <w:rPr>
          <w:rFonts w:eastAsia="黑体"/>
          <w:color w:val="auto"/>
          <w:sz w:val="28"/>
          <w:szCs w:val="28"/>
        </w:rPr>
      </w:pPr>
    </w:p>
    <w:p w14:paraId="7C6074AC">
      <w:pPr>
        <w:pStyle w:val="37"/>
        <w:ind w:firstLine="560"/>
        <w:rPr>
          <w:rFonts w:eastAsia="黑体"/>
          <w:color w:val="auto"/>
          <w:sz w:val="28"/>
          <w:szCs w:val="28"/>
        </w:rPr>
      </w:pPr>
    </w:p>
    <w:p w14:paraId="3DEBAC00">
      <w:pPr>
        <w:pStyle w:val="37"/>
        <w:ind w:firstLine="560"/>
        <w:rPr>
          <w:rFonts w:eastAsia="黑体"/>
          <w:color w:val="auto"/>
          <w:sz w:val="28"/>
          <w:szCs w:val="28"/>
        </w:rPr>
      </w:pPr>
    </w:p>
    <w:p w14:paraId="316CA358">
      <w:pPr>
        <w:pStyle w:val="37"/>
        <w:ind w:firstLine="560"/>
        <w:rPr>
          <w:rFonts w:eastAsia="黑体"/>
          <w:color w:val="auto"/>
          <w:sz w:val="28"/>
          <w:szCs w:val="28"/>
        </w:rPr>
      </w:pPr>
    </w:p>
    <w:p w14:paraId="178D58F5">
      <w:pPr>
        <w:pStyle w:val="37"/>
        <w:ind w:firstLine="560"/>
        <w:rPr>
          <w:rFonts w:eastAsia="黑体"/>
          <w:color w:val="auto"/>
          <w:sz w:val="28"/>
          <w:szCs w:val="28"/>
        </w:rPr>
      </w:pPr>
    </w:p>
    <w:p w14:paraId="36EF3F4F">
      <w:pPr>
        <w:rPr>
          <w:rFonts w:eastAsia="黑体"/>
          <w:color w:val="auto"/>
          <w:sz w:val="28"/>
          <w:szCs w:val="28"/>
        </w:rPr>
      </w:pPr>
      <w:r>
        <w:rPr>
          <w:rFonts w:eastAsia="黑体"/>
          <w:color w:val="auto"/>
          <w:sz w:val="28"/>
          <w:szCs w:val="28"/>
        </w:rPr>
        <w:br w:type="page"/>
      </w:r>
    </w:p>
    <w:p w14:paraId="5115BFE7">
      <w:pPr>
        <w:spacing w:line="360" w:lineRule="auto"/>
        <w:outlineLvl w:val="0"/>
        <w:rPr>
          <w:rFonts w:hint="eastAsia" w:eastAsia="黑体"/>
          <w:color w:val="auto"/>
          <w:sz w:val="28"/>
          <w:szCs w:val="28"/>
          <w:lang w:eastAsia="zh-CN"/>
        </w:rPr>
      </w:pPr>
      <w:bookmarkStart w:id="67" w:name="_Toc30812"/>
      <w:bookmarkStart w:id="68" w:name="_Toc128486795"/>
      <w:r>
        <w:rPr>
          <w:rFonts w:eastAsia="黑体"/>
          <w:color w:val="auto"/>
          <w:sz w:val="28"/>
          <w:szCs w:val="28"/>
        </w:rPr>
        <w:t>附件</w:t>
      </w:r>
      <w:r>
        <w:rPr>
          <w:rFonts w:hint="eastAsia" w:eastAsia="黑体"/>
          <w:color w:val="auto"/>
          <w:sz w:val="28"/>
          <w:szCs w:val="28"/>
          <w:lang w:val="en-US" w:eastAsia="zh-CN"/>
        </w:rPr>
        <w:t>5</w:t>
      </w:r>
      <w:r>
        <w:rPr>
          <w:rFonts w:eastAsia="黑体"/>
          <w:color w:val="auto"/>
          <w:sz w:val="28"/>
          <w:szCs w:val="28"/>
        </w:rPr>
        <w:t xml:space="preserve"> </w:t>
      </w:r>
      <w:r>
        <w:rPr>
          <w:rFonts w:hint="eastAsia" w:eastAsia="黑体"/>
          <w:color w:val="auto"/>
          <w:sz w:val="28"/>
          <w:szCs w:val="28"/>
          <w:lang w:eastAsia="zh-CN"/>
        </w:rPr>
        <w:t>备案文件</w:t>
      </w:r>
      <w:bookmarkEnd w:id="67"/>
    </w:p>
    <w:p w14:paraId="1FF50B68">
      <w:pPr>
        <w:bidi w:val="0"/>
        <w:rPr>
          <w:rFonts w:hint="eastAsia" w:eastAsia="宋体"/>
          <w:color w:val="auto"/>
          <w:lang w:eastAsia="zh-CN"/>
        </w:rPr>
      </w:pPr>
      <w:r>
        <w:rPr>
          <w:rFonts w:hint="eastAsia"/>
          <w:color w:val="auto"/>
          <w:lang w:eastAsia="zh-CN"/>
        </w:rPr>
        <w:drawing>
          <wp:inline distT="0" distB="0" distL="114300" distR="114300">
            <wp:extent cx="6111875" cy="4149090"/>
            <wp:effectExtent l="0" t="0" r="14605" b="11430"/>
            <wp:docPr id="24" name="图片 24" descr="59051031d20164ca8aad3ea789a1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9051031d20164ca8aad3ea789a18b9"/>
                    <pic:cNvPicPr>
                      <a:picLocks noChangeAspect="1"/>
                    </pic:cNvPicPr>
                  </pic:nvPicPr>
                  <pic:blipFill>
                    <a:blip r:embed="rId42"/>
                    <a:stretch>
                      <a:fillRect/>
                    </a:stretch>
                  </pic:blipFill>
                  <pic:spPr>
                    <a:xfrm>
                      <a:off x="0" y="0"/>
                      <a:ext cx="6111875" cy="4149090"/>
                    </a:xfrm>
                    <a:prstGeom prst="rect">
                      <a:avLst/>
                    </a:prstGeom>
                  </pic:spPr>
                </pic:pic>
              </a:graphicData>
            </a:graphic>
          </wp:inline>
        </w:drawing>
      </w:r>
    </w:p>
    <w:p w14:paraId="7FD4C911">
      <w:pPr>
        <w:rPr>
          <w:rFonts w:eastAsia="黑体"/>
          <w:color w:val="auto"/>
          <w:sz w:val="28"/>
          <w:szCs w:val="28"/>
        </w:rPr>
      </w:pPr>
      <w:r>
        <w:rPr>
          <w:rFonts w:eastAsia="黑体"/>
          <w:color w:val="auto"/>
          <w:sz w:val="28"/>
          <w:szCs w:val="28"/>
        </w:rPr>
        <w:br w:type="page"/>
      </w:r>
    </w:p>
    <w:p w14:paraId="413AEE31">
      <w:pPr>
        <w:bidi w:val="0"/>
        <w:jc w:val="center"/>
        <w:rPr>
          <w:rFonts w:ascii="Times New Roman" w:hAnsi="Times New Roman" w:eastAsia="黑体" w:cs="Times New Roman"/>
          <w:color w:val="auto"/>
          <w:sz w:val="28"/>
          <w:szCs w:val="28"/>
          <w:highlight w:val="yellow"/>
        </w:rPr>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p>
    <w:p w14:paraId="69F77599">
      <w:pPr>
        <w:spacing w:line="360" w:lineRule="auto"/>
        <w:jc w:val="left"/>
        <w:outlineLvl w:val="0"/>
        <w:rPr>
          <w:rFonts w:hint="eastAsia" w:ascii="Times New Roman" w:hAnsi="Times New Roman" w:eastAsia="黑体" w:cs="Times New Roman"/>
          <w:color w:val="auto"/>
          <w:sz w:val="28"/>
          <w:szCs w:val="28"/>
          <w:highlight w:val="none"/>
          <w:lang w:val="en-US" w:eastAsia="zh-CN"/>
        </w:rPr>
      </w:pPr>
      <w:bookmarkStart w:id="69" w:name="_Toc9483"/>
      <w:r>
        <w:rPr>
          <w:rFonts w:ascii="Times New Roman" w:hAnsi="Times New Roman" w:eastAsia="黑体" w:cs="Times New Roman"/>
          <w:color w:val="auto"/>
          <w:sz w:val="28"/>
          <w:szCs w:val="28"/>
          <w:highlight w:val="none"/>
        </w:rPr>
        <w:t>附件</w:t>
      </w:r>
      <w:r>
        <w:rPr>
          <w:rFonts w:hint="eastAsia" w:eastAsia="黑体" w:cs="Times New Roman"/>
          <w:color w:val="auto"/>
          <w:sz w:val="28"/>
          <w:szCs w:val="28"/>
          <w:highlight w:val="none"/>
          <w:lang w:val="en-US" w:eastAsia="zh-CN"/>
        </w:rPr>
        <w:t>6</w:t>
      </w:r>
      <w:r>
        <w:rPr>
          <w:rFonts w:ascii="Times New Roman" w:hAnsi="Times New Roman" w:eastAsia="黑体" w:cs="Times New Roman"/>
          <w:color w:val="auto"/>
          <w:sz w:val="28"/>
          <w:szCs w:val="28"/>
          <w:highlight w:val="none"/>
        </w:rPr>
        <w:t xml:space="preserve"> 生态环境分区管控分析报告</w:t>
      </w:r>
      <w:bookmarkEnd w:id="69"/>
    </w:p>
    <w:p w14:paraId="5D366BAB">
      <w:pPr>
        <w:bidi w:val="0"/>
        <w:rPr>
          <w:color w:val="auto"/>
        </w:rPr>
      </w:pPr>
    </w:p>
    <w:p w14:paraId="2895F197">
      <w:pPr>
        <w:bidi w:val="0"/>
        <w:rPr>
          <w:rFonts w:eastAsia="黑体"/>
          <w:color w:val="auto"/>
          <w:sz w:val="28"/>
          <w:szCs w:val="28"/>
        </w:rPr>
        <w:sectPr>
          <w:pgSz w:w="16838" w:h="11905" w:orient="landscape"/>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pPr>
      <w:r>
        <w:rPr>
          <w:rFonts w:hint="eastAsia"/>
          <w:color w:val="auto"/>
          <w:lang w:eastAsia="zh-CN"/>
        </w:rPr>
        <w:drawing>
          <wp:inline distT="0" distB="0" distL="114300" distR="114300">
            <wp:extent cx="7165975" cy="5067935"/>
            <wp:effectExtent l="0" t="0" r="15875" b="18415"/>
            <wp:docPr id="69" name="图片 69" descr="黑龙江宏昌生物科技有限公司日加工500吨大豆（米糠）双生产线建设项目（重新报批）_2025年05月15日211257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黑龙江宏昌生物科技有限公司日加工500吨大豆（米糠）双生产线建设项目（重新报批）_2025年05月15日211257_分析报告_00"/>
                    <pic:cNvPicPr>
                      <a:picLocks noChangeAspect="1"/>
                    </pic:cNvPicPr>
                  </pic:nvPicPr>
                  <pic:blipFill>
                    <a:blip r:embed="rId43"/>
                    <a:stretch>
                      <a:fillRect/>
                    </a:stretch>
                  </pic:blipFill>
                  <pic:spPr>
                    <a:xfrm>
                      <a:off x="0" y="0"/>
                      <a:ext cx="7165975" cy="5067935"/>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8" name="图片 68" descr="黑龙江宏昌生物科技有限公司日加工500吨大豆（米糠）双生产线建设项目（重新报批）_2025年05月15日211257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黑龙江宏昌生物科技有限公司日加工500吨大豆（米糠）双生产线建设项目（重新报批）_2025年05月15日211257_分析报告_01"/>
                    <pic:cNvPicPr>
                      <a:picLocks noChangeAspect="1"/>
                    </pic:cNvPicPr>
                  </pic:nvPicPr>
                  <pic:blipFill>
                    <a:blip r:embed="rId44"/>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7" name="图片 67" descr="黑龙江宏昌生物科技有限公司日加工500吨大豆（米糠）双生产线建设项目（重新报批）_2025年05月15日211257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黑龙江宏昌生物科技有限公司日加工500吨大豆（米糠）双生产线建设项目（重新报批）_2025年05月15日211257_分析报告_02"/>
                    <pic:cNvPicPr>
                      <a:picLocks noChangeAspect="1"/>
                    </pic:cNvPicPr>
                  </pic:nvPicPr>
                  <pic:blipFill>
                    <a:blip r:embed="rId45"/>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6" name="图片 66" descr="黑龙江宏昌生物科技有限公司日加工500吨大豆（米糠）双生产线建设项目（重新报批）_2025年05月15日211257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黑龙江宏昌生物科技有限公司日加工500吨大豆（米糠）双生产线建设项目（重新报批）_2025年05月15日211257_分析报告_03"/>
                    <pic:cNvPicPr>
                      <a:picLocks noChangeAspect="1"/>
                    </pic:cNvPicPr>
                  </pic:nvPicPr>
                  <pic:blipFill>
                    <a:blip r:embed="rId46"/>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5" name="图片 65" descr="黑龙江宏昌生物科技有限公司日加工500吨大豆（米糠）双生产线建设项目（重新报批）_2025年05月15日211257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黑龙江宏昌生物科技有限公司日加工500吨大豆（米糠）双生产线建设项目（重新报批）_2025年05月15日211257_分析报告_04"/>
                    <pic:cNvPicPr>
                      <a:picLocks noChangeAspect="1"/>
                    </pic:cNvPicPr>
                  </pic:nvPicPr>
                  <pic:blipFill>
                    <a:blip r:embed="rId47"/>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4" name="图片 64" descr="黑龙江宏昌生物科技有限公司日加工500吨大豆（米糠）双生产线建设项目（重新报批）_2025年05月15日211257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黑龙江宏昌生物科技有限公司日加工500吨大豆（米糠）双生产线建设项目（重新报批）_2025年05月15日211257_分析报告_05"/>
                    <pic:cNvPicPr>
                      <a:picLocks noChangeAspect="1"/>
                    </pic:cNvPicPr>
                  </pic:nvPicPr>
                  <pic:blipFill>
                    <a:blip r:embed="rId48"/>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3" name="图片 63" descr="黑龙江宏昌生物科技有限公司日加工500吨大豆（米糠）双生产线建设项目（重新报批）_2025年05月15日211257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黑龙江宏昌生物科技有限公司日加工500吨大豆（米糠）双生产线建设项目（重新报批）_2025年05月15日211257_分析报告_06"/>
                    <pic:cNvPicPr>
                      <a:picLocks noChangeAspect="1"/>
                    </pic:cNvPicPr>
                  </pic:nvPicPr>
                  <pic:blipFill>
                    <a:blip r:embed="rId49"/>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2" name="图片 62" descr="黑龙江宏昌生物科技有限公司日加工500吨大豆（米糠）双生产线建设项目（重新报批）_2025年05月15日211257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黑龙江宏昌生物科技有限公司日加工500吨大豆（米糠）双生产线建设项目（重新报批）_2025年05月15日211257_分析报告_07"/>
                    <pic:cNvPicPr>
                      <a:picLocks noChangeAspect="1"/>
                    </pic:cNvPicPr>
                  </pic:nvPicPr>
                  <pic:blipFill>
                    <a:blip r:embed="rId50"/>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1" name="图片 61" descr="黑龙江宏昌生物科技有限公司日加工500吨大豆（米糠）双生产线建设项目（重新报批）_2025年05月15日211257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黑龙江宏昌生物科技有限公司日加工500吨大豆（米糠）双生产线建设项目（重新报批）_2025年05月15日211257_分析报告_08"/>
                    <pic:cNvPicPr>
                      <a:picLocks noChangeAspect="1"/>
                    </pic:cNvPicPr>
                  </pic:nvPicPr>
                  <pic:blipFill>
                    <a:blip r:embed="rId51"/>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60" name="图片 60" descr="黑龙江宏昌生物科技有限公司日加工500吨大豆（米糠）双生产线建设项目（重新报批）_2025年05月15日211257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黑龙江宏昌生物科技有限公司日加工500吨大豆（米糠）双生产线建设项目（重新报批）_2025年05月15日211257_分析报告_09"/>
                    <pic:cNvPicPr>
                      <a:picLocks noChangeAspect="1"/>
                    </pic:cNvPicPr>
                  </pic:nvPicPr>
                  <pic:blipFill>
                    <a:blip r:embed="rId52"/>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59" name="图片 59" descr="黑龙江宏昌生物科技有限公司日加工500吨大豆（米糠）双生产线建设项目（重新报批）_2025年05月15日211257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黑龙江宏昌生物科技有限公司日加工500吨大豆（米糠）双生产线建设项目（重新报批）_2025年05月15日211257_分析报告_10"/>
                    <pic:cNvPicPr>
                      <a:picLocks noChangeAspect="1"/>
                    </pic:cNvPicPr>
                  </pic:nvPicPr>
                  <pic:blipFill>
                    <a:blip r:embed="rId53"/>
                    <a:stretch>
                      <a:fillRect/>
                    </a:stretch>
                  </pic:blipFill>
                  <pic:spPr>
                    <a:xfrm>
                      <a:off x="0" y="0"/>
                      <a:ext cx="8512175" cy="6019800"/>
                    </a:xfrm>
                    <a:prstGeom prst="rect">
                      <a:avLst/>
                    </a:prstGeom>
                  </pic:spPr>
                </pic:pic>
              </a:graphicData>
            </a:graphic>
          </wp:inline>
        </w:drawing>
      </w:r>
      <w:r>
        <w:rPr>
          <w:rFonts w:hint="eastAsia"/>
          <w:color w:val="auto"/>
          <w:lang w:eastAsia="zh-CN"/>
        </w:rPr>
        <w:drawing>
          <wp:inline distT="0" distB="0" distL="114300" distR="114300">
            <wp:extent cx="8512175" cy="6019800"/>
            <wp:effectExtent l="0" t="0" r="3175" b="0"/>
            <wp:docPr id="58" name="图片 58" descr="黑龙江宏昌生物科技有限公司日加工500吨大豆（米糠）双生产线建设项目（重新报批）_2025年05月15日211257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黑龙江宏昌生物科技有限公司日加工500吨大豆（米糠）双生产线建设项目（重新报批）_2025年05月15日211257_分析报告_11"/>
                    <pic:cNvPicPr>
                      <a:picLocks noChangeAspect="1"/>
                    </pic:cNvPicPr>
                  </pic:nvPicPr>
                  <pic:blipFill>
                    <a:blip r:embed="rId54"/>
                    <a:stretch>
                      <a:fillRect/>
                    </a:stretch>
                  </pic:blipFill>
                  <pic:spPr>
                    <a:xfrm>
                      <a:off x="0" y="0"/>
                      <a:ext cx="8512175" cy="6019800"/>
                    </a:xfrm>
                    <a:prstGeom prst="rect">
                      <a:avLst/>
                    </a:prstGeom>
                  </pic:spPr>
                </pic:pic>
              </a:graphicData>
            </a:graphic>
          </wp:inline>
        </w:drawing>
      </w:r>
      <w:r>
        <w:rPr>
          <w:color w:val="auto"/>
        </w:rPr>
        <w:drawing>
          <wp:inline distT="0" distB="0" distL="114300" distR="114300">
            <wp:extent cx="8792845" cy="6264275"/>
            <wp:effectExtent l="0" t="0" r="8255" b="3175"/>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55"/>
                    <a:stretch>
                      <a:fillRect/>
                    </a:stretch>
                  </pic:blipFill>
                  <pic:spPr>
                    <a:xfrm>
                      <a:off x="0" y="0"/>
                      <a:ext cx="8792845" cy="6264275"/>
                    </a:xfrm>
                    <a:prstGeom prst="rect">
                      <a:avLst/>
                    </a:prstGeom>
                    <a:noFill/>
                    <a:ln>
                      <a:noFill/>
                    </a:ln>
                  </pic:spPr>
                </pic:pic>
              </a:graphicData>
            </a:graphic>
          </wp:inline>
        </w:drawing>
      </w:r>
    </w:p>
    <w:p w14:paraId="069C8062">
      <w:pPr>
        <w:spacing w:line="360" w:lineRule="auto"/>
        <w:outlineLvl w:val="0"/>
        <w:rPr>
          <w:rFonts w:hint="default" w:eastAsia="黑体"/>
          <w:color w:val="auto"/>
          <w:sz w:val="28"/>
          <w:szCs w:val="28"/>
          <w:lang w:val="en-US" w:eastAsia="zh-CN"/>
        </w:rPr>
      </w:pPr>
      <w:bookmarkStart w:id="70" w:name="_Toc19340"/>
      <w:r>
        <w:rPr>
          <w:rFonts w:eastAsia="黑体"/>
          <w:color w:val="auto"/>
          <w:sz w:val="28"/>
          <w:szCs w:val="28"/>
        </w:rPr>
        <w:t>附件</w:t>
      </w:r>
      <w:r>
        <w:rPr>
          <w:rFonts w:hint="eastAsia" w:eastAsia="黑体"/>
          <w:color w:val="auto"/>
          <w:sz w:val="28"/>
          <w:szCs w:val="28"/>
          <w:lang w:val="en-US" w:eastAsia="zh-CN"/>
        </w:rPr>
        <w:t>7</w:t>
      </w:r>
      <w:r>
        <w:rPr>
          <w:rFonts w:eastAsia="黑体"/>
          <w:color w:val="auto"/>
          <w:sz w:val="28"/>
          <w:szCs w:val="28"/>
        </w:rPr>
        <w:t xml:space="preserve"> </w:t>
      </w:r>
      <w:r>
        <w:rPr>
          <w:rFonts w:hint="eastAsia" w:eastAsia="黑体"/>
          <w:color w:val="auto"/>
          <w:sz w:val="28"/>
          <w:szCs w:val="28"/>
          <w:lang w:val="en-US" w:eastAsia="zh-CN"/>
        </w:rPr>
        <w:t>原有环评批复</w:t>
      </w:r>
      <w:bookmarkEnd w:id="70"/>
    </w:p>
    <w:p w14:paraId="1856BB1E">
      <w:pPr>
        <w:jc w:val="center"/>
        <w:rPr>
          <w:rFonts w:eastAsia="黑体"/>
          <w:color w:val="auto"/>
          <w:sz w:val="28"/>
          <w:szCs w:val="28"/>
        </w:rPr>
      </w:pPr>
      <w:r>
        <w:rPr>
          <w:rFonts w:eastAsia="黑体"/>
          <w:color w:val="auto"/>
          <w:sz w:val="28"/>
          <w:szCs w:val="28"/>
        </w:rPr>
        <w:drawing>
          <wp:inline distT="0" distB="0" distL="114300" distR="114300">
            <wp:extent cx="4552950" cy="8094345"/>
            <wp:effectExtent l="0" t="0" r="0" b="1905"/>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
                    <pic:cNvPicPr>
                      <a:picLocks noChangeAspect="1"/>
                    </pic:cNvPicPr>
                  </pic:nvPicPr>
                  <pic:blipFill>
                    <a:blip r:embed="rId56"/>
                    <a:stretch>
                      <a:fillRect/>
                    </a:stretch>
                  </pic:blipFill>
                  <pic:spPr>
                    <a:xfrm>
                      <a:off x="0" y="0"/>
                      <a:ext cx="4552950" cy="8094345"/>
                    </a:xfrm>
                    <a:prstGeom prst="rect">
                      <a:avLst/>
                    </a:prstGeom>
                  </pic:spPr>
                </pic:pic>
              </a:graphicData>
            </a:graphic>
          </wp:inline>
        </w:drawing>
      </w:r>
      <w:r>
        <w:rPr>
          <w:rFonts w:eastAsia="黑体"/>
          <w:color w:val="auto"/>
          <w:sz w:val="28"/>
          <w:szCs w:val="28"/>
        </w:rPr>
        <w:drawing>
          <wp:inline distT="0" distB="0" distL="114300" distR="114300">
            <wp:extent cx="5143500" cy="9144000"/>
            <wp:effectExtent l="0" t="0" r="0" b="0"/>
            <wp:docPr id="7" name="图片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
                    <pic:cNvPicPr>
                      <a:picLocks noChangeAspect="1"/>
                    </pic:cNvPicPr>
                  </pic:nvPicPr>
                  <pic:blipFill>
                    <a:blip r:embed="rId57"/>
                    <a:stretch>
                      <a:fillRect/>
                    </a:stretch>
                  </pic:blipFill>
                  <pic:spPr>
                    <a:xfrm>
                      <a:off x="0" y="0"/>
                      <a:ext cx="5143500" cy="9144000"/>
                    </a:xfrm>
                    <a:prstGeom prst="rect">
                      <a:avLst/>
                    </a:prstGeom>
                  </pic:spPr>
                </pic:pic>
              </a:graphicData>
            </a:graphic>
          </wp:inline>
        </w:drawing>
      </w:r>
      <w:r>
        <w:rPr>
          <w:rFonts w:eastAsia="黑体"/>
          <w:color w:val="auto"/>
          <w:sz w:val="28"/>
          <w:szCs w:val="28"/>
        </w:rPr>
        <w:br w:type="page"/>
      </w:r>
    </w:p>
    <w:p w14:paraId="131D6F8E">
      <w:pPr>
        <w:spacing w:line="360" w:lineRule="auto"/>
        <w:outlineLvl w:val="0"/>
        <w:rPr>
          <w:rFonts w:eastAsia="黑体"/>
          <w:color w:val="auto"/>
          <w:sz w:val="28"/>
          <w:szCs w:val="28"/>
        </w:rPr>
      </w:pPr>
      <w:bookmarkStart w:id="71" w:name="_Toc9357"/>
      <w:r>
        <w:rPr>
          <w:rFonts w:eastAsia="黑体"/>
          <w:color w:val="auto"/>
          <w:sz w:val="28"/>
          <w:szCs w:val="28"/>
        </w:rPr>
        <w:t>附件</w:t>
      </w:r>
      <w:r>
        <w:rPr>
          <w:rFonts w:hint="eastAsia" w:eastAsia="黑体"/>
          <w:color w:val="auto"/>
          <w:sz w:val="28"/>
          <w:szCs w:val="28"/>
          <w:lang w:val="en-US" w:eastAsia="zh-CN"/>
        </w:rPr>
        <w:t>8</w:t>
      </w:r>
      <w:r>
        <w:rPr>
          <w:rFonts w:eastAsia="黑体"/>
          <w:color w:val="auto"/>
          <w:sz w:val="28"/>
          <w:szCs w:val="28"/>
        </w:rPr>
        <w:t xml:space="preserve"> 环境风险专项评价</w:t>
      </w:r>
      <w:bookmarkEnd w:id="68"/>
      <w:bookmarkEnd w:id="71"/>
    </w:p>
    <w:p w14:paraId="68DB7808">
      <w:pPr>
        <w:jc w:val="center"/>
        <w:rPr>
          <w:rFonts w:ascii="宋体" w:hAnsi="Courier New"/>
          <w:color w:val="auto"/>
          <w:kern w:val="0"/>
          <w:sz w:val="20"/>
          <w:szCs w:val="21"/>
        </w:rPr>
      </w:pPr>
    </w:p>
    <w:p w14:paraId="549F2F9C">
      <w:pPr>
        <w:jc w:val="center"/>
        <w:rPr>
          <w:rFonts w:ascii="宋体" w:hAnsi="Courier New"/>
          <w:color w:val="auto"/>
          <w:kern w:val="0"/>
          <w:sz w:val="20"/>
          <w:szCs w:val="21"/>
        </w:rPr>
      </w:pPr>
    </w:p>
    <w:p w14:paraId="780CEFDD">
      <w:pPr>
        <w:jc w:val="center"/>
        <w:rPr>
          <w:rFonts w:ascii="宋体" w:hAnsi="Courier New"/>
          <w:color w:val="auto"/>
          <w:kern w:val="0"/>
          <w:sz w:val="20"/>
          <w:szCs w:val="21"/>
        </w:rPr>
      </w:pPr>
    </w:p>
    <w:p w14:paraId="1B3F7FCE">
      <w:pPr>
        <w:jc w:val="center"/>
        <w:rPr>
          <w:rFonts w:ascii="宋体" w:hAnsi="Courier New"/>
          <w:color w:val="auto"/>
          <w:kern w:val="0"/>
          <w:sz w:val="20"/>
          <w:szCs w:val="21"/>
        </w:rPr>
      </w:pPr>
    </w:p>
    <w:p w14:paraId="4D0DC5F9">
      <w:pPr>
        <w:jc w:val="center"/>
        <w:rPr>
          <w:rFonts w:ascii="宋体" w:hAnsi="Courier New"/>
          <w:color w:val="auto"/>
          <w:kern w:val="0"/>
          <w:sz w:val="20"/>
          <w:szCs w:val="21"/>
        </w:rPr>
      </w:pPr>
    </w:p>
    <w:p w14:paraId="16D4B0BD">
      <w:pPr>
        <w:jc w:val="center"/>
        <w:rPr>
          <w:rFonts w:ascii="宋体" w:hAnsi="Courier New"/>
          <w:color w:val="auto"/>
          <w:kern w:val="0"/>
          <w:sz w:val="20"/>
          <w:szCs w:val="21"/>
        </w:rPr>
      </w:pPr>
    </w:p>
    <w:p w14:paraId="40159A1E">
      <w:pPr>
        <w:jc w:val="center"/>
        <w:rPr>
          <w:rFonts w:ascii="宋体" w:hAnsi="Courier New"/>
          <w:color w:val="auto"/>
          <w:kern w:val="0"/>
          <w:sz w:val="20"/>
          <w:szCs w:val="21"/>
        </w:rPr>
      </w:pPr>
    </w:p>
    <w:p w14:paraId="7A454D76">
      <w:pPr>
        <w:jc w:val="center"/>
        <w:rPr>
          <w:rFonts w:ascii="宋体" w:hAnsi="Courier New"/>
          <w:color w:val="auto"/>
          <w:kern w:val="0"/>
          <w:sz w:val="20"/>
          <w:szCs w:val="21"/>
        </w:rPr>
      </w:pPr>
    </w:p>
    <w:p w14:paraId="30D2CAB2">
      <w:pPr>
        <w:jc w:val="center"/>
        <w:rPr>
          <w:rFonts w:ascii="宋体" w:hAnsi="Courier New"/>
          <w:color w:val="auto"/>
          <w:kern w:val="0"/>
          <w:sz w:val="20"/>
          <w:szCs w:val="21"/>
        </w:rPr>
      </w:pPr>
    </w:p>
    <w:p w14:paraId="35638F7B">
      <w:pPr>
        <w:jc w:val="center"/>
        <w:rPr>
          <w:rFonts w:ascii="宋体" w:hAnsi="Courier New"/>
          <w:color w:val="auto"/>
          <w:kern w:val="0"/>
          <w:sz w:val="20"/>
          <w:szCs w:val="21"/>
        </w:rPr>
      </w:pPr>
    </w:p>
    <w:p w14:paraId="3602231F">
      <w:pPr>
        <w:jc w:val="center"/>
        <w:rPr>
          <w:rFonts w:ascii="宋体" w:hAnsi="Courier New"/>
          <w:color w:val="auto"/>
          <w:kern w:val="0"/>
          <w:sz w:val="20"/>
          <w:szCs w:val="21"/>
        </w:rPr>
      </w:pPr>
    </w:p>
    <w:p w14:paraId="2E9CD981">
      <w:pPr>
        <w:jc w:val="center"/>
        <w:rPr>
          <w:rFonts w:ascii="宋体" w:hAnsi="Courier New"/>
          <w:color w:val="auto"/>
          <w:kern w:val="0"/>
          <w:sz w:val="48"/>
          <w:szCs w:val="48"/>
        </w:rPr>
      </w:pPr>
    </w:p>
    <w:p w14:paraId="5CA8F28A">
      <w:pPr>
        <w:pStyle w:val="18"/>
        <w:spacing w:line="360" w:lineRule="auto"/>
        <w:jc w:val="center"/>
        <w:rPr>
          <w:rFonts w:hint="default"/>
          <w:b/>
          <w:bCs/>
          <w:color w:val="auto"/>
          <w:sz w:val="44"/>
          <w:szCs w:val="44"/>
        </w:rPr>
      </w:pPr>
      <w:r>
        <w:rPr>
          <w:rFonts w:hint="eastAsia"/>
          <w:b/>
          <w:bCs/>
          <w:color w:val="auto"/>
          <w:sz w:val="44"/>
          <w:szCs w:val="44"/>
          <w:lang w:eastAsia="zh-CN"/>
        </w:rPr>
        <w:t>黑龙江宏昌生物科技有限公司日加工500吨大豆（米糠）双生产线建设项目（重新报批）</w:t>
      </w:r>
      <w:r>
        <w:rPr>
          <w:b/>
          <w:bCs/>
          <w:color w:val="auto"/>
          <w:sz w:val="44"/>
          <w:szCs w:val="44"/>
        </w:rPr>
        <w:t>环境风险专项评价</w:t>
      </w:r>
    </w:p>
    <w:p w14:paraId="4531DAFA">
      <w:pPr>
        <w:jc w:val="center"/>
        <w:rPr>
          <w:rFonts w:ascii="宋体" w:hAnsi="Courier New"/>
          <w:color w:val="auto"/>
          <w:kern w:val="0"/>
          <w:sz w:val="20"/>
          <w:szCs w:val="21"/>
        </w:rPr>
      </w:pPr>
    </w:p>
    <w:p w14:paraId="0782BCDE">
      <w:pPr>
        <w:jc w:val="center"/>
        <w:rPr>
          <w:rFonts w:ascii="宋体" w:hAnsi="Courier New"/>
          <w:color w:val="auto"/>
          <w:kern w:val="0"/>
          <w:sz w:val="20"/>
          <w:szCs w:val="21"/>
        </w:rPr>
      </w:pPr>
    </w:p>
    <w:p w14:paraId="183F0D56">
      <w:pPr>
        <w:jc w:val="center"/>
        <w:rPr>
          <w:rFonts w:ascii="宋体" w:hAnsi="Courier New"/>
          <w:color w:val="auto"/>
          <w:kern w:val="0"/>
          <w:sz w:val="20"/>
          <w:szCs w:val="21"/>
        </w:rPr>
      </w:pPr>
    </w:p>
    <w:p w14:paraId="7C9A0F0C">
      <w:pPr>
        <w:jc w:val="center"/>
        <w:rPr>
          <w:rFonts w:ascii="宋体" w:hAnsi="Courier New"/>
          <w:color w:val="auto"/>
          <w:kern w:val="0"/>
          <w:sz w:val="20"/>
          <w:szCs w:val="21"/>
        </w:rPr>
      </w:pPr>
    </w:p>
    <w:p w14:paraId="238FE9CC">
      <w:pPr>
        <w:jc w:val="center"/>
        <w:rPr>
          <w:rFonts w:ascii="宋体" w:hAnsi="Courier New"/>
          <w:color w:val="auto"/>
          <w:kern w:val="0"/>
          <w:sz w:val="20"/>
          <w:szCs w:val="21"/>
        </w:rPr>
      </w:pPr>
    </w:p>
    <w:p w14:paraId="5773DB74">
      <w:pPr>
        <w:jc w:val="center"/>
        <w:rPr>
          <w:rFonts w:ascii="宋体" w:hAnsi="Courier New"/>
          <w:color w:val="auto"/>
          <w:kern w:val="0"/>
          <w:sz w:val="20"/>
          <w:szCs w:val="21"/>
        </w:rPr>
      </w:pPr>
    </w:p>
    <w:p w14:paraId="6383BCD6">
      <w:pPr>
        <w:jc w:val="center"/>
        <w:rPr>
          <w:rFonts w:ascii="宋体" w:hAnsi="Courier New"/>
          <w:color w:val="auto"/>
          <w:kern w:val="0"/>
          <w:sz w:val="20"/>
          <w:szCs w:val="21"/>
        </w:rPr>
      </w:pPr>
    </w:p>
    <w:p w14:paraId="6276C354">
      <w:pPr>
        <w:jc w:val="center"/>
        <w:rPr>
          <w:rFonts w:ascii="宋体" w:hAnsi="Courier New"/>
          <w:color w:val="auto"/>
          <w:kern w:val="0"/>
          <w:sz w:val="20"/>
          <w:szCs w:val="21"/>
        </w:rPr>
      </w:pPr>
    </w:p>
    <w:p w14:paraId="0B54BA63">
      <w:pPr>
        <w:jc w:val="center"/>
        <w:rPr>
          <w:rFonts w:ascii="宋体" w:hAnsi="Courier New"/>
          <w:color w:val="auto"/>
          <w:kern w:val="0"/>
          <w:sz w:val="20"/>
          <w:szCs w:val="21"/>
        </w:rPr>
      </w:pPr>
    </w:p>
    <w:p w14:paraId="55DA25EE">
      <w:pPr>
        <w:jc w:val="center"/>
        <w:rPr>
          <w:rFonts w:ascii="宋体" w:hAnsi="Courier New"/>
          <w:color w:val="auto"/>
          <w:kern w:val="0"/>
          <w:sz w:val="20"/>
          <w:szCs w:val="21"/>
        </w:rPr>
      </w:pPr>
    </w:p>
    <w:p w14:paraId="344B037E">
      <w:pPr>
        <w:jc w:val="center"/>
        <w:rPr>
          <w:rFonts w:ascii="宋体" w:hAnsi="Courier New"/>
          <w:color w:val="auto"/>
          <w:kern w:val="0"/>
          <w:sz w:val="20"/>
          <w:szCs w:val="21"/>
        </w:rPr>
      </w:pPr>
    </w:p>
    <w:p w14:paraId="5474E994">
      <w:pPr>
        <w:jc w:val="center"/>
        <w:rPr>
          <w:rFonts w:ascii="宋体" w:hAnsi="Courier New"/>
          <w:color w:val="auto"/>
          <w:kern w:val="0"/>
          <w:sz w:val="20"/>
          <w:szCs w:val="21"/>
        </w:rPr>
      </w:pPr>
    </w:p>
    <w:p w14:paraId="69A264C9">
      <w:pPr>
        <w:jc w:val="center"/>
        <w:rPr>
          <w:rFonts w:ascii="宋体" w:hAnsi="Courier New"/>
          <w:color w:val="auto"/>
          <w:kern w:val="0"/>
          <w:sz w:val="20"/>
          <w:szCs w:val="21"/>
        </w:rPr>
      </w:pPr>
    </w:p>
    <w:p w14:paraId="64E4ABF0">
      <w:pPr>
        <w:jc w:val="center"/>
        <w:rPr>
          <w:rFonts w:ascii="宋体" w:hAnsi="Courier New"/>
          <w:color w:val="auto"/>
          <w:kern w:val="0"/>
          <w:sz w:val="20"/>
          <w:szCs w:val="21"/>
        </w:rPr>
      </w:pPr>
    </w:p>
    <w:p w14:paraId="004FD56D">
      <w:pPr>
        <w:spacing w:line="360" w:lineRule="auto"/>
        <w:jc w:val="center"/>
        <w:rPr>
          <w:rFonts w:ascii="宋体" w:hAnsi="Courier New"/>
          <w:color w:val="auto"/>
          <w:kern w:val="0"/>
          <w:sz w:val="30"/>
          <w:szCs w:val="30"/>
        </w:rPr>
      </w:pPr>
    </w:p>
    <w:p w14:paraId="1B341BF3">
      <w:pPr>
        <w:spacing w:line="360" w:lineRule="auto"/>
        <w:ind w:firstLine="1500" w:firstLineChars="500"/>
        <w:rPr>
          <w:rFonts w:ascii="宋体" w:hAnsi="Courier New"/>
          <w:b/>
          <w:bCs/>
          <w:color w:val="auto"/>
          <w:kern w:val="0"/>
          <w:sz w:val="30"/>
          <w:szCs w:val="30"/>
        </w:rPr>
      </w:pPr>
      <w:r>
        <w:rPr>
          <w:rFonts w:hint="eastAsia" w:ascii="宋体" w:hAnsi="Courier New"/>
          <w:b/>
          <w:bCs/>
          <w:color w:val="auto"/>
          <w:kern w:val="0"/>
          <w:sz w:val="30"/>
          <w:szCs w:val="30"/>
        </w:rPr>
        <w:t>建设单位：黑龙江宏昌生物科技有限公司</w:t>
      </w:r>
    </w:p>
    <w:p w14:paraId="5FE84D97">
      <w:pPr>
        <w:spacing w:line="360" w:lineRule="auto"/>
        <w:jc w:val="center"/>
        <w:rPr>
          <w:rFonts w:ascii="宋体" w:hAnsi="Courier New"/>
          <w:b/>
          <w:bCs/>
          <w:color w:val="auto"/>
          <w:kern w:val="0"/>
          <w:sz w:val="30"/>
          <w:szCs w:val="30"/>
        </w:rPr>
      </w:pPr>
      <w:r>
        <w:rPr>
          <w:rFonts w:hint="eastAsia" w:ascii="宋体" w:hAnsi="Courier New"/>
          <w:b/>
          <w:bCs/>
          <w:color w:val="auto"/>
          <w:kern w:val="0"/>
          <w:sz w:val="30"/>
          <w:szCs w:val="30"/>
        </w:rPr>
        <w:t xml:space="preserve"> </w:t>
      </w:r>
      <w:r>
        <w:rPr>
          <w:rFonts w:ascii="宋体" w:hAnsi="Courier New"/>
          <w:b/>
          <w:bCs/>
          <w:color w:val="auto"/>
          <w:kern w:val="0"/>
          <w:sz w:val="30"/>
          <w:szCs w:val="30"/>
        </w:rPr>
        <w:t xml:space="preserve"> </w:t>
      </w:r>
      <w:r>
        <w:rPr>
          <w:rFonts w:hint="eastAsia" w:ascii="宋体" w:hAnsi="Courier New"/>
          <w:b/>
          <w:bCs/>
          <w:color w:val="auto"/>
          <w:kern w:val="0"/>
          <w:sz w:val="30"/>
          <w:szCs w:val="30"/>
        </w:rPr>
        <w:t>编制单位：</w:t>
      </w:r>
      <w:r>
        <w:rPr>
          <w:rFonts w:ascii="宋体" w:hAnsi="Courier New"/>
          <w:b/>
          <w:bCs/>
          <w:color w:val="auto"/>
          <w:kern w:val="0"/>
          <w:sz w:val="30"/>
          <w:szCs w:val="30"/>
        </w:rPr>
        <w:t>哈尔滨国环宏节能环保技术有限责任公司</w:t>
      </w:r>
    </w:p>
    <w:p w14:paraId="28D0E15F">
      <w:pPr>
        <w:spacing w:line="360" w:lineRule="auto"/>
        <w:jc w:val="center"/>
        <w:rPr>
          <w:rFonts w:ascii="宋体" w:hAnsi="Courier New"/>
          <w:b/>
          <w:bCs/>
          <w:color w:val="auto"/>
          <w:kern w:val="0"/>
          <w:sz w:val="30"/>
          <w:szCs w:val="30"/>
        </w:rPr>
      </w:pPr>
      <w:r>
        <w:rPr>
          <w:rFonts w:hint="eastAsia" w:ascii="宋体" w:hAnsi="Courier New"/>
          <w:b/>
          <w:bCs/>
          <w:color w:val="auto"/>
          <w:kern w:val="0"/>
          <w:sz w:val="30"/>
          <w:szCs w:val="30"/>
        </w:rPr>
        <w:t>2</w:t>
      </w:r>
      <w:r>
        <w:rPr>
          <w:rFonts w:ascii="宋体" w:hAnsi="Courier New"/>
          <w:b/>
          <w:bCs/>
          <w:color w:val="auto"/>
          <w:kern w:val="0"/>
          <w:sz w:val="30"/>
          <w:szCs w:val="30"/>
        </w:rPr>
        <w:t>02</w:t>
      </w:r>
      <w:r>
        <w:rPr>
          <w:rFonts w:hint="eastAsia" w:ascii="宋体" w:hAnsi="Courier New"/>
          <w:b/>
          <w:bCs/>
          <w:color w:val="auto"/>
          <w:kern w:val="0"/>
          <w:sz w:val="30"/>
          <w:szCs w:val="30"/>
          <w:lang w:val="en-US" w:eastAsia="zh-CN"/>
        </w:rPr>
        <w:t>5</w:t>
      </w:r>
      <w:r>
        <w:rPr>
          <w:rFonts w:hint="eastAsia" w:ascii="宋体" w:hAnsi="Courier New"/>
          <w:b/>
          <w:bCs/>
          <w:color w:val="auto"/>
          <w:kern w:val="0"/>
          <w:sz w:val="30"/>
          <w:szCs w:val="30"/>
        </w:rPr>
        <w:t>年</w:t>
      </w:r>
      <w:r>
        <w:rPr>
          <w:rFonts w:hint="eastAsia" w:ascii="宋体" w:hAnsi="Courier New"/>
          <w:b/>
          <w:bCs/>
          <w:color w:val="auto"/>
          <w:kern w:val="0"/>
          <w:sz w:val="30"/>
          <w:szCs w:val="30"/>
          <w:lang w:val="en-US" w:eastAsia="zh-CN"/>
        </w:rPr>
        <w:t>1</w:t>
      </w:r>
      <w:r>
        <w:rPr>
          <w:rFonts w:hint="eastAsia" w:ascii="宋体" w:hAnsi="Courier New"/>
          <w:b/>
          <w:bCs/>
          <w:color w:val="auto"/>
          <w:kern w:val="0"/>
          <w:sz w:val="30"/>
          <w:szCs w:val="30"/>
        </w:rPr>
        <w:t>月</w:t>
      </w:r>
    </w:p>
    <w:p w14:paraId="6D754016">
      <w:pPr>
        <w:spacing w:line="360" w:lineRule="auto"/>
        <w:jc w:val="center"/>
        <w:rPr>
          <w:rFonts w:ascii="宋体" w:hAnsi="Courier New"/>
          <w:color w:val="auto"/>
          <w:kern w:val="0"/>
          <w:sz w:val="30"/>
          <w:szCs w:val="30"/>
        </w:rPr>
      </w:pPr>
    </w:p>
    <w:p w14:paraId="34D1DB84">
      <w:pPr>
        <w:pStyle w:val="2"/>
        <w:pageBreakBefore/>
        <w:spacing w:before="323" w:beforeLines="100" w:after="323" w:afterLines="100" w:line="480" w:lineRule="exact"/>
        <w:ind w:left="655" w:leftChars="152" w:hanging="336" w:hangingChars="105"/>
        <w:rPr>
          <w:color w:val="auto"/>
          <w:sz w:val="32"/>
          <w:szCs w:val="32"/>
        </w:rPr>
      </w:pPr>
      <w:bookmarkStart w:id="72" w:name="_Toc5214"/>
      <w:bookmarkStart w:id="73" w:name="_Toc117113781"/>
      <w:bookmarkStart w:id="74" w:name="_Toc5866"/>
      <w:bookmarkStart w:id="75" w:name="_Toc128486796"/>
      <w:bookmarkStart w:id="76" w:name="_Toc32110"/>
      <w:bookmarkStart w:id="77" w:name="_Toc126660518"/>
      <w:bookmarkStart w:id="78" w:name="_Toc30979"/>
      <w:r>
        <w:rPr>
          <w:color w:val="auto"/>
          <w:sz w:val="32"/>
          <w:szCs w:val="32"/>
        </w:rPr>
        <w:t>1总则</w:t>
      </w:r>
      <w:bookmarkEnd w:id="72"/>
      <w:bookmarkEnd w:id="73"/>
      <w:bookmarkEnd w:id="74"/>
      <w:bookmarkEnd w:id="75"/>
      <w:bookmarkEnd w:id="76"/>
      <w:bookmarkEnd w:id="77"/>
      <w:bookmarkEnd w:id="78"/>
    </w:p>
    <w:p w14:paraId="026C1662">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1.1编制目的</w:t>
      </w:r>
    </w:p>
    <w:p w14:paraId="774A9134">
      <w:pPr>
        <w:adjustRightInd w:val="0"/>
        <w:snapToGrid w:val="0"/>
        <w:spacing w:line="360" w:lineRule="auto"/>
        <w:ind w:firstLine="480" w:firstLineChars="200"/>
        <w:rPr>
          <w:color w:val="auto"/>
          <w:sz w:val="24"/>
        </w:rPr>
      </w:pPr>
      <w:r>
        <w:rPr>
          <w:rFonts w:hint="eastAsia"/>
          <w:color w:val="auto"/>
          <w:sz w:val="24"/>
        </w:rPr>
        <w:t>环境风险评价的目的是分析和预测建设项目存在的潜在危险、有害因素，建设项目建设和运行期间可能发生的突发性事件或事故（一般不包括人为破坏和自然灾害），引起有毒有害和易燃易爆等物质</w:t>
      </w:r>
      <w:r>
        <w:rPr>
          <w:rFonts w:hint="eastAsia"/>
          <w:color w:val="auto"/>
          <w:sz w:val="24"/>
          <w:lang w:eastAsia="zh-CN"/>
        </w:rPr>
        <w:t>泄漏</w:t>
      </w:r>
      <w:r>
        <w:rPr>
          <w:rFonts w:hint="eastAsia"/>
          <w:color w:val="auto"/>
          <w:sz w:val="24"/>
        </w:rPr>
        <w:t>所造成的人身安全与环境影响和损害程度，提出合理可行的防范、应急与减缓措施，以使建设项目事故率、损失和环境影响达到可接受水平。</w:t>
      </w:r>
    </w:p>
    <w:p w14:paraId="1102DE04">
      <w:pPr>
        <w:spacing w:line="360" w:lineRule="auto"/>
        <w:rPr>
          <w:b/>
          <w:bCs/>
          <w:color w:val="auto"/>
          <w:kern w:val="0"/>
          <w:sz w:val="24"/>
        </w:rPr>
      </w:pPr>
      <w:r>
        <w:rPr>
          <w:b/>
          <w:bCs/>
          <w:color w:val="auto"/>
          <w:kern w:val="0"/>
          <w:sz w:val="24"/>
        </w:rPr>
        <w:t>1.2编制依据</w:t>
      </w:r>
    </w:p>
    <w:p w14:paraId="4D73A8F0">
      <w:pPr>
        <w:spacing w:line="360" w:lineRule="auto"/>
        <w:rPr>
          <w:b/>
          <w:bCs/>
          <w:color w:val="auto"/>
          <w:kern w:val="0"/>
          <w:sz w:val="24"/>
        </w:rPr>
      </w:pPr>
      <w:r>
        <w:rPr>
          <w:b/>
          <w:bCs/>
          <w:color w:val="auto"/>
          <w:kern w:val="0"/>
          <w:sz w:val="24"/>
        </w:rPr>
        <w:t>1.2.1法律法规</w:t>
      </w:r>
    </w:p>
    <w:p w14:paraId="6CA43AC0">
      <w:pPr>
        <w:adjustRightInd w:val="0"/>
        <w:snapToGrid w:val="0"/>
        <w:spacing w:line="360" w:lineRule="auto"/>
        <w:ind w:firstLine="480" w:firstLineChars="200"/>
        <w:rPr>
          <w:color w:val="auto"/>
          <w:sz w:val="24"/>
        </w:rPr>
      </w:pPr>
      <w:r>
        <w:rPr>
          <w:rFonts w:hint="eastAsia"/>
          <w:color w:val="auto"/>
          <w:sz w:val="24"/>
        </w:rPr>
        <w:t>（1）《中华人民共和国环境保护法》（2014年修订）；</w:t>
      </w:r>
    </w:p>
    <w:p w14:paraId="5C955AE6">
      <w:pPr>
        <w:adjustRightInd w:val="0"/>
        <w:snapToGrid w:val="0"/>
        <w:spacing w:line="360" w:lineRule="auto"/>
        <w:ind w:firstLine="480" w:firstLineChars="200"/>
        <w:rPr>
          <w:color w:val="auto"/>
          <w:sz w:val="24"/>
        </w:rPr>
      </w:pPr>
      <w:r>
        <w:rPr>
          <w:rFonts w:hint="eastAsia"/>
          <w:color w:val="auto"/>
          <w:sz w:val="24"/>
        </w:rPr>
        <w:t>（2）《中华人民共和国环境影响评价法》（中华人民共和国主席令(第四十八号)）；</w:t>
      </w:r>
    </w:p>
    <w:p w14:paraId="18EC64CD">
      <w:pPr>
        <w:adjustRightInd w:val="0"/>
        <w:snapToGrid w:val="0"/>
        <w:spacing w:line="360" w:lineRule="auto"/>
        <w:ind w:firstLine="480" w:firstLineChars="200"/>
        <w:rPr>
          <w:color w:val="auto"/>
          <w:sz w:val="24"/>
        </w:rPr>
      </w:pPr>
      <w:r>
        <w:rPr>
          <w:rFonts w:hint="eastAsia"/>
          <w:color w:val="auto"/>
          <w:sz w:val="24"/>
        </w:rPr>
        <w:t>（3）《中华人民共和国环境噪声污染防治法》（2021年12月24日修订）；</w:t>
      </w:r>
    </w:p>
    <w:p w14:paraId="399DDF85">
      <w:pPr>
        <w:adjustRightInd w:val="0"/>
        <w:snapToGrid w:val="0"/>
        <w:spacing w:line="360" w:lineRule="auto"/>
        <w:ind w:firstLine="480" w:firstLineChars="200"/>
        <w:rPr>
          <w:color w:val="auto"/>
          <w:sz w:val="24"/>
        </w:rPr>
      </w:pPr>
      <w:r>
        <w:rPr>
          <w:rFonts w:hint="eastAsia"/>
          <w:color w:val="auto"/>
          <w:sz w:val="24"/>
        </w:rPr>
        <w:t>（4）《中华人民共和国大气污染防治法》（201</w:t>
      </w:r>
      <w:r>
        <w:rPr>
          <w:color w:val="auto"/>
          <w:sz w:val="24"/>
        </w:rPr>
        <w:t>8</w:t>
      </w:r>
      <w:r>
        <w:rPr>
          <w:rFonts w:hint="eastAsia"/>
          <w:color w:val="auto"/>
          <w:sz w:val="24"/>
        </w:rPr>
        <w:t>年修订）；</w:t>
      </w:r>
    </w:p>
    <w:p w14:paraId="21982F12">
      <w:pPr>
        <w:adjustRightInd w:val="0"/>
        <w:snapToGrid w:val="0"/>
        <w:spacing w:line="360" w:lineRule="auto"/>
        <w:ind w:firstLine="480" w:firstLineChars="200"/>
        <w:rPr>
          <w:color w:val="auto"/>
          <w:sz w:val="24"/>
        </w:rPr>
      </w:pPr>
      <w:r>
        <w:rPr>
          <w:rFonts w:hint="eastAsia"/>
          <w:color w:val="auto"/>
          <w:sz w:val="24"/>
        </w:rPr>
        <w:t>（5）《中华人民共和国固体废物污染环境防治法》（2020年修订）；</w:t>
      </w:r>
    </w:p>
    <w:p w14:paraId="204761A7">
      <w:pPr>
        <w:adjustRightInd w:val="0"/>
        <w:snapToGrid w:val="0"/>
        <w:spacing w:line="360" w:lineRule="auto"/>
        <w:ind w:firstLine="480" w:firstLineChars="200"/>
        <w:rPr>
          <w:color w:val="auto"/>
          <w:sz w:val="24"/>
        </w:rPr>
      </w:pPr>
      <w:r>
        <w:rPr>
          <w:rFonts w:hint="eastAsia"/>
          <w:color w:val="auto"/>
          <w:sz w:val="24"/>
        </w:rPr>
        <w:t>（6）《中华人民共和国水污染防治法》（2017年修订）；</w:t>
      </w:r>
    </w:p>
    <w:p w14:paraId="68A538A7">
      <w:pPr>
        <w:adjustRightInd w:val="0"/>
        <w:snapToGrid w:val="0"/>
        <w:spacing w:line="360" w:lineRule="auto"/>
        <w:ind w:firstLine="480" w:firstLineChars="200"/>
        <w:rPr>
          <w:color w:val="auto"/>
          <w:sz w:val="24"/>
        </w:rPr>
      </w:pPr>
      <w:r>
        <w:rPr>
          <w:rFonts w:hint="eastAsia"/>
          <w:color w:val="auto"/>
          <w:sz w:val="24"/>
        </w:rPr>
        <w:t>（7）《中华人民共和国突发事件应对法》（2007年）；</w:t>
      </w:r>
    </w:p>
    <w:p w14:paraId="4453696E">
      <w:pPr>
        <w:adjustRightInd w:val="0"/>
        <w:snapToGrid w:val="0"/>
        <w:spacing w:line="360" w:lineRule="auto"/>
        <w:ind w:firstLine="480" w:firstLineChars="200"/>
        <w:rPr>
          <w:color w:val="auto"/>
          <w:sz w:val="24"/>
        </w:rPr>
      </w:pPr>
      <w:r>
        <w:rPr>
          <w:rFonts w:hint="eastAsia"/>
          <w:color w:val="auto"/>
          <w:sz w:val="24"/>
        </w:rPr>
        <w:t>（8）《建设项目环境保护管理条例》（2017年修订）；</w:t>
      </w:r>
    </w:p>
    <w:p w14:paraId="0E3EBD83">
      <w:pPr>
        <w:adjustRightInd w:val="0"/>
        <w:snapToGrid w:val="0"/>
        <w:spacing w:line="360" w:lineRule="auto"/>
        <w:ind w:firstLine="480" w:firstLineChars="200"/>
        <w:rPr>
          <w:color w:val="auto"/>
          <w:sz w:val="24"/>
        </w:rPr>
      </w:pPr>
      <w:r>
        <w:rPr>
          <w:rFonts w:hint="eastAsia"/>
          <w:color w:val="auto"/>
          <w:sz w:val="24"/>
        </w:rPr>
        <w:t>（9）《建设项目环境影响评价分类管理名录》（2021年版）；</w:t>
      </w:r>
    </w:p>
    <w:p w14:paraId="56873119">
      <w:pPr>
        <w:adjustRightInd w:val="0"/>
        <w:snapToGrid w:val="0"/>
        <w:spacing w:line="360" w:lineRule="auto"/>
        <w:ind w:firstLine="480" w:firstLineChars="200"/>
        <w:rPr>
          <w:color w:val="auto"/>
          <w:sz w:val="24"/>
        </w:rPr>
      </w:pPr>
      <w:r>
        <w:rPr>
          <w:rFonts w:hint="eastAsia"/>
          <w:color w:val="auto"/>
          <w:sz w:val="24"/>
        </w:rPr>
        <w:t>（10）《危险化学品安全管理条例》（2018年修正）；</w:t>
      </w:r>
    </w:p>
    <w:p w14:paraId="1FE6A9C8">
      <w:pPr>
        <w:adjustRightInd w:val="0"/>
        <w:snapToGrid w:val="0"/>
        <w:spacing w:line="360" w:lineRule="auto"/>
        <w:ind w:firstLine="480" w:firstLineChars="200"/>
        <w:rPr>
          <w:color w:val="auto"/>
          <w:sz w:val="24"/>
        </w:rPr>
      </w:pPr>
      <w:r>
        <w:rPr>
          <w:rFonts w:hint="eastAsia"/>
          <w:color w:val="auto"/>
          <w:sz w:val="24"/>
        </w:rPr>
        <w:t>（11）《危险化学品目录》（2018年版）；</w:t>
      </w:r>
    </w:p>
    <w:p w14:paraId="1F0E2042">
      <w:pPr>
        <w:adjustRightInd w:val="0"/>
        <w:snapToGrid w:val="0"/>
        <w:spacing w:line="360" w:lineRule="auto"/>
        <w:ind w:firstLine="480" w:firstLineChars="200"/>
        <w:rPr>
          <w:color w:val="auto"/>
          <w:sz w:val="24"/>
        </w:rPr>
      </w:pPr>
      <w:r>
        <w:rPr>
          <w:rFonts w:hint="eastAsia"/>
          <w:color w:val="auto"/>
          <w:sz w:val="24"/>
        </w:rPr>
        <w:t>（12）《关于进一步加强环境影响评价管理防范环境风险的通知》（环发[2012]77</w:t>
      </w:r>
    </w:p>
    <w:p w14:paraId="5AA5ACCD">
      <w:pPr>
        <w:adjustRightInd w:val="0"/>
        <w:snapToGrid w:val="0"/>
        <w:spacing w:line="360" w:lineRule="auto"/>
        <w:ind w:firstLine="480" w:firstLineChars="200"/>
        <w:rPr>
          <w:rFonts w:hint="eastAsia" w:eastAsia="宋体"/>
          <w:color w:val="auto"/>
          <w:sz w:val="24"/>
          <w:lang w:val="en-US" w:eastAsia="zh-CN"/>
        </w:rPr>
      </w:pPr>
      <w:r>
        <w:rPr>
          <w:rFonts w:hint="eastAsia"/>
          <w:color w:val="auto"/>
          <w:sz w:val="24"/>
        </w:rPr>
        <w:t>号）</w:t>
      </w:r>
      <w:r>
        <w:rPr>
          <w:rFonts w:hint="eastAsia"/>
          <w:color w:val="auto"/>
          <w:lang w:eastAsia="zh-CN"/>
        </w:rPr>
        <w:t>。</w:t>
      </w:r>
    </w:p>
    <w:p w14:paraId="449AC06A">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1.2.2技术导则及规范依据</w:t>
      </w:r>
    </w:p>
    <w:p w14:paraId="1A7DD15B">
      <w:pPr>
        <w:adjustRightInd w:val="0"/>
        <w:snapToGrid w:val="0"/>
        <w:spacing w:line="360" w:lineRule="auto"/>
        <w:ind w:firstLine="480" w:firstLineChars="200"/>
        <w:rPr>
          <w:b/>
          <w:bCs/>
          <w:color w:val="auto"/>
          <w:kern w:val="0"/>
          <w:sz w:val="24"/>
        </w:rPr>
      </w:pPr>
      <w:r>
        <w:rPr>
          <w:rFonts w:hint="eastAsia"/>
          <w:color w:val="auto"/>
          <w:sz w:val="24"/>
        </w:rPr>
        <w:t>《建设项目环境风险评价技术导则》（HJ169-2018）</w:t>
      </w:r>
      <w:r>
        <w:rPr>
          <w:rFonts w:hint="eastAsia"/>
          <w:color w:val="auto"/>
          <w:sz w:val="24"/>
          <w:lang w:eastAsia="zh-CN"/>
        </w:rPr>
        <w:t>。</w:t>
      </w:r>
    </w:p>
    <w:p w14:paraId="47ABC336">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1.2.3与本项目有关文件</w:t>
      </w:r>
    </w:p>
    <w:p w14:paraId="469D15D4">
      <w:pPr>
        <w:adjustRightInd w:val="0"/>
        <w:snapToGrid w:val="0"/>
        <w:spacing w:line="360" w:lineRule="auto"/>
        <w:ind w:firstLine="480" w:firstLineChars="200"/>
        <w:rPr>
          <w:color w:val="auto"/>
          <w:sz w:val="24"/>
        </w:rPr>
      </w:pPr>
      <w:r>
        <w:rPr>
          <w:rFonts w:hint="eastAsia"/>
          <w:color w:val="auto"/>
          <w:sz w:val="24"/>
        </w:rPr>
        <w:t>（1）《</w:t>
      </w:r>
      <w:r>
        <w:rPr>
          <w:rFonts w:hint="eastAsia"/>
          <w:color w:val="auto"/>
          <w:sz w:val="24"/>
          <w:lang w:eastAsia="zh-CN"/>
        </w:rPr>
        <w:t>黑龙江宏昌生物科技有限公司日加工500吨大豆（米糠）双生产线建设项目（重新报批）</w:t>
      </w:r>
      <w:r>
        <w:rPr>
          <w:rFonts w:hint="eastAsia"/>
          <w:color w:val="auto"/>
          <w:sz w:val="24"/>
        </w:rPr>
        <w:t>可行性研究报告》；</w:t>
      </w:r>
    </w:p>
    <w:p w14:paraId="44BFD5F7">
      <w:pPr>
        <w:adjustRightInd w:val="0"/>
        <w:snapToGrid w:val="0"/>
        <w:spacing w:line="360" w:lineRule="auto"/>
        <w:ind w:firstLine="480" w:firstLineChars="200"/>
        <w:rPr>
          <w:color w:val="auto"/>
          <w:sz w:val="24"/>
        </w:rPr>
      </w:pPr>
      <w:r>
        <w:rPr>
          <w:rFonts w:hint="eastAsia"/>
          <w:color w:val="auto"/>
          <w:sz w:val="24"/>
        </w:rPr>
        <w:t>（2）黑龙江宏昌生物科技有限公司提供的相关资料及图件。</w:t>
      </w:r>
    </w:p>
    <w:p w14:paraId="079CFE3D">
      <w:pPr>
        <w:pStyle w:val="18"/>
        <w:spacing w:line="360" w:lineRule="auto"/>
        <w:rPr>
          <w:rFonts w:hint="default" w:ascii="Times New Roman" w:hAnsi="Times New Roman"/>
          <w:b/>
          <w:bCs/>
          <w:color w:val="auto"/>
          <w:sz w:val="24"/>
          <w:szCs w:val="24"/>
        </w:rPr>
      </w:pPr>
      <w:bookmarkStart w:id="79" w:name="_Toc117113782"/>
      <w:bookmarkStart w:id="80" w:name="_Toc128486797"/>
      <w:bookmarkStart w:id="81" w:name="_Toc126660519"/>
      <w:r>
        <w:rPr>
          <w:rFonts w:ascii="Times New Roman" w:hAnsi="Times New Roman"/>
          <w:b/>
          <w:bCs/>
          <w:color w:val="auto"/>
          <w:sz w:val="24"/>
          <w:szCs w:val="24"/>
        </w:rPr>
        <w:t>1</w:t>
      </w:r>
      <w:r>
        <w:rPr>
          <w:rFonts w:hint="default" w:ascii="Times New Roman" w:hAnsi="Times New Roman"/>
          <w:b/>
          <w:bCs/>
          <w:color w:val="auto"/>
          <w:sz w:val="24"/>
          <w:szCs w:val="24"/>
        </w:rPr>
        <w:t>.3</w:t>
      </w:r>
      <w:r>
        <w:rPr>
          <w:rFonts w:ascii="Times New Roman" w:hAnsi="Times New Roman"/>
          <w:b/>
          <w:bCs/>
          <w:color w:val="auto"/>
          <w:sz w:val="24"/>
          <w:szCs w:val="24"/>
        </w:rPr>
        <w:t>评价工作程序</w:t>
      </w:r>
      <w:bookmarkEnd w:id="79"/>
      <w:bookmarkEnd w:id="80"/>
      <w:bookmarkEnd w:id="81"/>
    </w:p>
    <w:p w14:paraId="0A37B272">
      <w:pPr>
        <w:spacing w:line="480" w:lineRule="exact"/>
        <w:ind w:firstLine="480" w:firstLineChars="200"/>
        <w:rPr>
          <w:color w:val="auto"/>
        </w:rPr>
      </w:pPr>
      <w:r>
        <w:rPr>
          <w:color w:val="auto"/>
          <w:sz w:val="24"/>
        </w:rPr>
        <w:t>建设项目环境风险评价工作程序见图1-1。</w:t>
      </w:r>
    </w:p>
    <w:p w14:paraId="44D29510">
      <w:pPr>
        <w:jc w:val="center"/>
        <w:rPr>
          <w:color w:val="auto"/>
        </w:rPr>
      </w:pPr>
      <w:r>
        <w:rPr>
          <w:color w:val="auto"/>
        </w:rPr>
        <w:drawing>
          <wp:inline distT="0" distB="0" distL="114300" distR="114300">
            <wp:extent cx="5037455" cy="5290185"/>
            <wp:effectExtent l="0" t="0" r="6985" b="13335"/>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58"/>
                    <a:stretch>
                      <a:fillRect/>
                    </a:stretch>
                  </pic:blipFill>
                  <pic:spPr>
                    <a:xfrm>
                      <a:off x="0" y="0"/>
                      <a:ext cx="5037455" cy="5290185"/>
                    </a:xfrm>
                    <a:prstGeom prst="rect">
                      <a:avLst/>
                    </a:prstGeom>
                    <a:noFill/>
                    <a:ln>
                      <a:noFill/>
                    </a:ln>
                  </pic:spPr>
                </pic:pic>
              </a:graphicData>
            </a:graphic>
          </wp:inline>
        </w:drawing>
      </w:r>
    </w:p>
    <w:p w14:paraId="0EF03255">
      <w:pPr>
        <w:spacing w:line="360" w:lineRule="auto"/>
        <w:jc w:val="center"/>
        <w:rPr>
          <w:b/>
          <w:color w:val="auto"/>
          <w:sz w:val="24"/>
        </w:rPr>
      </w:pPr>
      <w:r>
        <w:rPr>
          <w:b/>
          <w:color w:val="auto"/>
          <w:sz w:val="24"/>
        </w:rPr>
        <w:t>图1-1  建设项目环境风险评价工作程序图</w:t>
      </w:r>
    </w:p>
    <w:p w14:paraId="51315FD5">
      <w:pPr>
        <w:pStyle w:val="18"/>
        <w:spacing w:line="360" w:lineRule="auto"/>
        <w:rPr>
          <w:rFonts w:hint="default" w:ascii="Times New Roman" w:hAnsi="Times New Roman"/>
          <w:b/>
          <w:bCs/>
          <w:color w:val="auto"/>
          <w:sz w:val="24"/>
          <w:szCs w:val="24"/>
        </w:rPr>
      </w:pPr>
      <w:bookmarkStart w:id="82" w:name="_Toc117113783"/>
      <w:bookmarkStart w:id="83" w:name="_Toc76041475"/>
      <w:bookmarkStart w:id="84" w:name="_Toc128486798"/>
      <w:bookmarkStart w:id="85" w:name="_Toc40969587"/>
      <w:bookmarkStart w:id="86" w:name="_Toc126660520"/>
      <w:r>
        <w:rPr>
          <w:rFonts w:hint="default" w:ascii="Times New Roman" w:hAnsi="Times New Roman"/>
          <w:b/>
          <w:bCs/>
          <w:color w:val="auto"/>
          <w:sz w:val="24"/>
          <w:szCs w:val="24"/>
        </w:rPr>
        <w:t>1.4评价工作等级划分</w:t>
      </w:r>
      <w:bookmarkEnd w:id="82"/>
      <w:bookmarkEnd w:id="83"/>
      <w:bookmarkEnd w:id="84"/>
      <w:bookmarkEnd w:id="85"/>
      <w:bookmarkEnd w:id="86"/>
    </w:p>
    <w:p w14:paraId="06CCAE5A">
      <w:pPr>
        <w:spacing w:line="480" w:lineRule="exact"/>
        <w:ind w:firstLine="480" w:firstLineChars="200"/>
        <w:rPr>
          <w:color w:val="auto"/>
          <w:sz w:val="24"/>
        </w:rPr>
      </w:pPr>
      <w:r>
        <w:rPr>
          <w:color w:val="auto"/>
          <w:sz w:val="24"/>
        </w:rPr>
        <w:t>依据《建设项目环境风险评价技术导则》（HJ169-2018）的有关规定，根据建设项目涉及的物质及工艺系统危险性和所在地的环境敏感性确定环境风险潜势，按照表1-1确定评价工作等级。</w:t>
      </w:r>
    </w:p>
    <w:p w14:paraId="7469188E">
      <w:pPr>
        <w:spacing w:line="360" w:lineRule="auto"/>
        <w:jc w:val="center"/>
        <w:rPr>
          <w:b/>
          <w:color w:val="auto"/>
          <w:sz w:val="24"/>
        </w:rPr>
      </w:pPr>
      <w:r>
        <w:rPr>
          <w:b/>
          <w:color w:val="auto"/>
          <w:sz w:val="24"/>
        </w:rPr>
        <w:t>表1-1  评价工作等级划分</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1970"/>
        <w:gridCol w:w="1971"/>
        <w:gridCol w:w="1971"/>
        <w:gridCol w:w="1971"/>
      </w:tblGrid>
      <w:tr w14:paraId="72B37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tcBorders>
              <w:tl2br w:val="nil"/>
              <w:tr2bl w:val="nil"/>
            </w:tcBorders>
            <w:shd w:val="clear" w:color="auto" w:fill="auto"/>
          </w:tcPr>
          <w:p w14:paraId="2B703CDB">
            <w:pPr>
              <w:spacing w:line="360" w:lineRule="exact"/>
              <w:jc w:val="center"/>
              <w:rPr>
                <w:color w:val="auto"/>
                <w:szCs w:val="21"/>
              </w:rPr>
            </w:pPr>
            <w:r>
              <w:rPr>
                <w:color w:val="auto"/>
                <w:szCs w:val="21"/>
              </w:rPr>
              <w:t>环境风险潜势</w:t>
            </w:r>
          </w:p>
        </w:tc>
        <w:tc>
          <w:tcPr>
            <w:tcW w:w="1000" w:type="pct"/>
            <w:tcBorders>
              <w:tl2br w:val="nil"/>
              <w:tr2bl w:val="nil"/>
            </w:tcBorders>
            <w:shd w:val="clear" w:color="auto" w:fill="auto"/>
          </w:tcPr>
          <w:p w14:paraId="4A12670F">
            <w:pPr>
              <w:spacing w:line="360" w:lineRule="exact"/>
              <w:jc w:val="center"/>
              <w:rPr>
                <w:color w:val="auto"/>
                <w:szCs w:val="21"/>
              </w:rPr>
            </w:pPr>
            <w:r>
              <w:rPr>
                <w:rFonts w:hint="eastAsia" w:ascii="宋体" w:hAnsi="宋体" w:cs="宋体"/>
                <w:color w:val="auto"/>
                <w:szCs w:val="21"/>
              </w:rPr>
              <w:t>Ⅳ</w:t>
            </w:r>
            <w:r>
              <w:rPr>
                <w:color w:val="auto"/>
                <w:szCs w:val="21"/>
              </w:rPr>
              <w:t>、</w:t>
            </w:r>
            <w:r>
              <w:rPr>
                <w:rFonts w:hint="eastAsia" w:ascii="宋体" w:hAnsi="宋体" w:cs="宋体"/>
                <w:color w:val="auto"/>
                <w:szCs w:val="21"/>
              </w:rPr>
              <w:t>Ⅳ</w:t>
            </w:r>
            <w:r>
              <w:rPr>
                <w:color w:val="auto"/>
                <w:szCs w:val="21"/>
                <w:vertAlign w:val="superscript"/>
              </w:rPr>
              <w:t>+</w:t>
            </w:r>
          </w:p>
        </w:tc>
        <w:tc>
          <w:tcPr>
            <w:tcW w:w="1000" w:type="pct"/>
            <w:tcBorders>
              <w:tl2br w:val="nil"/>
              <w:tr2bl w:val="nil"/>
            </w:tcBorders>
            <w:shd w:val="clear" w:color="auto" w:fill="auto"/>
          </w:tcPr>
          <w:p w14:paraId="45332DB0">
            <w:pPr>
              <w:spacing w:line="360" w:lineRule="exact"/>
              <w:jc w:val="center"/>
              <w:rPr>
                <w:color w:val="auto"/>
                <w:szCs w:val="21"/>
              </w:rPr>
            </w:pPr>
            <w:r>
              <w:rPr>
                <w:rFonts w:hint="eastAsia" w:ascii="宋体" w:hAnsi="宋体" w:cs="宋体"/>
                <w:color w:val="auto"/>
                <w:szCs w:val="21"/>
              </w:rPr>
              <w:t>Ⅲ</w:t>
            </w:r>
          </w:p>
        </w:tc>
        <w:tc>
          <w:tcPr>
            <w:tcW w:w="1000" w:type="pct"/>
            <w:tcBorders>
              <w:tl2br w:val="nil"/>
              <w:tr2bl w:val="nil"/>
            </w:tcBorders>
            <w:shd w:val="clear" w:color="auto" w:fill="auto"/>
          </w:tcPr>
          <w:p w14:paraId="073A5DE9">
            <w:pPr>
              <w:spacing w:line="360" w:lineRule="exact"/>
              <w:jc w:val="center"/>
              <w:rPr>
                <w:color w:val="auto"/>
                <w:szCs w:val="21"/>
              </w:rPr>
            </w:pPr>
            <w:r>
              <w:rPr>
                <w:rFonts w:hint="eastAsia" w:ascii="宋体" w:hAnsi="宋体" w:cs="宋体"/>
                <w:color w:val="auto"/>
                <w:szCs w:val="21"/>
              </w:rPr>
              <w:t>Ⅱ</w:t>
            </w:r>
          </w:p>
        </w:tc>
        <w:tc>
          <w:tcPr>
            <w:tcW w:w="1000" w:type="pct"/>
            <w:tcBorders>
              <w:tl2br w:val="nil"/>
              <w:tr2bl w:val="nil"/>
            </w:tcBorders>
            <w:shd w:val="clear" w:color="auto" w:fill="auto"/>
          </w:tcPr>
          <w:p w14:paraId="642E6B6A">
            <w:pPr>
              <w:spacing w:line="360" w:lineRule="exact"/>
              <w:jc w:val="center"/>
              <w:rPr>
                <w:color w:val="auto"/>
                <w:szCs w:val="21"/>
              </w:rPr>
            </w:pPr>
            <w:r>
              <w:rPr>
                <w:rFonts w:hint="eastAsia" w:ascii="宋体" w:hAnsi="宋体" w:cs="宋体"/>
                <w:color w:val="auto"/>
                <w:szCs w:val="21"/>
              </w:rPr>
              <w:t>Ⅰ</w:t>
            </w:r>
          </w:p>
        </w:tc>
      </w:tr>
      <w:tr w14:paraId="58EFA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0" w:type="pct"/>
            <w:tcBorders>
              <w:tl2br w:val="nil"/>
              <w:tr2bl w:val="nil"/>
            </w:tcBorders>
            <w:shd w:val="clear" w:color="auto" w:fill="auto"/>
          </w:tcPr>
          <w:p w14:paraId="48BD1A33">
            <w:pPr>
              <w:spacing w:line="360" w:lineRule="exact"/>
              <w:jc w:val="center"/>
              <w:rPr>
                <w:color w:val="auto"/>
                <w:szCs w:val="21"/>
              </w:rPr>
            </w:pPr>
            <w:r>
              <w:rPr>
                <w:color w:val="auto"/>
                <w:szCs w:val="21"/>
              </w:rPr>
              <w:t>评价工作等级</w:t>
            </w:r>
          </w:p>
        </w:tc>
        <w:tc>
          <w:tcPr>
            <w:tcW w:w="1000" w:type="pct"/>
            <w:tcBorders>
              <w:tl2br w:val="nil"/>
              <w:tr2bl w:val="nil"/>
            </w:tcBorders>
            <w:shd w:val="clear" w:color="auto" w:fill="auto"/>
          </w:tcPr>
          <w:p w14:paraId="1A2752BC">
            <w:pPr>
              <w:spacing w:line="360" w:lineRule="exact"/>
              <w:jc w:val="center"/>
              <w:rPr>
                <w:color w:val="auto"/>
                <w:szCs w:val="21"/>
              </w:rPr>
            </w:pPr>
            <w:r>
              <w:rPr>
                <w:color w:val="auto"/>
                <w:szCs w:val="21"/>
              </w:rPr>
              <w:t>一</w:t>
            </w:r>
          </w:p>
        </w:tc>
        <w:tc>
          <w:tcPr>
            <w:tcW w:w="1000" w:type="pct"/>
            <w:tcBorders>
              <w:tl2br w:val="nil"/>
              <w:tr2bl w:val="nil"/>
            </w:tcBorders>
            <w:shd w:val="clear" w:color="auto" w:fill="auto"/>
          </w:tcPr>
          <w:p w14:paraId="097B6E02">
            <w:pPr>
              <w:spacing w:line="360" w:lineRule="exact"/>
              <w:jc w:val="center"/>
              <w:rPr>
                <w:color w:val="auto"/>
                <w:szCs w:val="21"/>
              </w:rPr>
            </w:pPr>
            <w:r>
              <w:rPr>
                <w:color w:val="auto"/>
                <w:szCs w:val="21"/>
              </w:rPr>
              <w:t>二</w:t>
            </w:r>
          </w:p>
        </w:tc>
        <w:tc>
          <w:tcPr>
            <w:tcW w:w="1000" w:type="pct"/>
            <w:tcBorders>
              <w:tl2br w:val="nil"/>
              <w:tr2bl w:val="nil"/>
            </w:tcBorders>
            <w:shd w:val="clear" w:color="auto" w:fill="auto"/>
          </w:tcPr>
          <w:p w14:paraId="6C45B617">
            <w:pPr>
              <w:spacing w:line="360" w:lineRule="exact"/>
              <w:jc w:val="center"/>
              <w:rPr>
                <w:color w:val="auto"/>
                <w:szCs w:val="21"/>
              </w:rPr>
            </w:pPr>
            <w:r>
              <w:rPr>
                <w:color w:val="auto"/>
                <w:szCs w:val="21"/>
              </w:rPr>
              <w:t>三</w:t>
            </w:r>
          </w:p>
        </w:tc>
        <w:tc>
          <w:tcPr>
            <w:tcW w:w="1000" w:type="pct"/>
            <w:tcBorders>
              <w:tl2br w:val="nil"/>
              <w:tr2bl w:val="nil"/>
            </w:tcBorders>
            <w:shd w:val="clear" w:color="auto" w:fill="auto"/>
          </w:tcPr>
          <w:p w14:paraId="53C29CCF">
            <w:pPr>
              <w:spacing w:line="360" w:lineRule="exact"/>
              <w:jc w:val="center"/>
              <w:rPr>
                <w:color w:val="auto"/>
                <w:szCs w:val="21"/>
              </w:rPr>
            </w:pPr>
            <w:r>
              <w:rPr>
                <w:color w:val="auto"/>
                <w:szCs w:val="21"/>
              </w:rPr>
              <w:t>简单分析</w:t>
            </w:r>
            <w:r>
              <w:rPr>
                <w:color w:val="auto"/>
                <w:szCs w:val="21"/>
                <w:vertAlign w:val="superscript"/>
              </w:rPr>
              <w:t>a</w:t>
            </w:r>
          </w:p>
        </w:tc>
      </w:tr>
      <w:tr w14:paraId="66546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shd w:val="clear" w:color="auto" w:fill="auto"/>
          </w:tcPr>
          <w:p w14:paraId="2276D1B4">
            <w:pPr>
              <w:spacing w:line="360" w:lineRule="exact"/>
              <w:rPr>
                <w:color w:val="auto"/>
                <w:szCs w:val="21"/>
              </w:rPr>
            </w:pPr>
            <w:r>
              <w:rPr>
                <w:color w:val="auto"/>
                <w:szCs w:val="21"/>
              </w:rPr>
              <w:t>a是相对于详细评价工作内容而言，在描述危险物质、环境影响途径、环境危害后果、风险防范措施等方面给出定性的说明。见附录A。</w:t>
            </w:r>
          </w:p>
        </w:tc>
      </w:tr>
    </w:tbl>
    <w:p w14:paraId="18F80948">
      <w:pPr>
        <w:pStyle w:val="18"/>
        <w:spacing w:line="360" w:lineRule="auto"/>
        <w:rPr>
          <w:rFonts w:hint="default" w:ascii="Times New Roman" w:hAnsi="Times New Roman"/>
          <w:b/>
          <w:bCs/>
          <w:color w:val="auto"/>
          <w:sz w:val="24"/>
          <w:szCs w:val="24"/>
        </w:rPr>
      </w:pPr>
      <w:bookmarkStart w:id="87" w:name="_Toc126660521"/>
      <w:bookmarkStart w:id="88" w:name="_Toc76041476"/>
      <w:bookmarkStart w:id="89" w:name="_Toc128486799"/>
      <w:bookmarkStart w:id="90" w:name="_Toc117113784"/>
      <w:r>
        <w:rPr>
          <w:rFonts w:hint="default" w:ascii="Times New Roman" w:hAnsi="Times New Roman"/>
          <w:b/>
          <w:bCs/>
          <w:color w:val="auto"/>
          <w:sz w:val="24"/>
          <w:szCs w:val="24"/>
        </w:rPr>
        <w:t>1.4.1建设项目环境风险潜势划分</w:t>
      </w:r>
      <w:bookmarkEnd w:id="87"/>
      <w:bookmarkEnd w:id="88"/>
      <w:bookmarkEnd w:id="89"/>
      <w:bookmarkEnd w:id="90"/>
    </w:p>
    <w:p w14:paraId="7685C64F">
      <w:pPr>
        <w:spacing w:line="480" w:lineRule="exact"/>
        <w:ind w:firstLine="480" w:firstLineChars="200"/>
        <w:rPr>
          <w:color w:val="auto"/>
          <w:sz w:val="24"/>
        </w:rPr>
      </w:pPr>
      <w:r>
        <w:rPr>
          <w:color w:val="auto"/>
          <w:sz w:val="24"/>
        </w:rPr>
        <w:t>根据建设项目涉及的物质及工艺系统危险性和所在地的环境敏感程度，结合事故情形下环境影响途径，对建设潜在的环境危害程度进行概化，按照表1-2确定环境风险潜势。</w:t>
      </w:r>
    </w:p>
    <w:p w14:paraId="28C49052">
      <w:pPr>
        <w:spacing w:line="360" w:lineRule="auto"/>
        <w:jc w:val="center"/>
        <w:rPr>
          <w:b/>
          <w:color w:val="auto"/>
          <w:sz w:val="24"/>
        </w:rPr>
      </w:pPr>
      <w:r>
        <w:rPr>
          <w:b/>
          <w:color w:val="auto"/>
          <w:sz w:val="24"/>
        </w:rPr>
        <w:t>表1-2  建设项目环境风险潜势划分</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5"/>
        <w:gridCol w:w="1748"/>
        <w:gridCol w:w="1750"/>
        <w:gridCol w:w="1750"/>
        <w:gridCol w:w="1750"/>
      </w:tblGrid>
      <w:tr w14:paraId="63988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9" w:type="pct"/>
            <w:vMerge w:val="restart"/>
            <w:tcBorders>
              <w:tl2br w:val="nil"/>
              <w:tr2bl w:val="nil"/>
            </w:tcBorders>
            <w:shd w:val="clear" w:color="auto" w:fill="auto"/>
            <w:vAlign w:val="center"/>
          </w:tcPr>
          <w:p w14:paraId="3644AA41">
            <w:pPr>
              <w:spacing w:line="360" w:lineRule="exact"/>
              <w:jc w:val="center"/>
              <w:rPr>
                <w:color w:val="auto"/>
                <w:szCs w:val="21"/>
              </w:rPr>
            </w:pPr>
            <w:r>
              <w:rPr>
                <w:color w:val="auto"/>
                <w:szCs w:val="21"/>
              </w:rPr>
              <w:t>环境敏感程度（E）</w:t>
            </w:r>
          </w:p>
        </w:tc>
        <w:tc>
          <w:tcPr>
            <w:tcW w:w="3551" w:type="pct"/>
            <w:gridSpan w:val="4"/>
            <w:tcBorders>
              <w:tl2br w:val="nil"/>
              <w:tr2bl w:val="nil"/>
            </w:tcBorders>
            <w:shd w:val="clear" w:color="auto" w:fill="auto"/>
            <w:vAlign w:val="center"/>
          </w:tcPr>
          <w:p w14:paraId="49DEC13B">
            <w:pPr>
              <w:spacing w:line="360" w:lineRule="exact"/>
              <w:jc w:val="center"/>
              <w:rPr>
                <w:color w:val="auto"/>
                <w:szCs w:val="21"/>
              </w:rPr>
            </w:pPr>
            <w:r>
              <w:rPr>
                <w:color w:val="auto"/>
                <w:szCs w:val="21"/>
              </w:rPr>
              <w:t>危险物质及工艺系统危险性（P）</w:t>
            </w:r>
          </w:p>
        </w:tc>
      </w:tr>
      <w:tr w14:paraId="56E32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9" w:type="pct"/>
            <w:vMerge w:val="continue"/>
            <w:tcBorders>
              <w:tl2br w:val="nil"/>
              <w:tr2bl w:val="nil"/>
            </w:tcBorders>
            <w:shd w:val="clear" w:color="auto" w:fill="auto"/>
            <w:vAlign w:val="center"/>
          </w:tcPr>
          <w:p w14:paraId="527F4041">
            <w:pPr>
              <w:spacing w:line="360" w:lineRule="exact"/>
              <w:jc w:val="center"/>
              <w:rPr>
                <w:color w:val="auto"/>
                <w:szCs w:val="21"/>
              </w:rPr>
            </w:pPr>
          </w:p>
        </w:tc>
        <w:tc>
          <w:tcPr>
            <w:tcW w:w="887" w:type="pct"/>
            <w:tcBorders>
              <w:tl2br w:val="nil"/>
              <w:tr2bl w:val="nil"/>
            </w:tcBorders>
            <w:shd w:val="clear" w:color="auto" w:fill="auto"/>
            <w:vAlign w:val="center"/>
          </w:tcPr>
          <w:p w14:paraId="6764EBB4">
            <w:pPr>
              <w:spacing w:line="360" w:lineRule="exact"/>
              <w:ind w:left="-210" w:leftChars="-100" w:right="-210" w:rightChars="-100"/>
              <w:jc w:val="center"/>
              <w:rPr>
                <w:color w:val="auto"/>
                <w:szCs w:val="21"/>
              </w:rPr>
            </w:pPr>
            <w:r>
              <w:rPr>
                <w:color w:val="auto"/>
                <w:szCs w:val="21"/>
              </w:rPr>
              <w:t>极高危害（P1）</w:t>
            </w:r>
          </w:p>
        </w:tc>
        <w:tc>
          <w:tcPr>
            <w:tcW w:w="888" w:type="pct"/>
            <w:tcBorders>
              <w:tl2br w:val="nil"/>
              <w:tr2bl w:val="nil"/>
            </w:tcBorders>
            <w:shd w:val="clear" w:color="auto" w:fill="auto"/>
            <w:vAlign w:val="center"/>
          </w:tcPr>
          <w:p w14:paraId="0500D97C">
            <w:pPr>
              <w:spacing w:line="360" w:lineRule="exact"/>
              <w:ind w:left="-210" w:leftChars="-100" w:right="-210" w:rightChars="-100"/>
              <w:jc w:val="center"/>
              <w:rPr>
                <w:color w:val="auto"/>
                <w:szCs w:val="21"/>
              </w:rPr>
            </w:pPr>
            <w:r>
              <w:rPr>
                <w:color w:val="auto"/>
                <w:szCs w:val="21"/>
              </w:rPr>
              <w:t>高度危害（P2）</w:t>
            </w:r>
          </w:p>
        </w:tc>
        <w:tc>
          <w:tcPr>
            <w:tcW w:w="888" w:type="pct"/>
            <w:tcBorders>
              <w:tl2br w:val="nil"/>
              <w:tr2bl w:val="nil"/>
            </w:tcBorders>
            <w:shd w:val="clear" w:color="auto" w:fill="auto"/>
            <w:vAlign w:val="center"/>
          </w:tcPr>
          <w:p w14:paraId="00E9A60F">
            <w:pPr>
              <w:spacing w:line="360" w:lineRule="exact"/>
              <w:ind w:left="-210" w:leftChars="-100" w:right="-210" w:rightChars="-100"/>
              <w:jc w:val="center"/>
              <w:rPr>
                <w:color w:val="auto"/>
                <w:szCs w:val="21"/>
              </w:rPr>
            </w:pPr>
            <w:r>
              <w:rPr>
                <w:color w:val="auto"/>
                <w:szCs w:val="21"/>
              </w:rPr>
              <w:t>中度危害（P3）</w:t>
            </w:r>
          </w:p>
        </w:tc>
        <w:tc>
          <w:tcPr>
            <w:tcW w:w="888" w:type="pct"/>
            <w:tcBorders>
              <w:tl2br w:val="nil"/>
              <w:tr2bl w:val="nil"/>
            </w:tcBorders>
            <w:shd w:val="clear" w:color="auto" w:fill="auto"/>
            <w:vAlign w:val="center"/>
          </w:tcPr>
          <w:p w14:paraId="65C2C38A">
            <w:pPr>
              <w:spacing w:line="360" w:lineRule="exact"/>
              <w:ind w:left="-210" w:leftChars="-100" w:right="-210" w:rightChars="-100"/>
              <w:jc w:val="center"/>
              <w:rPr>
                <w:color w:val="auto"/>
                <w:szCs w:val="21"/>
              </w:rPr>
            </w:pPr>
            <w:r>
              <w:rPr>
                <w:color w:val="auto"/>
                <w:szCs w:val="21"/>
              </w:rPr>
              <w:t>轻度危害（P4）</w:t>
            </w:r>
          </w:p>
        </w:tc>
      </w:tr>
      <w:tr w14:paraId="19204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9" w:type="pct"/>
            <w:tcBorders>
              <w:tl2br w:val="nil"/>
              <w:tr2bl w:val="nil"/>
            </w:tcBorders>
            <w:shd w:val="clear" w:color="auto" w:fill="auto"/>
            <w:vAlign w:val="center"/>
          </w:tcPr>
          <w:p w14:paraId="20B8FE42">
            <w:pPr>
              <w:spacing w:line="360" w:lineRule="exact"/>
              <w:jc w:val="center"/>
              <w:rPr>
                <w:color w:val="auto"/>
                <w:szCs w:val="21"/>
              </w:rPr>
            </w:pPr>
            <w:r>
              <w:rPr>
                <w:color w:val="auto"/>
                <w:szCs w:val="21"/>
              </w:rPr>
              <w:t>环境高度敏感区（E1）</w:t>
            </w:r>
          </w:p>
        </w:tc>
        <w:tc>
          <w:tcPr>
            <w:tcW w:w="887" w:type="pct"/>
            <w:tcBorders>
              <w:tl2br w:val="nil"/>
              <w:tr2bl w:val="nil"/>
            </w:tcBorders>
            <w:shd w:val="clear" w:color="auto" w:fill="auto"/>
            <w:vAlign w:val="center"/>
          </w:tcPr>
          <w:p w14:paraId="7C879F81">
            <w:pPr>
              <w:spacing w:line="360" w:lineRule="exact"/>
              <w:jc w:val="center"/>
              <w:rPr>
                <w:color w:val="auto"/>
                <w:szCs w:val="21"/>
              </w:rPr>
            </w:pPr>
            <w:r>
              <w:rPr>
                <w:rFonts w:hint="eastAsia" w:ascii="宋体" w:hAnsi="宋体" w:cs="宋体"/>
                <w:color w:val="auto"/>
                <w:szCs w:val="21"/>
              </w:rPr>
              <w:t>Ⅳ</w:t>
            </w:r>
            <w:r>
              <w:rPr>
                <w:color w:val="auto"/>
                <w:szCs w:val="21"/>
                <w:vertAlign w:val="superscript"/>
              </w:rPr>
              <w:t>+</w:t>
            </w:r>
          </w:p>
        </w:tc>
        <w:tc>
          <w:tcPr>
            <w:tcW w:w="888" w:type="pct"/>
            <w:tcBorders>
              <w:tl2br w:val="nil"/>
              <w:tr2bl w:val="nil"/>
            </w:tcBorders>
            <w:shd w:val="clear" w:color="auto" w:fill="auto"/>
            <w:vAlign w:val="center"/>
          </w:tcPr>
          <w:p w14:paraId="66D450CE">
            <w:pPr>
              <w:spacing w:line="360" w:lineRule="exact"/>
              <w:jc w:val="center"/>
              <w:rPr>
                <w:color w:val="auto"/>
                <w:szCs w:val="21"/>
              </w:rPr>
            </w:pPr>
            <w:r>
              <w:rPr>
                <w:rFonts w:hint="eastAsia" w:ascii="宋体" w:hAnsi="宋体" w:cs="宋体"/>
                <w:color w:val="auto"/>
                <w:szCs w:val="21"/>
              </w:rPr>
              <w:t>Ⅳ</w:t>
            </w:r>
          </w:p>
        </w:tc>
        <w:tc>
          <w:tcPr>
            <w:tcW w:w="888" w:type="pct"/>
            <w:tcBorders>
              <w:tl2br w:val="nil"/>
              <w:tr2bl w:val="nil"/>
            </w:tcBorders>
            <w:shd w:val="clear" w:color="auto" w:fill="auto"/>
            <w:vAlign w:val="center"/>
          </w:tcPr>
          <w:p w14:paraId="082A2C8A">
            <w:pPr>
              <w:spacing w:line="360" w:lineRule="exact"/>
              <w:jc w:val="center"/>
              <w:rPr>
                <w:color w:val="auto"/>
                <w:szCs w:val="21"/>
              </w:rPr>
            </w:pPr>
            <w:r>
              <w:rPr>
                <w:rFonts w:hint="eastAsia" w:ascii="宋体" w:hAnsi="宋体" w:cs="宋体"/>
                <w:color w:val="auto"/>
                <w:szCs w:val="21"/>
              </w:rPr>
              <w:t>Ⅲ</w:t>
            </w:r>
          </w:p>
        </w:tc>
        <w:tc>
          <w:tcPr>
            <w:tcW w:w="888" w:type="pct"/>
            <w:tcBorders>
              <w:tl2br w:val="nil"/>
              <w:tr2bl w:val="nil"/>
            </w:tcBorders>
            <w:shd w:val="clear" w:color="auto" w:fill="auto"/>
            <w:vAlign w:val="center"/>
          </w:tcPr>
          <w:p w14:paraId="1CE2DBCB">
            <w:pPr>
              <w:spacing w:line="360" w:lineRule="exact"/>
              <w:jc w:val="center"/>
              <w:rPr>
                <w:color w:val="auto"/>
                <w:szCs w:val="21"/>
              </w:rPr>
            </w:pPr>
            <w:r>
              <w:rPr>
                <w:rFonts w:hint="eastAsia" w:ascii="宋体" w:hAnsi="宋体" w:cs="宋体"/>
                <w:color w:val="auto"/>
                <w:szCs w:val="21"/>
              </w:rPr>
              <w:t>Ⅲ</w:t>
            </w:r>
          </w:p>
        </w:tc>
      </w:tr>
      <w:tr w14:paraId="6C2FA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9" w:type="pct"/>
            <w:tcBorders>
              <w:tl2br w:val="nil"/>
              <w:tr2bl w:val="nil"/>
            </w:tcBorders>
            <w:shd w:val="clear" w:color="auto" w:fill="auto"/>
            <w:vAlign w:val="center"/>
          </w:tcPr>
          <w:p w14:paraId="5D90AADF">
            <w:pPr>
              <w:spacing w:line="360" w:lineRule="exact"/>
              <w:jc w:val="center"/>
              <w:rPr>
                <w:color w:val="auto"/>
                <w:szCs w:val="21"/>
              </w:rPr>
            </w:pPr>
            <w:r>
              <w:rPr>
                <w:color w:val="auto"/>
                <w:szCs w:val="21"/>
              </w:rPr>
              <w:t>环境中度敏感区（E2）</w:t>
            </w:r>
          </w:p>
        </w:tc>
        <w:tc>
          <w:tcPr>
            <w:tcW w:w="887" w:type="pct"/>
            <w:tcBorders>
              <w:tl2br w:val="nil"/>
              <w:tr2bl w:val="nil"/>
            </w:tcBorders>
            <w:shd w:val="clear" w:color="auto" w:fill="auto"/>
            <w:vAlign w:val="center"/>
          </w:tcPr>
          <w:p w14:paraId="1BF580A6">
            <w:pPr>
              <w:spacing w:line="360" w:lineRule="exact"/>
              <w:jc w:val="center"/>
              <w:rPr>
                <w:color w:val="auto"/>
                <w:szCs w:val="21"/>
              </w:rPr>
            </w:pPr>
            <w:r>
              <w:rPr>
                <w:rFonts w:hint="eastAsia" w:ascii="宋体" w:hAnsi="宋体" w:cs="宋体"/>
                <w:color w:val="auto"/>
                <w:szCs w:val="21"/>
              </w:rPr>
              <w:t>Ⅳ</w:t>
            </w:r>
          </w:p>
        </w:tc>
        <w:tc>
          <w:tcPr>
            <w:tcW w:w="888" w:type="pct"/>
            <w:tcBorders>
              <w:tl2br w:val="nil"/>
              <w:tr2bl w:val="nil"/>
            </w:tcBorders>
            <w:shd w:val="clear" w:color="auto" w:fill="auto"/>
            <w:vAlign w:val="center"/>
          </w:tcPr>
          <w:p w14:paraId="539DB00C">
            <w:pPr>
              <w:spacing w:line="360" w:lineRule="exact"/>
              <w:jc w:val="center"/>
              <w:rPr>
                <w:color w:val="auto"/>
                <w:szCs w:val="21"/>
              </w:rPr>
            </w:pPr>
            <w:r>
              <w:rPr>
                <w:rFonts w:hint="eastAsia" w:ascii="宋体" w:hAnsi="宋体" w:cs="宋体"/>
                <w:color w:val="auto"/>
                <w:szCs w:val="21"/>
              </w:rPr>
              <w:t>Ⅲ</w:t>
            </w:r>
          </w:p>
        </w:tc>
        <w:tc>
          <w:tcPr>
            <w:tcW w:w="888" w:type="pct"/>
            <w:tcBorders>
              <w:tl2br w:val="nil"/>
              <w:tr2bl w:val="nil"/>
            </w:tcBorders>
            <w:shd w:val="clear" w:color="auto" w:fill="auto"/>
            <w:vAlign w:val="center"/>
          </w:tcPr>
          <w:p w14:paraId="7B8D9368">
            <w:pPr>
              <w:spacing w:line="360" w:lineRule="exact"/>
              <w:jc w:val="center"/>
              <w:rPr>
                <w:color w:val="auto"/>
                <w:szCs w:val="21"/>
              </w:rPr>
            </w:pPr>
            <w:r>
              <w:rPr>
                <w:rFonts w:hint="eastAsia" w:ascii="宋体" w:hAnsi="宋体" w:cs="宋体"/>
                <w:color w:val="auto"/>
                <w:szCs w:val="21"/>
              </w:rPr>
              <w:t>Ⅲ</w:t>
            </w:r>
          </w:p>
        </w:tc>
        <w:tc>
          <w:tcPr>
            <w:tcW w:w="888" w:type="pct"/>
            <w:tcBorders>
              <w:tl2br w:val="nil"/>
              <w:tr2bl w:val="nil"/>
            </w:tcBorders>
            <w:shd w:val="clear" w:color="auto" w:fill="auto"/>
            <w:vAlign w:val="center"/>
          </w:tcPr>
          <w:p w14:paraId="3785B020">
            <w:pPr>
              <w:spacing w:line="360" w:lineRule="exact"/>
              <w:jc w:val="center"/>
              <w:rPr>
                <w:color w:val="auto"/>
                <w:szCs w:val="21"/>
              </w:rPr>
            </w:pPr>
            <w:r>
              <w:rPr>
                <w:rFonts w:hint="eastAsia" w:ascii="宋体" w:hAnsi="宋体" w:cs="宋体"/>
                <w:color w:val="auto"/>
                <w:szCs w:val="21"/>
              </w:rPr>
              <w:t>Ⅱ</w:t>
            </w:r>
          </w:p>
        </w:tc>
      </w:tr>
      <w:tr w14:paraId="1C86A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9" w:type="pct"/>
            <w:tcBorders>
              <w:tl2br w:val="nil"/>
              <w:tr2bl w:val="nil"/>
            </w:tcBorders>
            <w:shd w:val="clear" w:color="auto" w:fill="auto"/>
            <w:vAlign w:val="center"/>
          </w:tcPr>
          <w:p w14:paraId="65BC4334">
            <w:pPr>
              <w:spacing w:line="360" w:lineRule="exact"/>
              <w:jc w:val="center"/>
              <w:rPr>
                <w:color w:val="auto"/>
                <w:szCs w:val="21"/>
              </w:rPr>
            </w:pPr>
            <w:r>
              <w:rPr>
                <w:color w:val="auto"/>
                <w:szCs w:val="21"/>
              </w:rPr>
              <w:t>环境低度敏感区（E3）</w:t>
            </w:r>
          </w:p>
        </w:tc>
        <w:tc>
          <w:tcPr>
            <w:tcW w:w="887" w:type="pct"/>
            <w:tcBorders>
              <w:tl2br w:val="nil"/>
              <w:tr2bl w:val="nil"/>
            </w:tcBorders>
            <w:shd w:val="clear" w:color="auto" w:fill="auto"/>
            <w:vAlign w:val="center"/>
          </w:tcPr>
          <w:p w14:paraId="297A5FCB">
            <w:pPr>
              <w:spacing w:line="360" w:lineRule="exact"/>
              <w:jc w:val="center"/>
              <w:rPr>
                <w:color w:val="auto"/>
                <w:szCs w:val="21"/>
              </w:rPr>
            </w:pPr>
            <w:r>
              <w:rPr>
                <w:rFonts w:hint="eastAsia" w:ascii="宋体" w:hAnsi="宋体" w:cs="宋体"/>
                <w:color w:val="auto"/>
                <w:szCs w:val="21"/>
              </w:rPr>
              <w:t>Ⅲ</w:t>
            </w:r>
          </w:p>
        </w:tc>
        <w:tc>
          <w:tcPr>
            <w:tcW w:w="888" w:type="pct"/>
            <w:tcBorders>
              <w:tl2br w:val="nil"/>
              <w:tr2bl w:val="nil"/>
            </w:tcBorders>
            <w:shd w:val="clear" w:color="auto" w:fill="auto"/>
            <w:vAlign w:val="center"/>
          </w:tcPr>
          <w:p w14:paraId="70E9A9B1">
            <w:pPr>
              <w:spacing w:line="360" w:lineRule="exact"/>
              <w:jc w:val="center"/>
              <w:rPr>
                <w:color w:val="auto"/>
                <w:szCs w:val="21"/>
              </w:rPr>
            </w:pPr>
            <w:r>
              <w:rPr>
                <w:rFonts w:hint="eastAsia" w:ascii="宋体" w:hAnsi="宋体" w:cs="宋体"/>
                <w:color w:val="auto"/>
                <w:szCs w:val="21"/>
              </w:rPr>
              <w:t>Ⅲ</w:t>
            </w:r>
          </w:p>
        </w:tc>
        <w:tc>
          <w:tcPr>
            <w:tcW w:w="888" w:type="pct"/>
            <w:tcBorders>
              <w:tl2br w:val="nil"/>
              <w:tr2bl w:val="nil"/>
            </w:tcBorders>
            <w:shd w:val="clear" w:color="auto" w:fill="auto"/>
            <w:vAlign w:val="center"/>
          </w:tcPr>
          <w:p w14:paraId="5A0D551F">
            <w:pPr>
              <w:spacing w:line="360" w:lineRule="exact"/>
              <w:jc w:val="center"/>
              <w:rPr>
                <w:color w:val="auto"/>
                <w:szCs w:val="21"/>
              </w:rPr>
            </w:pPr>
            <w:r>
              <w:rPr>
                <w:rFonts w:hint="eastAsia" w:ascii="宋体" w:hAnsi="宋体" w:cs="宋体"/>
                <w:color w:val="auto"/>
                <w:szCs w:val="21"/>
              </w:rPr>
              <w:t>Ⅱ</w:t>
            </w:r>
          </w:p>
        </w:tc>
        <w:tc>
          <w:tcPr>
            <w:tcW w:w="888" w:type="pct"/>
            <w:tcBorders>
              <w:tl2br w:val="nil"/>
              <w:tr2bl w:val="nil"/>
            </w:tcBorders>
            <w:shd w:val="clear" w:color="auto" w:fill="auto"/>
            <w:vAlign w:val="center"/>
          </w:tcPr>
          <w:p w14:paraId="560B2AB4">
            <w:pPr>
              <w:spacing w:line="360" w:lineRule="exact"/>
              <w:jc w:val="center"/>
              <w:rPr>
                <w:color w:val="auto"/>
                <w:szCs w:val="21"/>
              </w:rPr>
            </w:pPr>
            <w:r>
              <w:rPr>
                <w:rFonts w:hint="eastAsia" w:ascii="宋体" w:hAnsi="宋体" w:cs="宋体"/>
                <w:color w:val="auto"/>
                <w:szCs w:val="21"/>
              </w:rPr>
              <w:t>Ⅰ</w:t>
            </w:r>
          </w:p>
        </w:tc>
      </w:tr>
      <w:tr w14:paraId="150DF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shd w:val="clear" w:color="auto" w:fill="auto"/>
            <w:vAlign w:val="center"/>
          </w:tcPr>
          <w:p w14:paraId="2622160F">
            <w:pPr>
              <w:spacing w:line="360" w:lineRule="exact"/>
              <w:rPr>
                <w:color w:val="auto"/>
                <w:szCs w:val="21"/>
              </w:rPr>
            </w:pPr>
            <w:r>
              <w:rPr>
                <w:color w:val="auto"/>
                <w:szCs w:val="21"/>
              </w:rPr>
              <w:t>注：</w:t>
            </w:r>
            <w:r>
              <w:rPr>
                <w:rFonts w:hint="eastAsia" w:ascii="宋体" w:hAnsi="宋体" w:cs="宋体"/>
                <w:color w:val="auto"/>
                <w:szCs w:val="21"/>
              </w:rPr>
              <w:t>Ⅳ</w:t>
            </w:r>
            <w:r>
              <w:rPr>
                <w:color w:val="auto"/>
                <w:szCs w:val="21"/>
                <w:vertAlign w:val="superscript"/>
              </w:rPr>
              <w:t>+</w:t>
            </w:r>
            <w:r>
              <w:rPr>
                <w:color w:val="auto"/>
                <w:szCs w:val="21"/>
              </w:rPr>
              <w:t>为极高环境风险</w:t>
            </w:r>
          </w:p>
        </w:tc>
      </w:tr>
    </w:tbl>
    <w:p w14:paraId="3153821E">
      <w:pPr>
        <w:pStyle w:val="18"/>
        <w:spacing w:line="360" w:lineRule="auto"/>
        <w:rPr>
          <w:rFonts w:hint="default" w:ascii="Times New Roman" w:hAnsi="Times New Roman"/>
          <w:b/>
          <w:bCs/>
          <w:color w:val="auto"/>
          <w:sz w:val="24"/>
          <w:szCs w:val="24"/>
        </w:rPr>
      </w:pPr>
      <w:bookmarkStart w:id="91" w:name="_Toc128486800"/>
      <w:bookmarkStart w:id="92" w:name="_Toc76041477"/>
      <w:bookmarkStart w:id="93" w:name="_Toc117113785"/>
      <w:bookmarkStart w:id="94" w:name="_Toc126660522"/>
      <w:r>
        <w:rPr>
          <w:rFonts w:hint="default" w:ascii="Times New Roman" w:hAnsi="Times New Roman"/>
          <w:b/>
          <w:bCs/>
          <w:color w:val="auto"/>
          <w:sz w:val="24"/>
          <w:szCs w:val="24"/>
        </w:rPr>
        <w:t>1.</w:t>
      </w:r>
      <w:r>
        <w:rPr>
          <w:rFonts w:ascii="Times New Roman" w:hAnsi="Times New Roman"/>
          <w:b/>
          <w:bCs/>
          <w:color w:val="auto"/>
          <w:sz w:val="24"/>
          <w:szCs w:val="24"/>
        </w:rPr>
        <w:t>4</w:t>
      </w:r>
      <w:r>
        <w:rPr>
          <w:rFonts w:hint="default" w:ascii="Times New Roman" w:hAnsi="Times New Roman"/>
          <w:b/>
          <w:bCs/>
          <w:color w:val="auto"/>
          <w:sz w:val="24"/>
          <w:szCs w:val="24"/>
        </w:rPr>
        <w:t>.2P的分级确定结果</w:t>
      </w:r>
      <w:bookmarkEnd w:id="91"/>
      <w:bookmarkEnd w:id="92"/>
      <w:bookmarkEnd w:id="93"/>
      <w:bookmarkEnd w:id="94"/>
    </w:p>
    <w:p w14:paraId="2E04AE8C">
      <w:pPr>
        <w:spacing w:line="480" w:lineRule="exact"/>
        <w:ind w:firstLine="480" w:firstLineChars="200"/>
        <w:rPr>
          <w:color w:val="auto"/>
          <w:sz w:val="24"/>
        </w:rPr>
      </w:pPr>
      <w:r>
        <w:rPr>
          <w:color w:val="auto"/>
          <w:sz w:val="24"/>
        </w:rPr>
        <w:t>分析建设项目生产、使用、储存过程中涉及的有毒有害、易燃易爆物质、参见《建设项目环境风险评价技术导则》（HJ169-2018）附录B确定危险物质的临界量。定量分析危险物质数量与临界量的比值（Q）和所属行业及生产工艺特点（M），按附录C对危险物质及工艺系统危险性（P）等级进行判断。</w:t>
      </w:r>
    </w:p>
    <w:p w14:paraId="5F60BE14">
      <w:pPr>
        <w:spacing w:line="480" w:lineRule="exact"/>
        <w:ind w:firstLine="480" w:firstLineChars="200"/>
        <w:rPr>
          <w:color w:val="auto"/>
          <w:sz w:val="24"/>
        </w:rPr>
      </w:pPr>
      <w:r>
        <w:rPr>
          <w:color w:val="auto"/>
          <w:sz w:val="24"/>
        </w:rPr>
        <w:t>本项目P的分级确定结果详见本文“3.2P的分级确定”章节的确定结果，本项目危险物质及工艺系统危险性（P）等级为P4。</w:t>
      </w:r>
    </w:p>
    <w:p w14:paraId="74DB3938">
      <w:pPr>
        <w:pStyle w:val="18"/>
        <w:spacing w:line="360" w:lineRule="auto"/>
        <w:rPr>
          <w:rFonts w:hint="default" w:ascii="Times New Roman" w:hAnsi="Times New Roman"/>
          <w:b/>
          <w:bCs/>
          <w:color w:val="auto"/>
          <w:sz w:val="24"/>
          <w:szCs w:val="24"/>
        </w:rPr>
      </w:pPr>
      <w:bookmarkStart w:id="95" w:name="_Toc117113786"/>
      <w:bookmarkStart w:id="96" w:name="_Toc128486801"/>
      <w:bookmarkStart w:id="97" w:name="_Toc76041478"/>
      <w:bookmarkStart w:id="98" w:name="_Toc126660523"/>
      <w:r>
        <w:rPr>
          <w:rFonts w:hint="default" w:ascii="Times New Roman" w:hAnsi="Times New Roman"/>
          <w:b/>
          <w:bCs/>
          <w:color w:val="auto"/>
          <w:sz w:val="24"/>
          <w:szCs w:val="24"/>
        </w:rPr>
        <w:t>1.</w:t>
      </w:r>
      <w:r>
        <w:rPr>
          <w:rFonts w:ascii="Times New Roman" w:hAnsi="Times New Roman"/>
          <w:b/>
          <w:bCs/>
          <w:color w:val="auto"/>
          <w:sz w:val="24"/>
          <w:szCs w:val="24"/>
        </w:rPr>
        <w:t>4</w:t>
      </w:r>
      <w:r>
        <w:rPr>
          <w:rFonts w:hint="default" w:ascii="Times New Roman" w:hAnsi="Times New Roman"/>
          <w:b/>
          <w:bCs/>
          <w:color w:val="auto"/>
          <w:sz w:val="24"/>
          <w:szCs w:val="24"/>
        </w:rPr>
        <w:t>.3各要素E的分级确定结果</w:t>
      </w:r>
      <w:bookmarkEnd w:id="95"/>
      <w:bookmarkEnd w:id="96"/>
      <w:bookmarkEnd w:id="97"/>
      <w:bookmarkEnd w:id="98"/>
    </w:p>
    <w:p w14:paraId="1063059A">
      <w:pPr>
        <w:spacing w:line="480" w:lineRule="exact"/>
        <w:ind w:firstLine="480" w:firstLineChars="200"/>
        <w:rPr>
          <w:color w:val="auto"/>
          <w:sz w:val="24"/>
        </w:rPr>
      </w:pPr>
      <w:r>
        <w:rPr>
          <w:color w:val="auto"/>
          <w:sz w:val="24"/>
        </w:rPr>
        <w:t>分析危险物质在事故情形下的环境影响途径，如大气、地表水、地下水等，按照附录D对建设项目各要素环境敏感程度（E）等级进行判断。</w:t>
      </w:r>
    </w:p>
    <w:p w14:paraId="38ABB9F8">
      <w:pPr>
        <w:spacing w:line="480" w:lineRule="exact"/>
        <w:ind w:firstLine="480" w:firstLineChars="200"/>
        <w:rPr>
          <w:color w:val="auto"/>
          <w:sz w:val="24"/>
        </w:rPr>
      </w:pPr>
      <w:r>
        <w:rPr>
          <w:color w:val="auto"/>
          <w:sz w:val="24"/>
        </w:rPr>
        <w:t>本项目E的分级确定结果详见本文“3.3E的分级确定”章节的确定结果，本项目大气环境敏感程度分级为E2，地表水敏感程度分级为E3，地下水敏感程度分级为E3。</w:t>
      </w:r>
    </w:p>
    <w:p w14:paraId="58206942">
      <w:pPr>
        <w:pStyle w:val="18"/>
        <w:spacing w:line="360" w:lineRule="auto"/>
        <w:rPr>
          <w:rFonts w:hint="default" w:ascii="Times New Roman" w:hAnsi="Times New Roman"/>
          <w:b/>
          <w:bCs/>
          <w:color w:val="auto"/>
          <w:sz w:val="24"/>
          <w:szCs w:val="24"/>
        </w:rPr>
      </w:pPr>
      <w:bookmarkStart w:id="99" w:name="_Toc128486802"/>
      <w:bookmarkStart w:id="100" w:name="_Toc117113787"/>
      <w:bookmarkStart w:id="101" w:name="_Toc76041479"/>
      <w:bookmarkStart w:id="102" w:name="_Toc126660524"/>
      <w:r>
        <w:rPr>
          <w:rFonts w:hint="default" w:ascii="Times New Roman" w:hAnsi="Times New Roman"/>
          <w:b/>
          <w:bCs/>
          <w:color w:val="auto"/>
          <w:sz w:val="24"/>
          <w:szCs w:val="24"/>
        </w:rPr>
        <w:t>1.</w:t>
      </w:r>
      <w:r>
        <w:rPr>
          <w:rFonts w:ascii="Times New Roman" w:hAnsi="Times New Roman"/>
          <w:b/>
          <w:bCs/>
          <w:color w:val="auto"/>
          <w:sz w:val="24"/>
          <w:szCs w:val="24"/>
        </w:rPr>
        <w:t>4</w:t>
      </w:r>
      <w:r>
        <w:rPr>
          <w:rFonts w:hint="default" w:ascii="Times New Roman" w:hAnsi="Times New Roman"/>
          <w:b/>
          <w:bCs/>
          <w:color w:val="auto"/>
          <w:sz w:val="24"/>
          <w:szCs w:val="24"/>
        </w:rPr>
        <w:t>.4各要素及综合环境风险评价工作等级划分结果</w:t>
      </w:r>
      <w:bookmarkEnd w:id="99"/>
      <w:bookmarkEnd w:id="100"/>
      <w:bookmarkEnd w:id="101"/>
      <w:bookmarkEnd w:id="102"/>
    </w:p>
    <w:p w14:paraId="17BCCB0A">
      <w:pPr>
        <w:spacing w:line="480" w:lineRule="exact"/>
        <w:ind w:firstLine="480" w:firstLineChars="200"/>
        <w:rPr>
          <w:color w:val="auto"/>
          <w:sz w:val="24"/>
        </w:rPr>
      </w:pPr>
      <w:r>
        <w:rPr>
          <w:color w:val="auto"/>
          <w:sz w:val="24"/>
        </w:rPr>
        <w:t>本项目各要素及综合环境风险评价工作等级划分结果表见表1-3。</w:t>
      </w:r>
    </w:p>
    <w:p w14:paraId="651EF6FE">
      <w:pPr>
        <w:spacing w:line="360" w:lineRule="auto"/>
        <w:jc w:val="center"/>
        <w:rPr>
          <w:b/>
          <w:color w:val="auto"/>
          <w:sz w:val="24"/>
        </w:rPr>
      </w:pPr>
      <w:r>
        <w:rPr>
          <w:b/>
          <w:color w:val="auto"/>
          <w:sz w:val="24"/>
        </w:rPr>
        <w:t>表1-3  各要素及综合环境风险评价工作等级划分结果表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7"/>
        <w:gridCol w:w="1917"/>
        <w:gridCol w:w="1917"/>
        <w:gridCol w:w="1916"/>
        <w:gridCol w:w="1916"/>
      </w:tblGrid>
      <w:tr w14:paraId="5AB5C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0" w:type="pct"/>
            <w:tcBorders>
              <w:tl2br w:val="nil"/>
              <w:tr2bl w:val="nil"/>
            </w:tcBorders>
            <w:shd w:val="clear" w:color="auto" w:fill="auto"/>
            <w:vAlign w:val="center"/>
          </w:tcPr>
          <w:p w14:paraId="538A7E6F">
            <w:pPr>
              <w:spacing w:line="360" w:lineRule="exact"/>
              <w:jc w:val="center"/>
              <w:rPr>
                <w:color w:val="auto"/>
                <w:szCs w:val="21"/>
              </w:rPr>
            </w:pPr>
            <w:r>
              <w:rPr>
                <w:color w:val="auto"/>
                <w:szCs w:val="21"/>
              </w:rPr>
              <w:t>要素名称</w:t>
            </w:r>
          </w:p>
        </w:tc>
        <w:tc>
          <w:tcPr>
            <w:tcW w:w="973" w:type="pct"/>
            <w:tcBorders>
              <w:tl2br w:val="nil"/>
              <w:tr2bl w:val="nil"/>
            </w:tcBorders>
            <w:shd w:val="clear" w:color="auto" w:fill="auto"/>
            <w:vAlign w:val="center"/>
          </w:tcPr>
          <w:p w14:paraId="5111BFC5">
            <w:pPr>
              <w:spacing w:line="360" w:lineRule="exact"/>
              <w:jc w:val="center"/>
              <w:rPr>
                <w:color w:val="auto"/>
                <w:szCs w:val="21"/>
              </w:rPr>
            </w:pPr>
            <w:r>
              <w:rPr>
                <w:color w:val="auto"/>
                <w:szCs w:val="21"/>
              </w:rPr>
              <w:t>P值</w:t>
            </w:r>
          </w:p>
        </w:tc>
        <w:tc>
          <w:tcPr>
            <w:tcW w:w="973" w:type="pct"/>
            <w:tcBorders>
              <w:tl2br w:val="nil"/>
              <w:tr2bl w:val="nil"/>
            </w:tcBorders>
            <w:shd w:val="clear" w:color="auto" w:fill="auto"/>
            <w:vAlign w:val="center"/>
          </w:tcPr>
          <w:p w14:paraId="463B19B0">
            <w:pPr>
              <w:spacing w:line="360" w:lineRule="exact"/>
              <w:jc w:val="center"/>
              <w:rPr>
                <w:color w:val="auto"/>
                <w:szCs w:val="21"/>
              </w:rPr>
            </w:pPr>
            <w:r>
              <w:rPr>
                <w:color w:val="auto"/>
                <w:szCs w:val="21"/>
              </w:rPr>
              <w:t>E值</w:t>
            </w:r>
          </w:p>
        </w:tc>
        <w:tc>
          <w:tcPr>
            <w:tcW w:w="972" w:type="pct"/>
            <w:tcBorders>
              <w:tl2br w:val="nil"/>
              <w:tr2bl w:val="nil"/>
            </w:tcBorders>
            <w:shd w:val="clear" w:color="auto" w:fill="auto"/>
            <w:vAlign w:val="center"/>
          </w:tcPr>
          <w:p w14:paraId="0970C610">
            <w:pPr>
              <w:spacing w:line="360" w:lineRule="exact"/>
              <w:jc w:val="center"/>
              <w:rPr>
                <w:color w:val="auto"/>
                <w:szCs w:val="21"/>
              </w:rPr>
            </w:pPr>
            <w:r>
              <w:rPr>
                <w:color w:val="auto"/>
                <w:szCs w:val="21"/>
              </w:rPr>
              <w:t>环境风险潜势</w:t>
            </w:r>
          </w:p>
        </w:tc>
        <w:tc>
          <w:tcPr>
            <w:tcW w:w="972" w:type="pct"/>
            <w:tcBorders>
              <w:tl2br w:val="nil"/>
              <w:tr2bl w:val="nil"/>
            </w:tcBorders>
            <w:shd w:val="clear" w:color="auto" w:fill="auto"/>
          </w:tcPr>
          <w:p w14:paraId="3526986A">
            <w:pPr>
              <w:spacing w:line="360" w:lineRule="exact"/>
              <w:jc w:val="center"/>
              <w:rPr>
                <w:color w:val="auto"/>
                <w:szCs w:val="21"/>
              </w:rPr>
            </w:pPr>
            <w:r>
              <w:rPr>
                <w:color w:val="auto"/>
                <w:szCs w:val="21"/>
              </w:rPr>
              <w:t>评价等级</w:t>
            </w:r>
          </w:p>
        </w:tc>
      </w:tr>
      <w:tr w14:paraId="0944F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0" w:type="pct"/>
            <w:tcBorders>
              <w:tl2br w:val="nil"/>
              <w:tr2bl w:val="nil"/>
            </w:tcBorders>
            <w:shd w:val="clear" w:color="auto" w:fill="auto"/>
            <w:vAlign w:val="center"/>
          </w:tcPr>
          <w:p w14:paraId="73BD2933">
            <w:pPr>
              <w:spacing w:line="360" w:lineRule="exact"/>
              <w:jc w:val="center"/>
              <w:rPr>
                <w:color w:val="auto"/>
                <w:szCs w:val="21"/>
              </w:rPr>
            </w:pPr>
            <w:r>
              <w:rPr>
                <w:color w:val="auto"/>
                <w:szCs w:val="21"/>
              </w:rPr>
              <w:t>大气环境</w:t>
            </w:r>
          </w:p>
        </w:tc>
        <w:tc>
          <w:tcPr>
            <w:tcW w:w="973" w:type="pct"/>
            <w:vMerge w:val="restart"/>
            <w:tcBorders>
              <w:tl2br w:val="nil"/>
              <w:tr2bl w:val="nil"/>
            </w:tcBorders>
            <w:shd w:val="clear" w:color="auto" w:fill="auto"/>
            <w:vAlign w:val="center"/>
          </w:tcPr>
          <w:p w14:paraId="66FDD221">
            <w:pPr>
              <w:spacing w:line="360" w:lineRule="exact"/>
              <w:jc w:val="center"/>
              <w:rPr>
                <w:color w:val="auto"/>
                <w:szCs w:val="21"/>
              </w:rPr>
            </w:pPr>
            <w:r>
              <w:rPr>
                <w:color w:val="auto"/>
                <w:szCs w:val="21"/>
              </w:rPr>
              <w:t>P4</w:t>
            </w:r>
          </w:p>
        </w:tc>
        <w:tc>
          <w:tcPr>
            <w:tcW w:w="973" w:type="pct"/>
            <w:tcBorders>
              <w:tl2br w:val="nil"/>
              <w:tr2bl w:val="nil"/>
            </w:tcBorders>
            <w:shd w:val="clear" w:color="auto" w:fill="auto"/>
            <w:vAlign w:val="center"/>
          </w:tcPr>
          <w:p w14:paraId="56AB0E8A">
            <w:pPr>
              <w:spacing w:line="360" w:lineRule="exact"/>
              <w:jc w:val="center"/>
              <w:rPr>
                <w:color w:val="auto"/>
                <w:szCs w:val="21"/>
              </w:rPr>
            </w:pPr>
            <w:r>
              <w:rPr>
                <w:color w:val="auto"/>
                <w:szCs w:val="21"/>
              </w:rPr>
              <w:t>E2</w:t>
            </w:r>
          </w:p>
        </w:tc>
        <w:tc>
          <w:tcPr>
            <w:tcW w:w="972" w:type="pct"/>
            <w:tcBorders>
              <w:tl2br w:val="nil"/>
              <w:tr2bl w:val="nil"/>
            </w:tcBorders>
            <w:shd w:val="clear" w:color="auto" w:fill="auto"/>
            <w:vAlign w:val="center"/>
          </w:tcPr>
          <w:p w14:paraId="64EFD856">
            <w:pPr>
              <w:spacing w:line="360" w:lineRule="exact"/>
              <w:jc w:val="center"/>
              <w:rPr>
                <w:color w:val="auto"/>
                <w:szCs w:val="21"/>
              </w:rPr>
            </w:pPr>
            <w:r>
              <w:rPr>
                <w:rFonts w:hint="eastAsia" w:ascii="宋体" w:hAnsi="宋体" w:cs="宋体"/>
                <w:color w:val="auto"/>
                <w:szCs w:val="21"/>
              </w:rPr>
              <w:t>Ⅱ</w:t>
            </w:r>
          </w:p>
        </w:tc>
        <w:tc>
          <w:tcPr>
            <w:tcW w:w="972" w:type="pct"/>
            <w:tcBorders>
              <w:tl2br w:val="nil"/>
              <w:tr2bl w:val="nil"/>
            </w:tcBorders>
            <w:shd w:val="clear" w:color="auto" w:fill="auto"/>
          </w:tcPr>
          <w:p w14:paraId="5258E495">
            <w:pPr>
              <w:spacing w:line="360" w:lineRule="exact"/>
              <w:jc w:val="center"/>
              <w:rPr>
                <w:color w:val="auto"/>
                <w:szCs w:val="21"/>
              </w:rPr>
            </w:pPr>
            <w:r>
              <w:rPr>
                <w:color w:val="auto"/>
                <w:szCs w:val="21"/>
              </w:rPr>
              <w:t>三级评价</w:t>
            </w:r>
          </w:p>
        </w:tc>
      </w:tr>
      <w:tr w14:paraId="43B5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0" w:type="pct"/>
            <w:tcBorders>
              <w:tl2br w:val="nil"/>
              <w:tr2bl w:val="nil"/>
            </w:tcBorders>
            <w:shd w:val="clear" w:color="auto" w:fill="auto"/>
            <w:vAlign w:val="center"/>
          </w:tcPr>
          <w:p w14:paraId="50001340">
            <w:pPr>
              <w:spacing w:line="360" w:lineRule="exact"/>
              <w:jc w:val="center"/>
              <w:rPr>
                <w:color w:val="auto"/>
                <w:szCs w:val="21"/>
              </w:rPr>
            </w:pPr>
            <w:r>
              <w:rPr>
                <w:color w:val="auto"/>
                <w:szCs w:val="21"/>
              </w:rPr>
              <w:t>地表水环境</w:t>
            </w:r>
          </w:p>
        </w:tc>
        <w:tc>
          <w:tcPr>
            <w:tcW w:w="973" w:type="pct"/>
            <w:vMerge w:val="continue"/>
            <w:tcBorders>
              <w:tl2br w:val="nil"/>
              <w:tr2bl w:val="nil"/>
            </w:tcBorders>
            <w:shd w:val="clear" w:color="auto" w:fill="auto"/>
            <w:vAlign w:val="center"/>
          </w:tcPr>
          <w:p w14:paraId="584EDD8C">
            <w:pPr>
              <w:spacing w:line="360" w:lineRule="exact"/>
              <w:jc w:val="center"/>
              <w:rPr>
                <w:color w:val="auto"/>
                <w:szCs w:val="21"/>
              </w:rPr>
            </w:pPr>
          </w:p>
        </w:tc>
        <w:tc>
          <w:tcPr>
            <w:tcW w:w="973" w:type="pct"/>
            <w:tcBorders>
              <w:tl2br w:val="nil"/>
              <w:tr2bl w:val="nil"/>
            </w:tcBorders>
            <w:shd w:val="clear" w:color="auto" w:fill="auto"/>
            <w:vAlign w:val="center"/>
          </w:tcPr>
          <w:p w14:paraId="54473D1A">
            <w:pPr>
              <w:spacing w:line="360" w:lineRule="exact"/>
              <w:jc w:val="center"/>
              <w:rPr>
                <w:color w:val="auto"/>
                <w:szCs w:val="21"/>
              </w:rPr>
            </w:pPr>
            <w:r>
              <w:rPr>
                <w:color w:val="auto"/>
                <w:szCs w:val="21"/>
              </w:rPr>
              <w:t>E3</w:t>
            </w:r>
          </w:p>
        </w:tc>
        <w:tc>
          <w:tcPr>
            <w:tcW w:w="972" w:type="pct"/>
            <w:tcBorders>
              <w:tl2br w:val="nil"/>
              <w:tr2bl w:val="nil"/>
            </w:tcBorders>
            <w:shd w:val="clear" w:color="auto" w:fill="auto"/>
            <w:vAlign w:val="center"/>
          </w:tcPr>
          <w:p w14:paraId="2B249601">
            <w:pPr>
              <w:spacing w:line="360" w:lineRule="exact"/>
              <w:jc w:val="center"/>
              <w:rPr>
                <w:color w:val="auto"/>
                <w:szCs w:val="21"/>
              </w:rPr>
            </w:pPr>
            <w:r>
              <w:rPr>
                <w:rFonts w:hint="eastAsia" w:ascii="宋体" w:hAnsi="宋体" w:cs="宋体"/>
                <w:color w:val="auto"/>
                <w:szCs w:val="21"/>
              </w:rPr>
              <w:t>Ⅰ</w:t>
            </w:r>
          </w:p>
        </w:tc>
        <w:tc>
          <w:tcPr>
            <w:tcW w:w="972" w:type="pct"/>
            <w:tcBorders>
              <w:tl2br w:val="nil"/>
              <w:tr2bl w:val="nil"/>
            </w:tcBorders>
            <w:shd w:val="clear" w:color="auto" w:fill="auto"/>
          </w:tcPr>
          <w:p w14:paraId="7E819E04">
            <w:pPr>
              <w:spacing w:line="360" w:lineRule="exact"/>
              <w:jc w:val="center"/>
              <w:rPr>
                <w:color w:val="auto"/>
                <w:szCs w:val="21"/>
              </w:rPr>
            </w:pPr>
            <w:r>
              <w:rPr>
                <w:color w:val="auto"/>
                <w:szCs w:val="21"/>
              </w:rPr>
              <w:t>简单分析</w:t>
            </w:r>
          </w:p>
        </w:tc>
      </w:tr>
      <w:tr w14:paraId="5F805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10" w:type="pct"/>
            <w:tcBorders>
              <w:tl2br w:val="nil"/>
              <w:tr2bl w:val="nil"/>
            </w:tcBorders>
            <w:shd w:val="clear" w:color="auto" w:fill="auto"/>
            <w:vAlign w:val="center"/>
          </w:tcPr>
          <w:p w14:paraId="3A752EC6">
            <w:pPr>
              <w:spacing w:line="360" w:lineRule="exact"/>
              <w:jc w:val="center"/>
              <w:rPr>
                <w:color w:val="auto"/>
                <w:szCs w:val="21"/>
              </w:rPr>
            </w:pPr>
            <w:r>
              <w:rPr>
                <w:color w:val="auto"/>
                <w:szCs w:val="21"/>
              </w:rPr>
              <w:t>地下水环境</w:t>
            </w:r>
          </w:p>
        </w:tc>
        <w:tc>
          <w:tcPr>
            <w:tcW w:w="973" w:type="pct"/>
            <w:vMerge w:val="continue"/>
            <w:tcBorders>
              <w:tl2br w:val="nil"/>
              <w:tr2bl w:val="nil"/>
            </w:tcBorders>
            <w:shd w:val="clear" w:color="auto" w:fill="auto"/>
            <w:vAlign w:val="center"/>
          </w:tcPr>
          <w:p w14:paraId="23688128">
            <w:pPr>
              <w:spacing w:line="360" w:lineRule="exact"/>
              <w:jc w:val="center"/>
              <w:rPr>
                <w:color w:val="auto"/>
                <w:szCs w:val="21"/>
              </w:rPr>
            </w:pPr>
          </w:p>
        </w:tc>
        <w:tc>
          <w:tcPr>
            <w:tcW w:w="973" w:type="pct"/>
            <w:tcBorders>
              <w:tl2br w:val="nil"/>
              <w:tr2bl w:val="nil"/>
            </w:tcBorders>
            <w:shd w:val="clear" w:color="auto" w:fill="auto"/>
            <w:vAlign w:val="center"/>
          </w:tcPr>
          <w:p w14:paraId="28C93383">
            <w:pPr>
              <w:spacing w:line="360" w:lineRule="exact"/>
              <w:jc w:val="center"/>
              <w:rPr>
                <w:color w:val="auto"/>
                <w:szCs w:val="21"/>
              </w:rPr>
            </w:pPr>
            <w:r>
              <w:rPr>
                <w:color w:val="auto"/>
                <w:szCs w:val="21"/>
              </w:rPr>
              <w:t>E3</w:t>
            </w:r>
          </w:p>
        </w:tc>
        <w:tc>
          <w:tcPr>
            <w:tcW w:w="972" w:type="pct"/>
            <w:tcBorders>
              <w:tl2br w:val="nil"/>
              <w:tr2bl w:val="nil"/>
            </w:tcBorders>
            <w:shd w:val="clear" w:color="auto" w:fill="auto"/>
            <w:vAlign w:val="center"/>
          </w:tcPr>
          <w:p w14:paraId="7C9C032B">
            <w:pPr>
              <w:spacing w:line="360" w:lineRule="exact"/>
              <w:jc w:val="center"/>
              <w:rPr>
                <w:color w:val="auto"/>
                <w:szCs w:val="21"/>
              </w:rPr>
            </w:pPr>
            <w:r>
              <w:rPr>
                <w:rFonts w:hint="eastAsia" w:ascii="宋体" w:hAnsi="宋体" w:cs="宋体"/>
                <w:color w:val="auto"/>
                <w:szCs w:val="21"/>
              </w:rPr>
              <w:t>Ⅰ</w:t>
            </w:r>
          </w:p>
        </w:tc>
        <w:tc>
          <w:tcPr>
            <w:tcW w:w="972" w:type="pct"/>
            <w:tcBorders>
              <w:tl2br w:val="nil"/>
              <w:tr2bl w:val="nil"/>
            </w:tcBorders>
            <w:shd w:val="clear" w:color="auto" w:fill="auto"/>
          </w:tcPr>
          <w:p w14:paraId="14DFBA5B">
            <w:pPr>
              <w:spacing w:line="360" w:lineRule="exact"/>
              <w:jc w:val="center"/>
              <w:rPr>
                <w:color w:val="auto"/>
                <w:szCs w:val="21"/>
              </w:rPr>
            </w:pPr>
            <w:r>
              <w:rPr>
                <w:color w:val="auto"/>
                <w:szCs w:val="21"/>
              </w:rPr>
              <w:t>简单分析</w:t>
            </w:r>
          </w:p>
        </w:tc>
      </w:tr>
      <w:tr w14:paraId="63509C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56" w:type="pct"/>
            <w:gridSpan w:val="3"/>
            <w:tcBorders>
              <w:tl2br w:val="nil"/>
              <w:tr2bl w:val="nil"/>
            </w:tcBorders>
            <w:shd w:val="clear" w:color="auto" w:fill="auto"/>
            <w:vAlign w:val="center"/>
          </w:tcPr>
          <w:p w14:paraId="1387313B">
            <w:pPr>
              <w:spacing w:line="360" w:lineRule="exact"/>
              <w:jc w:val="center"/>
              <w:rPr>
                <w:color w:val="auto"/>
                <w:szCs w:val="21"/>
              </w:rPr>
            </w:pPr>
            <w:r>
              <w:rPr>
                <w:color w:val="auto"/>
                <w:szCs w:val="21"/>
              </w:rPr>
              <w:t>综合</w:t>
            </w:r>
          </w:p>
        </w:tc>
        <w:tc>
          <w:tcPr>
            <w:tcW w:w="972" w:type="pct"/>
            <w:tcBorders>
              <w:tl2br w:val="nil"/>
              <w:tr2bl w:val="nil"/>
            </w:tcBorders>
            <w:shd w:val="clear" w:color="auto" w:fill="auto"/>
            <w:vAlign w:val="center"/>
          </w:tcPr>
          <w:p w14:paraId="7B86359B">
            <w:pPr>
              <w:spacing w:line="360" w:lineRule="exact"/>
              <w:jc w:val="center"/>
              <w:rPr>
                <w:color w:val="auto"/>
                <w:szCs w:val="21"/>
              </w:rPr>
            </w:pPr>
            <w:r>
              <w:rPr>
                <w:rFonts w:hint="eastAsia" w:ascii="宋体" w:hAnsi="宋体" w:cs="宋体"/>
                <w:color w:val="auto"/>
                <w:szCs w:val="21"/>
              </w:rPr>
              <w:t>Ⅱ</w:t>
            </w:r>
          </w:p>
        </w:tc>
        <w:tc>
          <w:tcPr>
            <w:tcW w:w="972" w:type="pct"/>
            <w:tcBorders>
              <w:tl2br w:val="nil"/>
              <w:tr2bl w:val="nil"/>
            </w:tcBorders>
            <w:shd w:val="clear" w:color="auto" w:fill="auto"/>
          </w:tcPr>
          <w:p w14:paraId="77A58F5C">
            <w:pPr>
              <w:spacing w:line="360" w:lineRule="exact"/>
              <w:jc w:val="center"/>
              <w:rPr>
                <w:color w:val="auto"/>
                <w:szCs w:val="21"/>
              </w:rPr>
            </w:pPr>
            <w:r>
              <w:rPr>
                <w:color w:val="auto"/>
                <w:szCs w:val="21"/>
              </w:rPr>
              <w:t>三级评价</w:t>
            </w:r>
          </w:p>
        </w:tc>
      </w:tr>
    </w:tbl>
    <w:p w14:paraId="35D2F298">
      <w:pPr>
        <w:spacing w:line="480" w:lineRule="exact"/>
        <w:ind w:firstLine="480" w:firstLineChars="200"/>
        <w:rPr>
          <w:color w:val="auto"/>
          <w:sz w:val="24"/>
        </w:rPr>
      </w:pPr>
      <w:r>
        <w:rPr>
          <w:color w:val="auto"/>
          <w:sz w:val="24"/>
        </w:rPr>
        <w:t>综上，本项目综合环境风险评价工作等级为三级。</w:t>
      </w:r>
    </w:p>
    <w:p w14:paraId="2D940E0E">
      <w:pPr>
        <w:pStyle w:val="18"/>
        <w:spacing w:line="360" w:lineRule="auto"/>
        <w:rPr>
          <w:rFonts w:hint="default" w:ascii="Times New Roman" w:hAnsi="Times New Roman"/>
          <w:b/>
          <w:bCs/>
          <w:color w:val="auto"/>
          <w:sz w:val="24"/>
          <w:szCs w:val="24"/>
        </w:rPr>
      </w:pPr>
      <w:bookmarkStart w:id="103" w:name="_Toc128486803"/>
      <w:bookmarkStart w:id="104" w:name="_Toc76041480"/>
      <w:bookmarkStart w:id="105" w:name="_Toc40969588"/>
      <w:bookmarkStart w:id="106" w:name="_Toc126660525"/>
      <w:bookmarkStart w:id="107" w:name="_Toc117113788"/>
      <w:r>
        <w:rPr>
          <w:rFonts w:hint="default" w:ascii="Times New Roman" w:hAnsi="Times New Roman"/>
          <w:b/>
          <w:bCs/>
          <w:color w:val="auto"/>
          <w:sz w:val="24"/>
          <w:szCs w:val="24"/>
        </w:rPr>
        <w:t>1.</w:t>
      </w:r>
      <w:r>
        <w:rPr>
          <w:rFonts w:ascii="Times New Roman" w:hAnsi="Times New Roman"/>
          <w:b/>
          <w:bCs/>
          <w:color w:val="auto"/>
          <w:sz w:val="24"/>
          <w:szCs w:val="24"/>
        </w:rPr>
        <w:t>5</w:t>
      </w:r>
      <w:r>
        <w:rPr>
          <w:rFonts w:hint="default" w:ascii="Times New Roman" w:hAnsi="Times New Roman"/>
          <w:b/>
          <w:bCs/>
          <w:color w:val="auto"/>
          <w:sz w:val="24"/>
          <w:szCs w:val="24"/>
        </w:rPr>
        <w:t>评价范围</w:t>
      </w:r>
      <w:bookmarkEnd w:id="103"/>
      <w:bookmarkEnd w:id="104"/>
      <w:bookmarkEnd w:id="105"/>
      <w:bookmarkEnd w:id="106"/>
      <w:bookmarkEnd w:id="107"/>
    </w:p>
    <w:p w14:paraId="3A68A842">
      <w:pPr>
        <w:spacing w:line="480" w:lineRule="exact"/>
        <w:ind w:firstLine="480" w:firstLineChars="200"/>
        <w:rPr>
          <w:color w:val="auto"/>
          <w:sz w:val="24"/>
        </w:rPr>
      </w:pPr>
      <w:r>
        <w:rPr>
          <w:color w:val="auto"/>
          <w:sz w:val="24"/>
        </w:rPr>
        <w:t>本项目评价范围详见表1-4。</w:t>
      </w:r>
    </w:p>
    <w:p w14:paraId="5A8FB70C">
      <w:pPr>
        <w:spacing w:line="360" w:lineRule="auto"/>
        <w:jc w:val="center"/>
        <w:rPr>
          <w:b/>
          <w:color w:val="auto"/>
          <w:sz w:val="24"/>
        </w:rPr>
      </w:pPr>
      <w:r>
        <w:rPr>
          <w:b/>
          <w:color w:val="auto"/>
          <w:sz w:val="24"/>
        </w:rPr>
        <w:t>表1-4  本项目评价范围一览表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2020"/>
        <w:gridCol w:w="4044"/>
        <w:gridCol w:w="2281"/>
      </w:tblGrid>
      <w:tr w14:paraId="350E3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tcBorders>
              <w:tl2br w:val="nil"/>
              <w:tr2bl w:val="nil"/>
            </w:tcBorders>
            <w:shd w:val="clear" w:color="auto" w:fill="auto"/>
            <w:vAlign w:val="center"/>
          </w:tcPr>
          <w:p w14:paraId="225A9FF7">
            <w:pPr>
              <w:spacing w:line="360" w:lineRule="exact"/>
              <w:jc w:val="center"/>
              <w:rPr>
                <w:color w:val="auto"/>
                <w:szCs w:val="21"/>
              </w:rPr>
            </w:pPr>
            <w:r>
              <w:rPr>
                <w:color w:val="auto"/>
                <w:szCs w:val="21"/>
              </w:rPr>
              <w:t>评价要素</w:t>
            </w:r>
          </w:p>
        </w:tc>
        <w:tc>
          <w:tcPr>
            <w:tcW w:w="3077" w:type="pct"/>
            <w:gridSpan w:val="2"/>
            <w:tcBorders>
              <w:tl2br w:val="nil"/>
              <w:tr2bl w:val="nil"/>
            </w:tcBorders>
            <w:shd w:val="clear" w:color="auto" w:fill="auto"/>
            <w:vAlign w:val="center"/>
          </w:tcPr>
          <w:p w14:paraId="4C95B540">
            <w:pPr>
              <w:spacing w:line="360" w:lineRule="exact"/>
              <w:jc w:val="center"/>
              <w:rPr>
                <w:color w:val="auto"/>
                <w:szCs w:val="21"/>
              </w:rPr>
            </w:pPr>
            <w:r>
              <w:rPr>
                <w:color w:val="auto"/>
                <w:szCs w:val="21"/>
              </w:rPr>
              <w:t>评价范围</w:t>
            </w:r>
          </w:p>
        </w:tc>
        <w:tc>
          <w:tcPr>
            <w:tcW w:w="1157" w:type="pct"/>
            <w:tcBorders>
              <w:tl2br w:val="nil"/>
              <w:tr2bl w:val="nil"/>
            </w:tcBorders>
            <w:shd w:val="clear" w:color="auto" w:fill="auto"/>
            <w:vAlign w:val="center"/>
          </w:tcPr>
          <w:p w14:paraId="012639C9">
            <w:pPr>
              <w:spacing w:line="360" w:lineRule="exact"/>
              <w:jc w:val="center"/>
              <w:rPr>
                <w:color w:val="auto"/>
                <w:szCs w:val="21"/>
              </w:rPr>
            </w:pPr>
            <w:r>
              <w:rPr>
                <w:color w:val="auto"/>
                <w:szCs w:val="21"/>
              </w:rPr>
              <w:t>备注</w:t>
            </w:r>
          </w:p>
        </w:tc>
      </w:tr>
      <w:tr w14:paraId="7AAFA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Merge w:val="restart"/>
            <w:tcBorders>
              <w:tl2br w:val="nil"/>
              <w:tr2bl w:val="nil"/>
            </w:tcBorders>
            <w:shd w:val="clear" w:color="auto" w:fill="auto"/>
            <w:vAlign w:val="center"/>
          </w:tcPr>
          <w:p w14:paraId="7322EECD">
            <w:pPr>
              <w:spacing w:line="360" w:lineRule="exact"/>
              <w:jc w:val="center"/>
              <w:rPr>
                <w:color w:val="auto"/>
                <w:szCs w:val="21"/>
              </w:rPr>
            </w:pPr>
            <w:r>
              <w:rPr>
                <w:color w:val="auto"/>
                <w:szCs w:val="21"/>
              </w:rPr>
              <w:t>环境风险</w:t>
            </w:r>
          </w:p>
        </w:tc>
        <w:tc>
          <w:tcPr>
            <w:tcW w:w="1025" w:type="pct"/>
            <w:tcBorders>
              <w:tl2br w:val="nil"/>
              <w:tr2bl w:val="nil"/>
            </w:tcBorders>
            <w:shd w:val="clear" w:color="auto" w:fill="auto"/>
            <w:vAlign w:val="center"/>
          </w:tcPr>
          <w:p w14:paraId="4B1CFC39">
            <w:pPr>
              <w:spacing w:line="360" w:lineRule="exact"/>
              <w:jc w:val="center"/>
              <w:rPr>
                <w:color w:val="auto"/>
                <w:szCs w:val="21"/>
              </w:rPr>
            </w:pPr>
            <w:r>
              <w:rPr>
                <w:color w:val="auto"/>
                <w:szCs w:val="21"/>
              </w:rPr>
              <w:t>大气环境风险</w:t>
            </w:r>
          </w:p>
        </w:tc>
        <w:tc>
          <w:tcPr>
            <w:tcW w:w="2052" w:type="pct"/>
            <w:tcBorders>
              <w:tl2br w:val="nil"/>
              <w:tr2bl w:val="nil"/>
            </w:tcBorders>
            <w:shd w:val="clear" w:color="auto" w:fill="auto"/>
            <w:vAlign w:val="center"/>
          </w:tcPr>
          <w:p w14:paraId="6D081EEF">
            <w:pPr>
              <w:spacing w:line="360" w:lineRule="exact"/>
              <w:jc w:val="center"/>
              <w:rPr>
                <w:color w:val="auto"/>
                <w:szCs w:val="21"/>
              </w:rPr>
            </w:pPr>
            <w:r>
              <w:rPr>
                <w:color w:val="auto"/>
                <w:szCs w:val="21"/>
              </w:rPr>
              <w:t>以项目厂区为中心，半径3km的区域内</w:t>
            </w:r>
          </w:p>
        </w:tc>
        <w:tc>
          <w:tcPr>
            <w:tcW w:w="1157" w:type="pct"/>
            <w:tcBorders>
              <w:tl2br w:val="nil"/>
              <w:tr2bl w:val="nil"/>
            </w:tcBorders>
            <w:shd w:val="clear" w:color="auto" w:fill="auto"/>
            <w:vAlign w:val="center"/>
          </w:tcPr>
          <w:p w14:paraId="50A70275">
            <w:pPr>
              <w:spacing w:line="360" w:lineRule="exact"/>
              <w:jc w:val="center"/>
              <w:rPr>
                <w:color w:val="auto"/>
                <w:szCs w:val="21"/>
              </w:rPr>
            </w:pPr>
            <w:r>
              <w:rPr>
                <w:color w:val="auto"/>
                <w:szCs w:val="21"/>
              </w:rPr>
              <w:t>根据《建设项目环境风险评价技术导则》（HJ169-2018）三级评价距建设项目边界一般不低于3km</w:t>
            </w:r>
          </w:p>
        </w:tc>
      </w:tr>
      <w:tr w14:paraId="3ED9C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Merge w:val="continue"/>
            <w:tcBorders>
              <w:tl2br w:val="nil"/>
              <w:tr2bl w:val="nil"/>
            </w:tcBorders>
            <w:shd w:val="clear" w:color="auto" w:fill="auto"/>
            <w:vAlign w:val="center"/>
          </w:tcPr>
          <w:p w14:paraId="27FBD703">
            <w:pPr>
              <w:spacing w:line="360" w:lineRule="exact"/>
              <w:jc w:val="center"/>
              <w:rPr>
                <w:color w:val="auto"/>
                <w:szCs w:val="21"/>
              </w:rPr>
            </w:pPr>
          </w:p>
        </w:tc>
        <w:tc>
          <w:tcPr>
            <w:tcW w:w="1025" w:type="pct"/>
            <w:tcBorders>
              <w:tl2br w:val="nil"/>
              <w:tr2bl w:val="nil"/>
            </w:tcBorders>
            <w:shd w:val="clear" w:color="auto" w:fill="auto"/>
            <w:vAlign w:val="center"/>
          </w:tcPr>
          <w:p w14:paraId="413C6BBB">
            <w:pPr>
              <w:spacing w:line="360" w:lineRule="exact"/>
              <w:jc w:val="center"/>
              <w:rPr>
                <w:color w:val="auto"/>
                <w:szCs w:val="21"/>
              </w:rPr>
            </w:pPr>
            <w:r>
              <w:rPr>
                <w:color w:val="auto"/>
                <w:szCs w:val="21"/>
              </w:rPr>
              <w:t>地表水环境风险</w:t>
            </w:r>
          </w:p>
        </w:tc>
        <w:tc>
          <w:tcPr>
            <w:tcW w:w="2052" w:type="pct"/>
            <w:tcBorders>
              <w:tl2br w:val="nil"/>
              <w:tr2bl w:val="nil"/>
            </w:tcBorders>
            <w:shd w:val="clear" w:color="auto" w:fill="auto"/>
            <w:vAlign w:val="center"/>
          </w:tcPr>
          <w:p w14:paraId="3EF4E721">
            <w:pPr>
              <w:ind w:firstLine="544"/>
              <w:jc w:val="center"/>
              <w:rPr>
                <w:color w:val="auto"/>
                <w:szCs w:val="21"/>
              </w:rPr>
            </w:pPr>
            <w:r>
              <w:rPr>
                <w:rFonts w:hint="eastAsia"/>
                <w:color w:val="auto"/>
                <w:spacing w:val="16"/>
              </w:rPr>
              <w:t>八虎力河</w:t>
            </w:r>
          </w:p>
        </w:tc>
        <w:tc>
          <w:tcPr>
            <w:tcW w:w="1157" w:type="pct"/>
            <w:tcBorders>
              <w:tl2br w:val="nil"/>
              <w:tr2bl w:val="nil"/>
            </w:tcBorders>
            <w:shd w:val="clear" w:color="auto" w:fill="auto"/>
            <w:vAlign w:val="center"/>
          </w:tcPr>
          <w:p w14:paraId="08F84F45">
            <w:pPr>
              <w:rPr>
                <w:color w:val="auto"/>
                <w:spacing w:val="16"/>
              </w:rPr>
            </w:pPr>
            <w:r>
              <w:rPr>
                <w:rFonts w:hint="eastAsia"/>
                <w:color w:val="auto"/>
                <w:spacing w:val="16"/>
              </w:rPr>
              <w:t>参照《环境影响评价技术导则  地表水环境》（HJ2.3-2018）确定</w:t>
            </w:r>
          </w:p>
        </w:tc>
      </w:tr>
      <w:tr w14:paraId="3698B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5" w:type="pct"/>
            <w:vMerge w:val="continue"/>
            <w:tcBorders>
              <w:tl2br w:val="nil"/>
              <w:tr2bl w:val="nil"/>
            </w:tcBorders>
            <w:shd w:val="clear" w:color="auto" w:fill="auto"/>
            <w:vAlign w:val="center"/>
          </w:tcPr>
          <w:p w14:paraId="0FA33A17">
            <w:pPr>
              <w:spacing w:line="360" w:lineRule="exact"/>
              <w:jc w:val="center"/>
              <w:rPr>
                <w:color w:val="auto"/>
                <w:szCs w:val="21"/>
              </w:rPr>
            </w:pPr>
          </w:p>
        </w:tc>
        <w:tc>
          <w:tcPr>
            <w:tcW w:w="1025" w:type="pct"/>
            <w:tcBorders>
              <w:tl2br w:val="nil"/>
              <w:tr2bl w:val="nil"/>
            </w:tcBorders>
            <w:shd w:val="clear" w:color="auto" w:fill="auto"/>
            <w:vAlign w:val="center"/>
          </w:tcPr>
          <w:p w14:paraId="6E84CA5F">
            <w:pPr>
              <w:spacing w:line="360" w:lineRule="exact"/>
              <w:jc w:val="center"/>
              <w:rPr>
                <w:color w:val="auto"/>
                <w:szCs w:val="21"/>
              </w:rPr>
            </w:pPr>
            <w:r>
              <w:rPr>
                <w:color w:val="auto"/>
                <w:szCs w:val="21"/>
              </w:rPr>
              <w:t>地下水环境风险</w:t>
            </w:r>
          </w:p>
        </w:tc>
        <w:tc>
          <w:tcPr>
            <w:tcW w:w="2052" w:type="pct"/>
            <w:tcBorders>
              <w:tl2br w:val="nil"/>
              <w:tr2bl w:val="nil"/>
            </w:tcBorders>
            <w:shd w:val="clear" w:color="auto" w:fill="auto"/>
            <w:vAlign w:val="center"/>
          </w:tcPr>
          <w:p w14:paraId="0C1890F3">
            <w:pPr>
              <w:spacing w:line="360" w:lineRule="exact"/>
              <w:jc w:val="center"/>
              <w:rPr>
                <w:color w:val="auto"/>
                <w:szCs w:val="21"/>
              </w:rPr>
            </w:pPr>
            <w:r>
              <w:rPr>
                <w:color w:val="auto"/>
                <w:kern w:val="0"/>
                <w:szCs w:val="21"/>
              </w:rPr>
              <w:t>厂址地下水流向上游1km、下游2km、侧向1km合围的6km</w:t>
            </w:r>
            <w:r>
              <w:rPr>
                <w:color w:val="auto"/>
                <w:kern w:val="0"/>
                <w:szCs w:val="21"/>
                <w:vertAlign w:val="superscript"/>
              </w:rPr>
              <w:t>2</w:t>
            </w:r>
            <w:r>
              <w:rPr>
                <w:color w:val="auto"/>
                <w:kern w:val="0"/>
                <w:szCs w:val="21"/>
              </w:rPr>
              <w:t>范围内</w:t>
            </w:r>
          </w:p>
        </w:tc>
        <w:tc>
          <w:tcPr>
            <w:tcW w:w="1157" w:type="pct"/>
            <w:tcBorders>
              <w:tl2br w:val="nil"/>
              <w:tr2bl w:val="nil"/>
            </w:tcBorders>
            <w:shd w:val="clear" w:color="auto" w:fill="auto"/>
            <w:vAlign w:val="center"/>
          </w:tcPr>
          <w:p w14:paraId="520BA625">
            <w:pPr>
              <w:spacing w:line="360" w:lineRule="exact"/>
              <w:jc w:val="center"/>
              <w:rPr>
                <w:color w:val="auto"/>
                <w:szCs w:val="21"/>
              </w:rPr>
            </w:pPr>
            <w:r>
              <w:rPr>
                <w:color w:val="auto"/>
                <w:szCs w:val="21"/>
              </w:rPr>
              <w:t>参照《环境影响评价技术导则  地下水环境》（HJ610-2016）确定</w:t>
            </w:r>
          </w:p>
        </w:tc>
      </w:tr>
    </w:tbl>
    <w:p w14:paraId="5AC638D1">
      <w:pPr>
        <w:pStyle w:val="2"/>
        <w:pageBreakBefore/>
        <w:spacing w:before="323" w:beforeLines="100" w:after="323" w:afterLines="100" w:line="480" w:lineRule="exact"/>
        <w:ind w:left="0"/>
        <w:rPr>
          <w:color w:val="auto"/>
          <w:sz w:val="32"/>
          <w:szCs w:val="32"/>
        </w:rPr>
      </w:pPr>
      <w:bookmarkStart w:id="108" w:name="_Toc10956"/>
      <w:bookmarkStart w:id="109" w:name="_Toc12732"/>
      <w:bookmarkStart w:id="110" w:name="_Toc669"/>
      <w:bookmarkStart w:id="111" w:name="_Toc14619"/>
      <w:r>
        <w:rPr>
          <w:color w:val="auto"/>
          <w:sz w:val="32"/>
          <w:szCs w:val="32"/>
        </w:rPr>
        <w:t>2环境风险调查</w:t>
      </w:r>
      <w:bookmarkEnd w:id="108"/>
      <w:bookmarkEnd w:id="109"/>
      <w:bookmarkEnd w:id="110"/>
      <w:bookmarkEnd w:id="111"/>
    </w:p>
    <w:p w14:paraId="7663CAD8">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2.1环境风险源调查</w:t>
      </w:r>
    </w:p>
    <w:p w14:paraId="2A8D0063">
      <w:pPr>
        <w:adjustRightInd w:val="0"/>
        <w:snapToGrid w:val="0"/>
        <w:spacing w:line="360" w:lineRule="auto"/>
        <w:ind w:firstLine="480" w:firstLineChars="200"/>
        <w:rPr>
          <w:color w:val="auto"/>
          <w:sz w:val="24"/>
        </w:rPr>
      </w:pPr>
      <w:r>
        <w:rPr>
          <w:rFonts w:hint="eastAsia"/>
          <w:color w:val="auto"/>
          <w:sz w:val="24"/>
        </w:rPr>
        <w:t>本项目为</w:t>
      </w:r>
      <w:r>
        <w:rPr>
          <w:rFonts w:hint="eastAsia"/>
          <w:color w:val="auto"/>
          <w:sz w:val="24"/>
          <w:lang w:eastAsia="zh-CN"/>
        </w:rPr>
        <w:t>黑龙江宏昌生物科技有限公司日加工500吨大豆（米糠）双生产线建设项目（重新报批）</w:t>
      </w:r>
      <w:r>
        <w:rPr>
          <w:rFonts w:hint="eastAsia"/>
          <w:color w:val="auto"/>
          <w:sz w:val="24"/>
        </w:rPr>
        <w:t>，设置2座储罐，存储正己烷，为新建生产设施提供溶剂，储罐容积均为54.5m</w:t>
      </w:r>
      <w:r>
        <w:rPr>
          <w:rFonts w:hint="eastAsia"/>
          <w:color w:val="auto"/>
          <w:sz w:val="24"/>
          <w:vertAlign w:val="superscript"/>
        </w:rPr>
        <w:t>3</w:t>
      </w:r>
      <w:r>
        <w:rPr>
          <w:rFonts w:hint="eastAsia"/>
          <w:color w:val="auto"/>
          <w:sz w:val="24"/>
        </w:rPr>
        <w:t>。</w:t>
      </w:r>
    </w:p>
    <w:p w14:paraId="79DC3696">
      <w:pPr>
        <w:adjustRightInd w:val="0"/>
        <w:snapToGrid w:val="0"/>
        <w:spacing w:line="360" w:lineRule="auto"/>
        <w:ind w:firstLine="480" w:firstLineChars="200"/>
        <w:rPr>
          <w:color w:val="auto"/>
          <w:sz w:val="24"/>
        </w:rPr>
      </w:pPr>
      <w:r>
        <w:rPr>
          <w:rFonts w:hint="eastAsia"/>
          <w:color w:val="auto"/>
          <w:sz w:val="24"/>
        </w:rPr>
        <w:t>根据《建设项目环境风险评价技术导则》（HJ169-2018）附录B.1突发环境事件风险物质及临界量对比，本</w:t>
      </w:r>
      <w:r>
        <w:rPr>
          <w:rFonts w:hint="eastAsia"/>
          <w:color w:val="auto"/>
          <w:sz w:val="24"/>
          <w:lang w:eastAsia="zh-CN"/>
        </w:rPr>
        <w:t>项目</w:t>
      </w:r>
      <w:r>
        <w:rPr>
          <w:rFonts w:hint="eastAsia"/>
          <w:color w:val="auto"/>
          <w:sz w:val="24"/>
        </w:rPr>
        <w:t>厂址地下水流向上游1km、下游2km、侧向1km合围的6km</w:t>
      </w:r>
      <w:r>
        <w:rPr>
          <w:rFonts w:hint="eastAsia"/>
          <w:color w:val="auto"/>
          <w:sz w:val="24"/>
          <w:vertAlign w:val="superscript"/>
        </w:rPr>
        <w:t>2</w:t>
      </w:r>
      <w:r>
        <w:rPr>
          <w:rFonts w:hint="eastAsia"/>
          <w:color w:val="auto"/>
          <w:sz w:val="24"/>
        </w:rPr>
        <w:t>范围内为桦南镇，不存在饮用水水源地。</w:t>
      </w:r>
      <w:r>
        <w:rPr>
          <w:rFonts w:hint="eastAsia"/>
          <w:color w:val="auto"/>
          <w:sz w:val="24"/>
          <w:lang w:eastAsia="zh-CN"/>
        </w:rPr>
        <w:t>目前</w:t>
      </w:r>
      <w:r>
        <w:rPr>
          <w:rFonts w:hint="eastAsia"/>
          <w:color w:val="auto"/>
          <w:sz w:val="24"/>
        </w:rPr>
        <w:t>涉及的正己烷为重点关注的环境风险物质，环境风险物质储存情况见下表。</w:t>
      </w:r>
    </w:p>
    <w:p w14:paraId="59787D6C">
      <w:pPr>
        <w:spacing w:line="360" w:lineRule="auto"/>
        <w:jc w:val="center"/>
        <w:rPr>
          <w:b/>
          <w:color w:val="auto"/>
          <w:sz w:val="24"/>
        </w:rPr>
      </w:pPr>
      <w:r>
        <w:rPr>
          <w:b/>
          <w:color w:val="auto"/>
          <w:sz w:val="24"/>
        </w:rPr>
        <w:t>表 2-1 本项目重点关注的环境风险物质储存情况一览表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3"/>
        <w:gridCol w:w="2463"/>
        <w:gridCol w:w="2463"/>
        <w:gridCol w:w="2464"/>
      </w:tblGrid>
      <w:tr w14:paraId="72887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3" w:type="dxa"/>
            <w:tcBorders>
              <w:tl2br w:val="nil"/>
              <w:tr2bl w:val="nil"/>
            </w:tcBorders>
            <w:vAlign w:val="center"/>
          </w:tcPr>
          <w:p w14:paraId="78160C36">
            <w:pPr>
              <w:widowControl/>
              <w:jc w:val="center"/>
              <w:rPr>
                <w:color w:val="auto"/>
                <w:kern w:val="0"/>
                <w:szCs w:val="21"/>
                <w:lang w:bidi="ar"/>
              </w:rPr>
            </w:pPr>
            <w:r>
              <w:rPr>
                <w:color w:val="auto"/>
                <w:kern w:val="0"/>
                <w:szCs w:val="21"/>
                <w:lang w:bidi="ar"/>
              </w:rPr>
              <w:t>物质名称</w:t>
            </w:r>
          </w:p>
        </w:tc>
        <w:tc>
          <w:tcPr>
            <w:tcW w:w="2463" w:type="dxa"/>
            <w:tcBorders>
              <w:tl2br w:val="nil"/>
              <w:tr2bl w:val="nil"/>
            </w:tcBorders>
            <w:vAlign w:val="center"/>
          </w:tcPr>
          <w:p w14:paraId="6F8E3365">
            <w:pPr>
              <w:widowControl/>
              <w:jc w:val="center"/>
              <w:rPr>
                <w:color w:val="auto"/>
                <w:kern w:val="0"/>
                <w:szCs w:val="21"/>
                <w:lang w:bidi="ar"/>
              </w:rPr>
            </w:pPr>
            <w:r>
              <w:rPr>
                <w:color w:val="auto"/>
                <w:kern w:val="0"/>
                <w:szCs w:val="21"/>
                <w:lang w:bidi="ar"/>
              </w:rPr>
              <w:t>储罐容积（m</w:t>
            </w:r>
            <w:r>
              <w:rPr>
                <w:color w:val="auto"/>
                <w:kern w:val="0"/>
                <w:szCs w:val="21"/>
                <w:vertAlign w:val="superscript"/>
                <w:lang w:bidi="ar"/>
              </w:rPr>
              <w:t>3</w:t>
            </w:r>
            <w:r>
              <w:rPr>
                <w:color w:val="auto"/>
                <w:kern w:val="0"/>
                <w:szCs w:val="21"/>
                <w:lang w:bidi="ar"/>
              </w:rPr>
              <w:t>）</w:t>
            </w:r>
          </w:p>
        </w:tc>
        <w:tc>
          <w:tcPr>
            <w:tcW w:w="2463" w:type="dxa"/>
            <w:tcBorders>
              <w:tl2br w:val="nil"/>
              <w:tr2bl w:val="nil"/>
            </w:tcBorders>
            <w:vAlign w:val="center"/>
          </w:tcPr>
          <w:p w14:paraId="168C2CC8">
            <w:pPr>
              <w:widowControl/>
              <w:jc w:val="center"/>
              <w:rPr>
                <w:color w:val="auto"/>
                <w:kern w:val="0"/>
                <w:szCs w:val="21"/>
                <w:lang w:bidi="ar"/>
              </w:rPr>
            </w:pPr>
            <w:r>
              <w:rPr>
                <w:color w:val="auto"/>
                <w:kern w:val="0"/>
                <w:szCs w:val="21"/>
                <w:lang w:bidi="ar"/>
              </w:rPr>
              <w:t>物质密度</w:t>
            </w:r>
          </w:p>
        </w:tc>
        <w:tc>
          <w:tcPr>
            <w:tcW w:w="2464" w:type="dxa"/>
            <w:tcBorders>
              <w:tl2br w:val="nil"/>
              <w:tr2bl w:val="nil"/>
            </w:tcBorders>
            <w:vAlign w:val="center"/>
          </w:tcPr>
          <w:p w14:paraId="69502439">
            <w:pPr>
              <w:widowControl/>
              <w:jc w:val="center"/>
              <w:rPr>
                <w:color w:val="auto"/>
                <w:kern w:val="0"/>
                <w:szCs w:val="21"/>
                <w:lang w:bidi="ar"/>
              </w:rPr>
            </w:pPr>
            <w:r>
              <w:rPr>
                <w:color w:val="auto"/>
                <w:kern w:val="0"/>
                <w:szCs w:val="21"/>
                <w:lang w:bidi="ar"/>
              </w:rPr>
              <w:t>最大存储量（t）</w:t>
            </w:r>
          </w:p>
        </w:tc>
      </w:tr>
      <w:tr w14:paraId="51BB9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63" w:type="dxa"/>
            <w:tcBorders>
              <w:tl2br w:val="nil"/>
              <w:tr2bl w:val="nil"/>
            </w:tcBorders>
            <w:vAlign w:val="center"/>
          </w:tcPr>
          <w:p w14:paraId="6B631FE6">
            <w:pPr>
              <w:widowControl/>
              <w:jc w:val="center"/>
              <w:rPr>
                <w:color w:val="auto"/>
                <w:kern w:val="0"/>
                <w:szCs w:val="21"/>
                <w:lang w:bidi="ar"/>
              </w:rPr>
            </w:pPr>
            <w:r>
              <w:rPr>
                <w:rFonts w:hint="eastAsia"/>
                <w:color w:val="auto"/>
                <w:kern w:val="0"/>
                <w:szCs w:val="21"/>
                <w:lang w:bidi="ar"/>
              </w:rPr>
              <w:t>正己烷</w:t>
            </w:r>
          </w:p>
        </w:tc>
        <w:tc>
          <w:tcPr>
            <w:tcW w:w="2463" w:type="dxa"/>
            <w:tcBorders>
              <w:tl2br w:val="nil"/>
              <w:tr2bl w:val="nil"/>
            </w:tcBorders>
            <w:vAlign w:val="center"/>
          </w:tcPr>
          <w:p w14:paraId="53F50BE6">
            <w:pPr>
              <w:widowControl/>
              <w:jc w:val="center"/>
              <w:rPr>
                <w:color w:val="auto"/>
                <w:kern w:val="0"/>
                <w:szCs w:val="21"/>
                <w:lang w:bidi="ar"/>
              </w:rPr>
            </w:pPr>
            <w:r>
              <w:rPr>
                <w:rFonts w:hint="eastAsia"/>
                <w:color w:val="auto"/>
                <w:kern w:val="0"/>
                <w:szCs w:val="21"/>
                <w:lang w:bidi="ar"/>
              </w:rPr>
              <w:t>109</w:t>
            </w:r>
          </w:p>
        </w:tc>
        <w:tc>
          <w:tcPr>
            <w:tcW w:w="2463" w:type="dxa"/>
            <w:tcBorders>
              <w:tl2br w:val="nil"/>
              <w:tr2bl w:val="nil"/>
            </w:tcBorders>
            <w:vAlign w:val="center"/>
          </w:tcPr>
          <w:p w14:paraId="28D3B35A">
            <w:pPr>
              <w:widowControl/>
              <w:jc w:val="center"/>
              <w:rPr>
                <w:color w:val="auto"/>
                <w:kern w:val="0"/>
                <w:szCs w:val="21"/>
                <w:lang w:bidi="ar"/>
              </w:rPr>
            </w:pPr>
            <w:r>
              <w:rPr>
                <w:color w:val="auto"/>
                <w:kern w:val="0"/>
                <w:szCs w:val="21"/>
                <w:lang w:bidi="ar"/>
              </w:rPr>
              <w:t>0.</w:t>
            </w:r>
            <w:r>
              <w:rPr>
                <w:rFonts w:hint="eastAsia"/>
                <w:color w:val="auto"/>
                <w:kern w:val="0"/>
                <w:szCs w:val="21"/>
                <w:lang w:bidi="ar"/>
              </w:rPr>
              <w:t>66</w:t>
            </w:r>
            <w:r>
              <w:rPr>
                <w:color w:val="auto"/>
                <w:kern w:val="0"/>
                <w:szCs w:val="21"/>
                <w:lang w:bidi="ar"/>
              </w:rPr>
              <w:t>g/cm</w:t>
            </w:r>
            <w:r>
              <w:rPr>
                <w:color w:val="auto"/>
                <w:kern w:val="0"/>
                <w:szCs w:val="21"/>
                <w:vertAlign w:val="superscript"/>
                <w:lang w:bidi="ar"/>
              </w:rPr>
              <w:t>3</w:t>
            </w:r>
          </w:p>
        </w:tc>
        <w:tc>
          <w:tcPr>
            <w:tcW w:w="2464" w:type="dxa"/>
            <w:tcBorders>
              <w:tl2br w:val="nil"/>
              <w:tr2bl w:val="nil"/>
            </w:tcBorders>
            <w:vAlign w:val="center"/>
          </w:tcPr>
          <w:p w14:paraId="461B2D81">
            <w:pPr>
              <w:widowControl/>
              <w:jc w:val="center"/>
              <w:rPr>
                <w:color w:val="auto"/>
                <w:kern w:val="0"/>
                <w:szCs w:val="21"/>
                <w:lang w:bidi="ar"/>
              </w:rPr>
            </w:pPr>
            <w:r>
              <w:rPr>
                <w:rFonts w:hint="eastAsia"/>
                <w:color w:val="auto"/>
                <w:kern w:val="0"/>
                <w:szCs w:val="21"/>
                <w:lang w:bidi="ar"/>
              </w:rPr>
              <w:t>72</w:t>
            </w:r>
          </w:p>
        </w:tc>
      </w:tr>
    </w:tbl>
    <w:p w14:paraId="3B26A3A1">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2.2环境敏感目标调查</w:t>
      </w:r>
    </w:p>
    <w:p w14:paraId="7EF19483">
      <w:pPr>
        <w:adjustRightInd w:val="0"/>
        <w:snapToGrid w:val="0"/>
        <w:spacing w:line="360" w:lineRule="auto"/>
        <w:ind w:firstLine="480" w:firstLineChars="200"/>
        <w:rPr>
          <w:color w:val="auto"/>
          <w:sz w:val="24"/>
        </w:rPr>
      </w:pPr>
      <w:r>
        <w:rPr>
          <w:rFonts w:hint="eastAsia"/>
          <w:color w:val="auto"/>
          <w:sz w:val="24"/>
        </w:rPr>
        <w:t>经现场调查，本评价环境保护目标主要为评价区范围内受项目排污影响的环境空气、地表水环境、地下水及声环境。项目通过对评价范围内的人群分布情况进行调查，确定本项目的环境保护目标，具体见表2-2和表2-3。</w:t>
      </w:r>
    </w:p>
    <w:p w14:paraId="68A5D840">
      <w:pPr>
        <w:spacing w:line="360" w:lineRule="auto"/>
        <w:jc w:val="center"/>
        <w:rPr>
          <w:b/>
          <w:color w:val="auto"/>
          <w:sz w:val="24"/>
        </w:rPr>
      </w:pPr>
      <w:r>
        <w:rPr>
          <w:b/>
          <w:color w:val="auto"/>
          <w:sz w:val="24"/>
        </w:rPr>
        <w:t>表2-2  项目</w:t>
      </w:r>
      <w:r>
        <w:rPr>
          <w:rFonts w:hint="eastAsia"/>
          <w:b/>
          <w:color w:val="auto"/>
          <w:sz w:val="24"/>
          <w:lang w:val="en-US" w:eastAsia="zh-CN"/>
        </w:rPr>
        <w:t>大气</w:t>
      </w:r>
      <w:r>
        <w:rPr>
          <w:b/>
          <w:color w:val="auto"/>
          <w:sz w:val="24"/>
        </w:rPr>
        <w:t>环境</w:t>
      </w:r>
      <w:r>
        <w:rPr>
          <w:rFonts w:hint="eastAsia"/>
          <w:b/>
          <w:color w:val="auto"/>
          <w:sz w:val="24"/>
        </w:rPr>
        <w:t>风险</w:t>
      </w:r>
      <w:r>
        <w:rPr>
          <w:b/>
          <w:color w:val="auto"/>
          <w:sz w:val="24"/>
        </w:rPr>
        <w:t>护目标一览表</w:t>
      </w:r>
    </w:p>
    <w:tbl>
      <w:tblPr>
        <w:tblStyle w:val="3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403"/>
        <w:gridCol w:w="1283"/>
        <w:gridCol w:w="1166"/>
        <w:gridCol w:w="1194"/>
        <w:gridCol w:w="1194"/>
        <w:gridCol w:w="1105"/>
        <w:gridCol w:w="1283"/>
      </w:tblGrid>
      <w:tr w14:paraId="6B6B4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vMerge w:val="restart"/>
            <w:shd w:val="clear" w:color="auto" w:fill="auto"/>
            <w:vAlign w:val="center"/>
          </w:tcPr>
          <w:p w14:paraId="0DDFDAF4">
            <w:pPr>
              <w:autoSpaceDE w:val="0"/>
              <w:autoSpaceDN w:val="0"/>
              <w:contextualSpacing/>
              <w:jc w:val="center"/>
              <w:rPr>
                <w:color w:val="auto"/>
                <w:szCs w:val="18"/>
              </w:rPr>
            </w:pPr>
            <w:r>
              <w:rPr>
                <w:color w:val="auto"/>
                <w:szCs w:val="18"/>
              </w:rPr>
              <w:t>名称</w:t>
            </w:r>
          </w:p>
        </w:tc>
        <w:tc>
          <w:tcPr>
            <w:tcW w:w="1363" w:type="pct"/>
            <w:gridSpan w:val="2"/>
            <w:shd w:val="clear" w:color="auto" w:fill="auto"/>
            <w:vAlign w:val="center"/>
          </w:tcPr>
          <w:p w14:paraId="118B8994">
            <w:pPr>
              <w:autoSpaceDE w:val="0"/>
              <w:autoSpaceDN w:val="0"/>
              <w:contextualSpacing/>
              <w:jc w:val="center"/>
              <w:rPr>
                <w:color w:val="auto"/>
                <w:szCs w:val="18"/>
              </w:rPr>
            </w:pPr>
            <w:r>
              <w:rPr>
                <w:color w:val="auto"/>
                <w:szCs w:val="18"/>
              </w:rPr>
              <w:t>坐标</w:t>
            </w:r>
          </w:p>
        </w:tc>
        <w:tc>
          <w:tcPr>
            <w:tcW w:w="592" w:type="pct"/>
            <w:vMerge w:val="restart"/>
            <w:shd w:val="clear" w:color="auto" w:fill="auto"/>
            <w:vAlign w:val="center"/>
          </w:tcPr>
          <w:p w14:paraId="50180C01">
            <w:pPr>
              <w:autoSpaceDE w:val="0"/>
              <w:autoSpaceDN w:val="0"/>
              <w:contextualSpacing/>
              <w:jc w:val="center"/>
              <w:rPr>
                <w:color w:val="auto"/>
                <w:szCs w:val="18"/>
              </w:rPr>
            </w:pPr>
            <w:r>
              <w:rPr>
                <w:color w:val="auto"/>
                <w:szCs w:val="18"/>
              </w:rPr>
              <w:t>保护对象</w:t>
            </w:r>
          </w:p>
        </w:tc>
        <w:tc>
          <w:tcPr>
            <w:tcW w:w="606" w:type="pct"/>
            <w:vMerge w:val="restart"/>
            <w:shd w:val="clear" w:color="auto" w:fill="auto"/>
            <w:vAlign w:val="center"/>
          </w:tcPr>
          <w:p w14:paraId="68F5EC89">
            <w:pPr>
              <w:autoSpaceDE w:val="0"/>
              <w:autoSpaceDN w:val="0"/>
              <w:contextualSpacing/>
              <w:jc w:val="center"/>
              <w:rPr>
                <w:rFonts w:hint="default" w:eastAsia="宋体"/>
                <w:color w:val="auto"/>
                <w:szCs w:val="18"/>
                <w:lang w:val="en-US" w:eastAsia="zh-CN"/>
              </w:rPr>
            </w:pPr>
            <w:r>
              <w:rPr>
                <w:color w:val="auto"/>
                <w:szCs w:val="18"/>
              </w:rPr>
              <w:t>保护内容</w:t>
            </w:r>
            <w:r>
              <w:rPr>
                <w:rFonts w:hint="eastAsia"/>
                <w:color w:val="auto"/>
                <w:szCs w:val="18"/>
                <w:lang w:eastAsia="zh-CN"/>
              </w:rPr>
              <w:t>（</w:t>
            </w:r>
            <w:r>
              <w:rPr>
                <w:rFonts w:hint="eastAsia"/>
                <w:color w:val="auto"/>
                <w:szCs w:val="18"/>
                <w:lang w:val="en-US" w:eastAsia="zh-CN"/>
              </w:rPr>
              <w:t>人）</w:t>
            </w:r>
          </w:p>
        </w:tc>
        <w:tc>
          <w:tcPr>
            <w:tcW w:w="606" w:type="pct"/>
            <w:vMerge w:val="restart"/>
            <w:shd w:val="clear" w:color="auto" w:fill="auto"/>
            <w:vAlign w:val="center"/>
          </w:tcPr>
          <w:p w14:paraId="44A33BFE">
            <w:pPr>
              <w:autoSpaceDE w:val="0"/>
              <w:autoSpaceDN w:val="0"/>
              <w:contextualSpacing/>
              <w:jc w:val="center"/>
              <w:rPr>
                <w:color w:val="auto"/>
                <w:szCs w:val="18"/>
              </w:rPr>
            </w:pPr>
            <w:r>
              <w:rPr>
                <w:color w:val="auto"/>
                <w:szCs w:val="18"/>
              </w:rPr>
              <w:t>环境功能区</w:t>
            </w:r>
          </w:p>
        </w:tc>
        <w:tc>
          <w:tcPr>
            <w:tcW w:w="561" w:type="pct"/>
            <w:vMerge w:val="restart"/>
            <w:shd w:val="clear" w:color="auto" w:fill="auto"/>
            <w:vAlign w:val="center"/>
          </w:tcPr>
          <w:p w14:paraId="7CF482CA">
            <w:pPr>
              <w:autoSpaceDE w:val="0"/>
              <w:autoSpaceDN w:val="0"/>
              <w:contextualSpacing/>
              <w:jc w:val="center"/>
              <w:rPr>
                <w:color w:val="auto"/>
                <w:szCs w:val="18"/>
              </w:rPr>
            </w:pPr>
            <w:r>
              <w:rPr>
                <w:color w:val="auto"/>
                <w:szCs w:val="18"/>
              </w:rPr>
              <w:t>相对厂址方位</w:t>
            </w:r>
          </w:p>
        </w:tc>
        <w:tc>
          <w:tcPr>
            <w:tcW w:w="651" w:type="pct"/>
            <w:vMerge w:val="restart"/>
            <w:shd w:val="clear" w:color="auto" w:fill="auto"/>
            <w:vAlign w:val="center"/>
          </w:tcPr>
          <w:p w14:paraId="0CAF50E6">
            <w:pPr>
              <w:autoSpaceDE w:val="0"/>
              <w:autoSpaceDN w:val="0"/>
              <w:contextualSpacing/>
              <w:jc w:val="center"/>
              <w:rPr>
                <w:color w:val="auto"/>
                <w:szCs w:val="18"/>
              </w:rPr>
            </w:pPr>
            <w:r>
              <w:rPr>
                <w:color w:val="auto"/>
                <w:szCs w:val="18"/>
              </w:rPr>
              <w:t>相对厂界距离/m</w:t>
            </w:r>
          </w:p>
        </w:tc>
      </w:tr>
      <w:tr w14:paraId="58AA3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vMerge w:val="continue"/>
            <w:vAlign w:val="center"/>
          </w:tcPr>
          <w:p w14:paraId="4EF0C2E6">
            <w:pPr>
              <w:autoSpaceDE w:val="0"/>
              <w:autoSpaceDN w:val="0"/>
              <w:contextualSpacing/>
              <w:jc w:val="center"/>
              <w:rPr>
                <w:color w:val="auto"/>
                <w:szCs w:val="18"/>
              </w:rPr>
            </w:pPr>
          </w:p>
        </w:tc>
        <w:tc>
          <w:tcPr>
            <w:tcW w:w="712" w:type="pct"/>
            <w:shd w:val="clear" w:color="auto" w:fill="auto"/>
            <w:vAlign w:val="center"/>
          </w:tcPr>
          <w:p w14:paraId="5631CEF2">
            <w:pPr>
              <w:autoSpaceDE w:val="0"/>
              <w:autoSpaceDN w:val="0"/>
              <w:contextualSpacing/>
              <w:jc w:val="center"/>
              <w:rPr>
                <w:color w:val="auto"/>
                <w:szCs w:val="18"/>
              </w:rPr>
            </w:pPr>
            <w:r>
              <w:rPr>
                <w:color w:val="auto"/>
                <w:szCs w:val="18"/>
              </w:rPr>
              <w:t>E</w:t>
            </w:r>
          </w:p>
        </w:tc>
        <w:tc>
          <w:tcPr>
            <w:tcW w:w="651" w:type="pct"/>
            <w:shd w:val="clear" w:color="auto" w:fill="auto"/>
            <w:vAlign w:val="center"/>
          </w:tcPr>
          <w:p w14:paraId="5AD592B4">
            <w:pPr>
              <w:autoSpaceDE w:val="0"/>
              <w:autoSpaceDN w:val="0"/>
              <w:contextualSpacing/>
              <w:jc w:val="center"/>
              <w:rPr>
                <w:color w:val="auto"/>
                <w:szCs w:val="18"/>
              </w:rPr>
            </w:pPr>
            <w:r>
              <w:rPr>
                <w:color w:val="auto"/>
                <w:szCs w:val="18"/>
              </w:rPr>
              <w:t>N</w:t>
            </w:r>
          </w:p>
        </w:tc>
        <w:tc>
          <w:tcPr>
            <w:tcW w:w="592" w:type="pct"/>
            <w:vMerge w:val="continue"/>
            <w:vAlign w:val="center"/>
          </w:tcPr>
          <w:p w14:paraId="4A6F6748">
            <w:pPr>
              <w:autoSpaceDE w:val="0"/>
              <w:autoSpaceDN w:val="0"/>
              <w:contextualSpacing/>
              <w:jc w:val="center"/>
              <w:rPr>
                <w:color w:val="auto"/>
                <w:szCs w:val="18"/>
              </w:rPr>
            </w:pPr>
          </w:p>
        </w:tc>
        <w:tc>
          <w:tcPr>
            <w:tcW w:w="606" w:type="pct"/>
            <w:vMerge w:val="continue"/>
            <w:vAlign w:val="center"/>
          </w:tcPr>
          <w:p w14:paraId="6BE33FEC">
            <w:pPr>
              <w:autoSpaceDE w:val="0"/>
              <w:autoSpaceDN w:val="0"/>
              <w:contextualSpacing/>
              <w:jc w:val="center"/>
              <w:rPr>
                <w:color w:val="auto"/>
                <w:szCs w:val="18"/>
              </w:rPr>
            </w:pPr>
          </w:p>
        </w:tc>
        <w:tc>
          <w:tcPr>
            <w:tcW w:w="606" w:type="pct"/>
            <w:vMerge w:val="continue"/>
            <w:vAlign w:val="center"/>
          </w:tcPr>
          <w:p w14:paraId="7609DF87">
            <w:pPr>
              <w:autoSpaceDE w:val="0"/>
              <w:autoSpaceDN w:val="0"/>
              <w:contextualSpacing/>
              <w:jc w:val="center"/>
              <w:rPr>
                <w:color w:val="auto"/>
                <w:szCs w:val="18"/>
              </w:rPr>
            </w:pPr>
          </w:p>
        </w:tc>
        <w:tc>
          <w:tcPr>
            <w:tcW w:w="561" w:type="pct"/>
            <w:vMerge w:val="continue"/>
            <w:vAlign w:val="center"/>
          </w:tcPr>
          <w:p w14:paraId="2A2FA832">
            <w:pPr>
              <w:autoSpaceDE w:val="0"/>
              <w:autoSpaceDN w:val="0"/>
              <w:contextualSpacing/>
              <w:jc w:val="center"/>
              <w:rPr>
                <w:color w:val="auto"/>
                <w:szCs w:val="18"/>
              </w:rPr>
            </w:pPr>
          </w:p>
        </w:tc>
        <w:tc>
          <w:tcPr>
            <w:tcW w:w="651" w:type="pct"/>
            <w:vMerge w:val="continue"/>
            <w:vAlign w:val="center"/>
          </w:tcPr>
          <w:p w14:paraId="10304676">
            <w:pPr>
              <w:autoSpaceDE w:val="0"/>
              <w:autoSpaceDN w:val="0"/>
              <w:contextualSpacing/>
              <w:jc w:val="center"/>
              <w:rPr>
                <w:color w:val="auto"/>
                <w:szCs w:val="18"/>
              </w:rPr>
            </w:pPr>
          </w:p>
        </w:tc>
      </w:tr>
      <w:tr w14:paraId="643FA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045F5E89">
            <w:pPr>
              <w:autoSpaceDE w:val="0"/>
              <w:autoSpaceDN w:val="0"/>
              <w:contextualSpacing/>
              <w:jc w:val="center"/>
              <w:rPr>
                <w:color w:val="auto"/>
                <w:szCs w:val="18"/>
              </w:rPr>
            </w:pPr>
            <w:r>
              <w:rPr>
                <w:rFonts w:hint="eastAsia"/>
                <w:color w:val="auto"/>
                <w:szCs w:val="18"/>
              </w:rPr>
              <w:t>镇丰村</w:t>
            </w:r>
          </w:p>
        </w:tc>
        <w:tc>
          <w:tcPr>
            <w:tcW w:w="712" w:type="pct"/>
            <w:shd w:val="clear" w:color="auto" w:fill="auto"/>
            <w:noWrap/>
            <w:vAlign w:val="center"/>
          </w:tcPr>
          <w:p w14:paraId="707ED255">
            <w:pPr>
              <w:autoSpaceDE w:val="0"/>
              <w:autoSpaceDN w:val="0"/>
              <w:contextualSpacing/>
              <w:jc w:val="center"/>
              <w:rPr>
                <w:color w:val="auto"/>
                <w:szCs w:val="18"/>
              </w:rPr>
            </w:pPr>
            <w:r>
              <w:rPr>
                <w:rFonts w:hint="eastAsia"/>
                <w:color w:val="auto"/>
                <w:szCs w:val="18"/>
              </w:rPr>
              <w:t>130.549893</w:t>
            </w:r>
          </w:p>
        </w:tc>
        <w:tc>
          <w:tcPr>
            <w:tcW w:w="651" w:type="pct"/>
            <w:shd w:val="clear" w:color="auto" w:fill="auto"/>
            <w:noWrap/>
            <w:vAlign w:val="center"/>
          </w:tcPr>
          <w:p w14:paraId="333A6067">
            <w:pPr>
              <w:autoSpaceDE w:val="0"/>
              <w:autoSpaceDN w:val="0"/>
              <w:contextualSpacing/>
              <w:jc w:val="center"/>
              <w:rPr>
                <w:color w:val="auto"/>
                <w:szCs w:val="18"/>
              </w:rPr>
            </w:pPr>
            <w:r>
              <w:rPr>
                <w:rFonts w:hint="eastAsia"/>
                <w:color w:val="auto"/>
                <w:szCs w:val="18"/>
              </w:rPr>
              <w:t>46.239886</w:t>
            </w:r>
          </w:p>
        </w:tc>
        <w:tc>
          <w:tcPr>
            <w:tcW w:w="592" w:type="pct"/>
            <w:shd w:val="clear" w:color="auto" w:fill="auto"/>
            <w:noWrap/>
            <w:vAlign w:val="center"/>
          </w:tcPr>
          <w:p w14:paraId="762BB2BA">
            <w:pPr>
              <w:autoSpaceDE w:val="0"/>
              <w:autoSpaceDN w:val="0"/>
              <w:contextualSpacing/>
              <w:jc w:val="center"/>
              <w:rPr>
                <w:color w:val="auto"/>
                <w:szCs w:val="18"/>
              </w:rPr>
            </w:pPr>
            <w:r>
              <w:rPr>
                <w:color w:val="auto"/>
                <w:szCs w:val="21"/>
              </w:rPr>
              <w:t>居住区</w:t>
            </w:r>
          </w:p>
        </w:tc>
        <w:tc>
          <w:tcPr>
            <w:tcW w:w="606" w:type="pct"/>
            <w:shd w:val="clear" w:color="auto" w:fill="auto"/>
            <w:noWrap/>
            <w:vAlign w:val="center"/>
          </w:tcPr>
          <w:p w14:paraId="2B337CAC">
            <w:pPr>
              <w:autoSpaceDE w:val="0"/>
              <w:autoSpaceDN w:val="0"/>
              <w:contextualSpacing/>
              <w:jc w:val="center"/>
              <w:rPr>
                <w:color w:val="auto"/>
                <w:szCs w:val="18"/>
              </w:rPr>
            </w:pPr>
            <w:r>
              <w:rPr>
                <w:rFonts w:hint="eastAsia"/>
                <w:color w:val="auto"/>
                <w:szCs w:val="18"/>
              </w:rPr>
              <w:t>200</w:t>
            </w:r>
          </w:p>
        </w:tc>
        <w:tc>
          <w:tcPr>
            <w:tcW w:w="606" w:type="pct"/>
            <w:shd w:val="clear" w:color="auto" w:fill="auto"/>
            <w:noWrap/>
            <w:vAlign w:val="center"/>
          </w:tcPr>
          <w:p w14:paraId="2827D29C">
            <w:pPr>
              <w:autoSpaceDE w:val="0"/>
              <w:autoSpaceDN w:val="0"/>
              <w:contextualSpacing/>
              <w:jc w:val="center"/>
              <w:rPr>
                <w:color w:val="auto"/>
                <w:szCs w:val="18"/>
              </w:rPr>
            </w:pPr>
            <w:r>
              <w:rPr>
                <w:rFonts w:hint="eastAsia"/>
                <w:color w:val="auto"/>
                <w:szCs w:val="18"/>
              </w:rPr>
              <w:t>二类</w:t>
            </w:r>
          </w:p>
        </w:tc>
        <w:tc>
          <w:tcPr>
            <w:tcW w:w="561" w:type="pct"/>
            <w:shd w:val="clear" w:color="auto" w:fill="auto"/>
            <w:noWrap/>
            <w:vAlign w:val="center"/>
          </w:tcPr>
          <w:p w14:paraId="6462CD45">
            <w:pPr>
              <w:autoSpaceDE w:val="0"/>
              <w:autoSpaceDN w:val="0"/>
              <w:contextualSpacing/>
              <w:jc w:val="center"/>
              <w:rPr>
                <w:color w:val="auto"/>
                <w:szCs w:val="18"/>
              </w:rPr>
            </w:pPr>
            <w:r>
              <w:rPr>
                <w:color w:val="auto"/>
                <w:szCs w:val="18"/>
              </w:rPr>
              <w:t>SW</w:t>
            </w:r>
          </w:p>
        </w:tc>
        <w:tc>
          <w:tcPr>
            <w:tcW w:w="651" w:type="pct"/>
            <w:shd w:val="clear" w:color="auto" w:fill="auto"/>
            <w:noWrap/>
            <w:vAlign w:val="center"/>
          </w:tcPr>
          <w:p w14:paraId="7DD9A2F3">
            <w:pPr>
              <w:autoSpaceDE w:val="0"/>
              <w:autoSpaceDN w:val="0"/>
              <w:contextualSpacing/>
              <w:jc w:val="center"/>
              <w:rPr>
                <w:color w:val="auto"/>
                <w:szCs w:val="18"/>
              </w:rPr>
            </w:pPr>
            <w:r>
              <w:rPr>
                <w:rFonts w:hint="eastAsia"/>
                <w:color w:val="auto"/>
                <w:szCs w:val="18"/>
              </w:rPr>
              <w:t>2900</w:t>
            </w:r>
          </w:p>
        </w:tc>
      </w:tr>
      <w:tr w14:paraId="2D2363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1B6EFFA1">
            <w:pPr>
              <w:autoSpaceDE w:val="0"/>
              <w:autoSpaceDN w:val="0"/>
              <w:contextualSpacing/>
              <w:jc w:val="center"/>
              <w:rPr>
                <w:color w:val="auto"/>
                <w:szCs w:val="18"/>
              </w:rPr>
            </w:pPr>
            <w:r>
              <w:rPr>
                <w:rFonts w:hint="eastAsia"/>
                <w:color w:val="auto"/>
                <w:szCs w:val="18"/>
              </w:rPr>
              <w:t>桦南镇</w:t>
            </w:r>
          </w:p>
        </w:tc>
        <w:tc>
          <w:tcPr>
            <w:tcW w:w="712" w:type="pct"/>
            <w:shd w:val="clear" w:color="auto" w:fill="auto"/>
            <w:noWrap/>
            <w:vAlign w:val="center"/>
          </w:tcPr>
          <w:p w14:paraId="036E547F">
            <w:pPr>
              <w:autoSpaceDE w:val="0"/>
              <w:autoSpaceDN w:val="0"/>
              <w:contextualSpacing/>
              <w:jc w:val="center"/>
              <w:rPr>
                <w:color w:val="auto"/>
                <w:szCs w:val="18"/>
              </w:rPr>
            </w:pPr>
            <w:r>
              <w:rPr>
                <w:rFonts w:hint="eastAsia"/>
                <w:color w:val="auto"/>
                <w:szCs w:val="18"/>
              </w:rPr>
              <w:t>130.556931</w:t>
            </w:r>
          </w:p>
        </w:tc>
        <w:tc>
          <w:tcPr>
            <w:tcW w:w="651" w:type="pct"/>
            <w:shd w:val="clear" w:color="auto" w:fill="auto"/>
            <w:noWrap/>
            <w:vAlign w:val="center"/>
          </w:tcPr>
          <w:p w14:paraId="03E21A44">
            <w:pPr>
              <w:autoSpaceDE w:val="0"/>
              <w:autoSpaceDN w:val="0"/>
              <w:contextualSpacing/>
              <w:jc w:val="center"/>
              <w:rPr>
                <w:color w:val="auto"/>
                <w:szCs w:val="18"/>
              </w:rPr>
            </w:pPr>
            <w:r>
              <w:rPr>
                <w:rFonts w:hint="eastAsia"/>
                <w:color w:val="auto"/>
                <w:szCs w:val="18"/>
              </w:rPr>
              <w:t>40.257052</w:t>
            </w:r>
          </w:p>
        </w:tc>
        <w:tc>
          <w:tcPr>
            <w:tcW w:w="592" w:type="pct"/>
            <w:shd w:val="clear" w:color="auto" w:fill="auto"/>
            <w:noWrap/>
            <w:vAlign w:val="center"/>
          </w:tcPr>
          <w:p w14:paraId="43ACB198">
            <w:pPr>
              <w:autoSpaceDE w:val="0"/>
              <w:autoSpaceDN w:val="0"/>
              <w:contextualSpacing/>
              <w:jc w:val="center"/>
              <w:rPr>
                <w:color w:val="auto"/>
                <w:szCs w:val="21"/>
              </w:rPr>
            </w:pPr>
            <w:r>
              <w:rPr>
                <w:color w:val="auto"/>
                <w:szCs w:val="21"/>
              </w:rPr>
              <w:t>居住区</w:t>
            </w:r>
          </w:p>
        </w:tc>
        <w:tc>
          <w:tcPr>
            <w:tcW w:w="606" w:type="pct"/>
            <w:shd w:val="clear" w:color="auto" w:fill="auto"/>
            <w:noWrap/>
            <w:vAlign w:val="center"/>
          </w:tcPr>
          <w:p w14:paraId="51811055">
            <w:pPr>
              <w:autoSpaceDE w:val="0"/>
              <w:autoSpaceDN w:val="0"/>
              <w:contextualSpacing/>
              <w:jc w:val="center"/>
              <w:rPr>
                <w:color w:val="auto"/>
                <w:szCs w:val="18"/>
              </w:rPr>
            </w:pPr>
            <w:r>
              <w:rPr>
                <w:rFonts w:hint="eastAsia"/>
                <w:color w:val="auto"/>
                <w:szCs w:val="18"/>
                <w:lang w:val="en-US" w:eastAsia="zh-CN"/>
              </w:rPr>
              <w:t>1</w:t>
            </w:r>
            <w:r>
              <w:rPr>
                <w:rFonts w:hint="eastAsia"/>
                <w:color w:val="auto"/>
                <w:szCs w:val="18"/>
              </w:rPr>
              <w:t>8000</w:t>
            </w:r>
          </w:p>
        </w:tc>
        <w:tc>
          <w:tcPr>
            <w:tcW w:w="606" w:type="pct"/>
            <w:shd w:val="clear" w:color="auto" w:fill="auto"/>
            <w:noWrap/>
            <w:vAlign w:val="center"/>
          </w:tcPr>
          <w:p w14:paraId="064D30A9">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016AB03E">
            <w:pPr>
              <w:autoSpaceDE w:val="0"/>
              <w:autoSpaceDN w:val="0"/>
              <w:contextualSpacing/>
              <w:jc w:val="center"/>
              <w:rPr>
                <w:color w:val="auto"/>
                <w:szCs w:val="18"/>
              </w:rPr>
            </w:pPr>
            <w:r>
              <w:rPr>
                <w:rFonts w:hint="eastAsia"/>
                <w:color w:val="auto"/>
                <w:szCs w:val="18"/>
              </w:rPr>
              <w:t>S</w:t>
            </w:r>
          </w:p>
        </w:tc>
        <w:tc>
          <w:tcPr>
            <w:tcW w:w="651" w:type="pct"/>
            <w:shd w:val="clear" w:color="auto" w:fill="auto"/>
            <w:noWrap/>
            <w:vAlign w:val="center"/>
          </w:tcPr>
          <w:p w14:paraId="79A3E1B4">
            <w:pPr>
              <w:autoSpaceDE w:val="0"/>
              <w:autoSpaceDN w:val="0"/>
              <w:contextualSpacing/>
              <w:jc w:val="center"/>
              <w:rPr>
                <w:color w:val="auto"/>
                <w:szCs w:val="18"/>
              </w:rPr>
            </w:pPr>
            <w:r>
              <w:rPr>
                <w:rFonts w:hint="eastAsia"/>
                <w:color w:val="auto"/>
                <w:szCs w:val="18"/>
              </w:rPr>
              <w:t>1000</w:t>
            </w:r>
          </w:p>
        </w:tc>
      </w:tr>
    </w:tbl>
    <w:p w14:paraId="1F7BBB21">
      <w:pPr>
        <w:spacing w:line="360" w:lineRule="auto"/>
        <w:jc w:val="center"/>
        <w:rPr>
          <w:b/>
          <w:color w:val="auto"/>
          <w:sz w:val="24"/>
        </w:rPr>
      </w:pPr>
      <w:r>
        <w:rPr>
          <w:b/>
          <w:color w:val="auto"/>
          <w:sz w:val="24"/>
        </w:rPr>
        <w:t>表2-3  项目</w:t>
      </w:r>
      <w:r>
        <w:rPr>
          <w:rFonts w:hint="eastAsia"/>
          <w:b/>
          <w:color w:val="auto"/>
          <w:sz w:val="24"/>
          <w:lang w:val="en-US" w:eastAsia="zh-CN"/>
        </w:rPr>
        <w:t>地表水</w:t>
      </w:r>
      <w:r>
        <w:rPr>
          <w:b/>
          <w:color w:val="auto"/>
          <w:sz w:val="24"/>
        </w:rPr>
        <w:t>环境</w:t>
      </w:r>
      <w:r>
        <w:rPr>
          <w:rFonts w:hint="eastAsia"/>
          <w:b/>
          <w:color w:val="auto"/>
          <w:sz w:val="24"/>
        </w:rPr>
        <w:t>风</w:t>
      </w:r>
      <w:r>
        <w:rPr>
          <w:rFonts w:hint="eastAsia"/>
          <w:b/>
          <w:color w:val="auto"/>
          <w:sz w:val="24"/>
          <w:lang w:eastAsia="zh-CN"/>
        </w:rPr>
        <w:t>险保</w:t>
      </w:r>
      <w:r>
        <w:rPr>
          <w:b/>
          <w:color w:val="auto"/>
          <w:sz w:val="24"/>
        </w:rPr>
        <w:t>护目标一览表</w:t>
      </w:r>
    </w:p>
    <w:tbl>
      <w:tblPr>
        <w:tblStyle w:val="38"/>
        <w:tblW w:w="4998"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2558"/>
        <w:gridCol w:w="848"/>
        <w:gridCol w:w="871"/>
        <w:gridCol w:w="982"/>
        <w:gridCol w:w="3250"/>
      </w:tblGrid>
      <w:tr w14:paraId="2499354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trPr>
        <w:tc>
          <w:tcPr>
            <w:tcW w:w="680" w:type="pct"/>
            <w:shd w:val="clear" w:color="auto" w:fill="auto"/>
            <w:vAlign w:val="center"/>
          </w:tcPr>
          <w:p w14:paraId="5BDB7D56">
            <w:pPr>
              <w:autoSpaceDE w:val="0"/>
              <w:autoSpaceDN w:val="0"/>
              <w:contextualSpacing/>
              <w:jc w:val="center"/>
              <w:rPr>
                <w:color w:val="auto"/>
                <w:szCs w:val="18"/>
              </w:rPr>
            </w:pPr>
            <w:r>
              <w:rPr>
                <w:color w:val="auto"/>
                <w:szCs w:val="18"/>
              </w:rPr>
              <w:t>类别</w:t>
            </w:r>
          </w:p>
        </w:tc>
        <w:tc>
          <w:tcPr>
            <w:tcW w:w="1298" w:type="pct"/>
            <w:shd w:val="clear" w:color="auto" w:fill="auto"/>
            <w:vAlign w:val="center"/>
          </w:tcPr>
          <w:p w14:paraId="485AFCE8">
            <w:pPr>
              <w:autoSpaceDE w:val="0"/>
              <w:autoSpaceDN w:val="0"/>
              <w:contextualSpacing/>
              <w:jc w:val="center"/>
              <w:rPr>
                <w:color w:val="auto"/>
                <w:szCs w:val="18"/>
              </w:rPr>
            </w:pPr>
            <w:r>
              <w:rPr>
                <w:color w:val="auto"/>
                <w:szCs w:val="18"/>
              </w:rPr>
              <w:t>环境敏感点名称</w:t>
            </w:r>
          </w:p>
        </w:tc>
        <w:tc>
          <w:tcPr>
            <w:tcW w:w="430" w:type="pct"/>
            <w:shd w:val="clear" w:color="auto" w:fill="auto"/>
            <w:vAlign w:val="center"/>
          </w:tcPr>
          <w:p w14:paraId="597C565B">
            <w:pPr>
              <w:autoSpaceDE w:val="0"/>
              <w:autoSpaceDN w:val="0"/>
              <w:contextualSpacing/>
              <w:jc w:val="center"/>
              <w:rPr>
                <w:color w:val="auto"/>
                <w:szCs w:val="18"/>
              </w:rPr>
            </w:pPr>
            <w:r>
              <w:rPr>
                <w:color w:val="auto"/>
                <w:szCs w:val="18"/>
              </w:rPr>
              <w:t>方位</w:t>
            </w:r>
          </w:p>
        </w:tc>
        <w:tc>
          <w:tcPr>
            <w:tcW w:w="442" w:type="pct"/>
            <w:shd w:val="clear" w:color="auto" w:fill="auto"/>
            <w:vAlign w:val="center"/>
          </w:tcPr>
          <w:p w14:paraId="06E1BFB8">
            <w:pPr>
              <w:autoSpaceDE w:val="0"/>
              <w:autoSpaceDN w:val="0"/>
              <w:contextualSpacing/>
              <w:jc w:val="center"/>
              <w:rPr>
                <w:color w:val="auto"/>
                <w:szCs w:val="18"/>
              </w:rPr>
            </w:pPr>
            <w:r>
              <w:rPr>
                <w:color w:val="auto"/>
                <w:szCs w:val="18"/>
              </w:rPr>
              <w:t>距离</w:t>
            </w:r>
          </w:p>
          <w:p w14:paraId="1A8107B6">
            <w:pPr>
              <w:autoSpaceDE w:val="0"/>
              <w:autoSpaceDN w:val="0"/>
              <w:contextualSpacing/>
              <w:jc w:val="center"/>
              <w:rPr>
                <w:color w:val="auto"/>
                <w:szCs w:val="18"/>
              </w:rPr>
            </w:pPr>
            <w:r>
              <w:rPr>
                <w:color w:val="auto"/>
                <w:szCs w:val="18"/>
              </w:rPr>
              <w:t>(m)</w:t>
            </w:r>
          </w:p>
        </w:tc>
        <w:tc>
          <w:tcPr>
            <w:tcW w:w="498" w:type="pct"/>
            <w:shd w:val="clear" w:color="auto" w:fill="auto"/>
            <w:vAlign w:val="center"/>
          </w:tcPr>
          <w:p w14:paraId="46F8CDFF">
            <w:pPr>
              <w:autoSpaceDE w:val="0"/>
              <w:autoSpaceDN w:val="0"/>
              <w:contextualSpacing/>
              <w:jc w:val="center"/>
              <w:rPr>
                <w:color w:val="auto"/>
                <w:szCs w:val="18"/>
              </w:rPr>
            </w:pPr>
            <w:r>
              <w:rPr>
                <w:color w:val="auto"/>
                <w:szCs w:val="18"/>
              </w:rPr>
              <w:t>规模</w:t>
            </w:r>
          </w:p>
          <w:p w14:paraId="5CBC54EF">
            <w:pPr>
              <w:autoSpaceDE w:val="0"/>
              <w:autoSpaceDN w:val="0"/>
              <w:contextualSpacing/>
              <w:jc w:val="center"/>
              <w:rPr>
                <w:color w:val="auto"/>
                <w:szCs w:val="18"/>
              </w:rPr>
            </w:pPr>
            <w:r>
              <w:rPr>
                <w:color w:val="auto"/>
                <w:szCs w:val="18"/>
              </w:rPr>
              <w:t>（人）</w:t>
            </w:r>
          </w:p>
        </w:tc>
        <w:tc>
          <w:tcPr>
            <w:tcW w:w="1649" w:type="pct"/>
            <w:shd w:val="clear" w:color="auto" w:fill="auto"/>
            <w:vAlign w:val="center"/>
          </w:tcPr>
          <w:p w14:paraId="6D92CE20">
            <w:pPr>
              <w:autoSpaceDE w:val="0"/>
              <w:autoSpaceDN w:val="0"/>
              <w:contextualSpacing/>
              <w:jc w:val="center"/>
              <w:rPr>
                <w:color w:val="auto"/>
                <w:szCs w:val="18"/>
              </w:rPr>
            </w:pPr>
            <w:r>
              <w:rPr>
                <w:color w:val="auto"/>
                <w:szCs w:val="18"/>
              </w:rPr>
              <w:t>保护目标</w:t>
            </w:r>
          </w:p>
        </w:tc>
      </w:tr>
      <w:tr w14:paraId="49B7B317">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pct"/>
            <w:shd w:val="clear" w:color="auto" w:fill="auto"/>
            <w:vAlign w:val="center"/>
          </w:tcPr>
          <w:p w14:paraId="60088930">
            <w:pPr>
              <w:autoSpaceDE w:val="0"/>
              <w:autoSpaceDN w:val="0"/>
              <w:contextualSpacing/>
              <w:jc w:val="center"/>
              <w:rPr>
                <w:color w:val="auto"/>
                <w:szCs w:val="18"/>
              </w:rPr>
            </w:pPr>
            <w:r>
              <w:rPr>
                <w:color w:val="auto"/>
                <w:szCs w:val="18"/>
              </w:rPr>
              <w:t>地表水环境</w:t>
            </w:r>
          </w:p>
        </w:tc>
        <w:tc>
          <w:tcPr>
            <w:tcW w:w="1298" w:type="pct"/>
            <w:shd w:val="clear" w:color="auto" w:fill="auto"/>
            <w:vAlign w:val="center"/>
          </w:tcPr>
          <w:p w14:paraId="7AD4A1C5">
            <w:pPr>
              <w:autoSpaceDE w:val="0"/>
              <w:autoSpaceDN w:val="0"/>
              <w:contextualSpacing/>
              <w:jc w:val="center"/>
              <w:rPr>
                <w:color w:val="auto"/>
                <w:szCs w:val="18"/>
              </w:rPr>
            </w:pPr>
            <w:r>
              <w:rPr>
                <w:rFonts w:hint="eastAsia"/>
                <w:color w:val="auto"/>
                <w:szCs w:val="18"/>
              </w:rPr>
              <w:t>八虎力河</w:t>
            </w:r>
          </w:p>
        </w:tc>
        <w:tc>
          <w:tcPr>
            <w:tcW w:w="430" w:type="pct"/>
            <w:shd w:val="clear" w:color="auto" w:fill="auto"/>
            <w:vAlign w:val="center"/>
          </w:tcPr>
          <w:p w14:paraId="35F63B64">
            <w:pPr>
              <w:autoSpaceDE w:val="0"/>
              <w:autoSpaceDN w:val="0"/>
              <w:contextualSpacing/>
              <w:jc w:val="center"/>
              <w:rPr>
                <w:color w:val="auto"/>
                <w:szCs w:val="18"/>
              </w:rPr>
            </w:pPr>
            <w:r>
              <w:rPr>
                <w:color w:val="auto"/>
                <w:szCs w:val="18"/>
              </w:rPr>
              <w:t>N</w:t>
            </w:r>
          </w:p>
        </w:tc>
        <w:tc>
          <w:tcPr>
            <w:tcW w:w="442" w:type="pct"/>
            <w:shd w:val="clear" w:color="auto" w:fill="auto"/>
            <w:vAlign w:val="center"/>
          </w:tcPr>
          <w:p w14:paraId="53C2CD2F">
            <w:pPr>
              <w:autoSpaceDE w:val="0"/>
              <w:autoSpaceDN w:val="0"/>
              <w:contextualSpacing/>
              <w:jc w:val="center"/>
              <w:rPr>
                <w:color w:val="auto"/>
                <w:szCs w:val="18"/>
              </w:rPr>
            </w:pPr>
            <w:r>
              <w:rPr>
                <w:rFonts w:hint="eastAsia"/>
                <w:color w:val="auto"/>
                <w:szCs w:val="18"/>
              </w:rPr>
              <w:t>600</w:t>
            </w:r>
          </w:p>
        </w:tc>
        <w:tc>
          <w:tcPr>
            <w:tcW w:w="498" w:type="pct"/>
            <w:shd w:val="clear" w:color="auto" w:fill="auto"/>
            <w:vAlign w:val="center"/>
          </w:tcPr>
          <w:p w14:paraId="4DEF80A2">
            <w:pPr>
              <w:autoSpaceDE w:val="0"/>
              <w:autoSpaceDN w:val="0"/>
              <w:contextualSpacing/>
              <w:jc w:val="center"/>
              <w:rPr>
                <w:color w:val="auto"/>
                <w:szCs w:val="18"/>
              </w:rPr>
            </w:pPr>
            <w:r>
              <w:rPr>
                <w:color w:val="auto"/>
                <w:szCs w:val="18"/>
              </w:rPr>
              <w:t>/</w:t>
            </w:r>
          </w:p>
        </w:tc>
        <w:tc>
          <w:tcPr>
            <w:tcW w:w="1649" w:type="pct"/>
            <w:shd w:val="clear" w:color="auto" w:fill="auto"/>
            <w:vAlign w:val="center"/>
          </w:tcPr>
          <w:p w14:paraId="577C37B5">
            <w:pPr>
              <w:autoSpaceDE w:val="0"/>
              <w:autoSpaceDN w:val="0"/>
              <w:contextualSpacing/>
              <w:jc w:val="center"/>
              <w:rPr>
                <w:color w:val="auto"/>
                <w:szCs w:val="18"/>
              </w:rPr>
            </w:pPr>
            <w:r>
              <w:rPr>
                <w:color w:val="auto"/>
                <w:szCs w:val="18"/>
              </w:rPr>
              <w:t>《地表水环境质量标准》（GB3838-2002）</w:t>
            </w:r>
            <w:r>
              <w:rPr>
                <w:rFonts w:hint="eastAsia"/>
                <w:color w:val="auto"/>
                <w:szCs w:val="18"/>
              </w:rPr>
              <w:t>Ⅲ</w:t>
            </w:r>
            <w:r>
              <w:rPr>
                <w:color w:val="auto"/>
                <w:szCs w:val="18"/>
              </w:rPr>
              <w:t>类</w:t>
            </w:r>
          </w:p>
        </w:tc>
      </w:tr>
    </w:tbl>
    <w:p w14:paraId="005602B9">
      <w:pPr>
        <w:rPr>
          <w:color w:val="auto"/>
        </w:rPr>
      </w:pP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1452245</wp:posOffset>
                </wp:positionH>
                <wp:positionV relativeFrom="paragraph">
                  <wp:posOffset>3947160</wp:posOffset>
                </wp:positionV>
                <wp:extent cx="770890" cy="28130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77089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94F45B">
                            <w:pPr>
                              <w:rPr>
                                <w:rFonts w:hint="default" w:eastAsia="宋体"/>
                                <w:color w:val="FF0000"/>
                                <w:lang w:val="en-US" w:eastAsia="zh-CN"/>
                              </w:rPr>
                            </w:pPr>
                            <w:r>
                              <w:rPr>
                                <w:rFonts w:hint="eastAsia"/>
                                <w:color w:val="FF0000"/>
                                <w:lang w:val="en-US" w:eastAsia="zh-CN"/>
                              </w:rPr>
                              <w:t>镇丰村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35pt;margin-top:310.8pt;height:22.15pt;width:60.7pt;z-index:251693056;mso-width-relative:page;mso-height-relative:page;" filled="f" stroked="f" coordsize="21600,21600" o:gfxdata="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&#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sqmRHcAAAACwEAAA8AAAAAAAAAAQAgAAAAIgAA&#10;AGRycy9kb3ducmV2LnhtbFBLAQIUABQAAAAIAIdO4kCZPyBiPQIAAGcEAAAOAAAAAAAAAAEAIAAA&#10;ACsBAABkcnMvZTJvRG9jLnhtbFBLBQYAAAAABgAGAFkBAADaBQAAAAA=&#10;">
                <v:fill on="f" focussize="0,0"/>
                <v:stroke on="f" weight="0.5pt"/>
                <v:imagedata o:title=""/>
                <o:lock v:ext="edit" aspectratio="f"/>
                <v:textbox>
                  <w:txbxContent>
                    <w:p w14:paraId="4D94F45B">
                      <w:pPr>
                        <w:rPr>
                          <w:rFonts w:hint="default" w:eastAsia="宋体"/>
                          <w:color w:val="FF0000"/>
                          <w:lang w:val="en-US" w:eastAsia="zh-CN"/>
                        </w:rPr>
                      </w:pPr>
                      <w:r>
                        <w:rPr>
                          <w:rFonts w:hint="eastAsia"/>
                          <w:color w:val="FF0000"/>
                          <w:lang w:val="en-US" w:eastAsia="zh-CN"/>
                        </w:rPr>
                        <w:t>镇丰村</w:t>
                      </w:r>
                    </w:p>
                  </w:txbxContent>
                </v:textbox>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4037965</wp:posOffset>
                </wp:positionH>
                <wp:positionV relativeFrom="paragraph">
                  <wp:posOffset>3076575</wp:posOffset>
                </wp:positionV>
                <wp:extent cx="770890" cy="28130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77089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AA6A0E">
                            <w:pPr>
                              <w:rPr>
                                <w:rFonts w:hint="eastAsia" w:eastAsia="宋体"/>
                                <w:color w:val="FF0000"/>
                                <w:lang w:val="en-US" w:eastAsia="zh-CN"/>
                              </w:rPr>
                            </w:pPr>
                            <w:r>
                              <w:rPr>
                                <w:rFonts w:hint="eastAsia"/>
                                <w:color w:val="FF0000"/>
                                <w:lang w:val="en-US" w:eastAsia="zh-CN"/>
                              </w:rPr>
                              <w:t>桦南镇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95pt;margin-top:242.25pt;height:22.15pt;width:60.7pt;z-index:251692032;mso-width-relative:page;mso-height-relative:page;" filled="f" stroked="f" coordsize="21600,21600" o:gfxdata="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GqvwjdAAAACwEAAA8AAAAAAAAAAQAgAAAAIgAA&#10;AGRycy9kb3ducmV2LnhtbFBLAQIUABQAAAAIAIdO4kDDQOOKPAIAAGcEAAAOAAAAAAAAAAEAIAAA&#10;ACwBAABkcnMvZTJvRG9jLnhtbFBLBQYAAAAABgAGAFkBAADaBQAAAAA=&#10;">
                <v:fill on="f" focussize="0,0"/>
                <v:stroke on="f" weight="0.5pt"/>
                <v:imagedata o:title=""/>
                <o:lock v:ext="edit" aspectratio="f"/>
                <v:textbox>
                  <w:txbxContent>
                    <w:p w14:paraId="3BAA6A0E">
                      <w:pPr>
                        <w:rPr>
                          <w:rFonts w:hint="eastAsia" w:eastAsia="宋体"/>
                          <w:color w:val="FF0000"/>
                          <w:lang w:val="en-US" w:eastAsia="zh-CN"/>
                        </w:rPr>
                      </w:pPr>
                      <w:r>
                        <w:rPr>
                          <w:rFonts w:hint="eastAsia"/>
                          <w:color w:val="FF0000"/>
                          <w:lang w:val="en-US" w:eastAsia="zh-CN"/>
                        </w:rPr>
                        <w:t>桦南镇</w:t>
                      </w:r>
                    </w:p>
                  </w:txbxContent>
                </v:textbox>
              </v:shape>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2125980</wp:posOffset>
                </wp:positionH>
                <wp:positionV relativeFrom="paragraph">
                  <wp:posOffset>2539365</wp:posOffset>
                </wp:positionV>
                <wp:extent cx="770890" cy="28130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77089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074566">
                            <w:pPr>
                              <w:rPr>
                                <w:rFonts w:hint="eastAsia" w:eastAsia="宋体"/>
                                <w:color w:val="FF0000"/>
                                <w:lang w:val="en-US" w:eastAsia="zh-CN"/>
                              </w:rPr>
                            </w:pPr>
                            <w:r>
                              <w:rPr>
                                <w:rFonts w:hint="eastAsia"/>
                                <w:color w:val="FF0000"/>
                                <w:lang w:val="en-US" w:eastAsia="zh-CN"/>
                              </w:rPr>
                              <w:t>桦南镇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4pt;margin-top:199.95pt;height:22.15pt;width:60.7pt;z-index:251691008;mso-width-relative:page;mso-height-relative:page;" filled="f" stroked="f" coordsize="21600,21600" o:gfxdata="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AAQmNwAAAALAQAADwAAAAAAAAABACAAAAAiAAAA&#10;ZHJzL2Rvd25yZXYueG1sUEsBAhQAFAAAAAgAh07iQIY2OH08AgAAZwQAAA4AAAAAAAAAAQAgAAAA&#10;KwEAAGRycy9lMm9Eb2MueG1sUEsFBgAAAAAGAAYAWQEAANkFAAAAAA==&#10;">
                <v:fill on="f" focussize="0,0"/>
                <v:stroke on="f" weight="0.5pt"/>
                <v:imagedata o:title=""/>
                <o:lock v:ext="edit" aspectratio="f"/>
                <v:textbox>
                  <w:txbxContent>
                    <w:p w14:paraId="32074566">
                      <w:pPr>
                        <w:rPr>
                          <w:rFonts w:hint="eastAsia" w:eastAsia="宋体"/>
                          <w:color w:val="FF0000"/>
                          <w:lang w:val="en-US" w:eastAsia="zh-CN"/>
                        </w:rPr>
                      </w:pPr>
                      <w:r>
                        <w:rPr>
                          <w:rFonts w:hint="eastAsia"/>
                          <w:color w:val="FF0000"/>
                          <w:lang w:val="en-US" w:eastAsia="zh-CN"/>
                        </w:rPr>
                        <w:t>桦南镇</w:t>
                      </w:r>
                    </w:p>
                  </w:txbxContent>
                </v:textbox>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2371090</wp:posOffset>
                </wp:positionH>
                <wp:positionV relativeFrom="paragraph">
                  <wp:posOffset>1525270</wp:posOffset>
                </wp:positionV>
                <wp:extent cx="770890" cy="28130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77089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307A36">
                            <w:pPr>
                              <w:rPr>
                                <w:rFonts w:hint="eastAsia" w:eastAsia="宋体"/>
                                <w:color w:val="FF0000"/>
                                <w:lang w:val="en-US" w:eastAsia="zh-CN"/>
                              </w:rPr>
                            </w:pPr>
                            <w:r>
                              <w:rPr>
                                <w:rFonts w:hint="eastAsia"/>
                                <w:color w:val="FF0000"/>
                                <w:lang w:val="en-US" w:eastAsia="zh-CN"/>
                              </w:rPr>
                              <w:t>桦南镇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7pt;margin-top:120.1pt;height:22.15pt;width:60.7pt;z-index:251689984;mso-width-relative:page;mso-height-relative:page;" filled="f" stroked="f" coordsize="21600,21600" o:gfxdata="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qCnbNwAAAALAQAADwAAAAAAAAABACAAAAAiAAAA&#10;ZHJzL2Rvd25yZXYueG1sUEsBAhQAFAAAAAgAh07iQNxJ+5U8AgAAZwQAAA4AAAAAAAAAAQAgAAAA&#10;KwEAAGRycy9lMm9Eb2MueG1sUEsFBgAAAAAGAAYAWQEAANkFAAAAAA==&#10;">
                <v:fill on="f" focussize="0,0"/>
                <v:stroke on="f" weight="0.5pt"/>
                <v:imagedata o:title=""/>
                <o:lock v:ext="edit" aspectratio="f"/>
                <v:textbox>
                  <w:txbxContent>
                    <w:p w14:paraId="42307A36">
                      <w:pPr>
                        <w:rPr>
                          <w:rFonts w:hint="eastAsia" w:eastAsia="宋体"/>
                          <w:color w:val="FF0000"/>
                          <w:lang w:val="en-US" w:eastAsia="zh-CN"/>
                        </w:rPr>
                      </w:pPr>
                      <w:r>
                        <w:rPr>
                          <w:rFonts w:hint="eastAsia"/>
                          <w:color w:val="FF0000"/>
                          <w:lang w:val="en-US" w:eastAsia="zh-CN"/>
                        </w:rPr>
                        <w:t>桦南镇</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2817495</wp:posOffset>
                </wp:positionH>
                <wp:positionV relativeFrom="paragraph">
                  <wp:posOffset>3468370</wp:posOffset>
                </wp:positionV>
                <wp:extent cx="770890" cy="281305"/>
                <wp:effectExtent l="0" t="0" r="0" b="0"/>
                <wp:wrapNone/>
                <wp:docPr id="71" name="文本框 71"/>
                <wp:cNvGraphicFramePr/>
                <a:graphic xmlns:a="http://schemas.openxmlformats.org/drawingml/2006/main">
                  <a:graphicData uri="http://schemas.microsoft.com/office/word/2010/wordprocessingShape">
                    <wps:wsp>
                      <wps:cNvSpPr txBox="1"/>
                      <wps:spPr>
                        <a:xfrm>
                          <a:off x="3674110" y="4365625"/>
                          <a:ext cx="770890" cy="281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D2EC1B">
                            <w:pPr>
                              <w:rPr>
                                <w:rFonts w:hint="eastAsia" w:eastAsia="宋体"/>
                                <w:color w:val="FF0000"/>
                                <w:lang w:val="en-US" w:eastAsia="zh-CN"/>
                              </w:rPr>
                            </w:pPr>
                            <w:r>
                              <w:rPr>
                                <w:rFonts w:hint="eastAsia"/>
                                <w:color w:val="FF0000"/>
                                <w:lang w:val="en-US" w:eastAsia="zh-CN"/>
                              </w:rPr>
                              <w:t>桦南镇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85pt;margin-top:273.1pt;height:22.15pt;width:60.7pt;z-index:251688960;mso-width-relative:page;mso-height-relative:page;" filled="f" stroked="f" coordsize="21600,21600" o:gfxdata="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b87oidwAAAALAQAADwAAAAAA&#10;AAABACAAAAAiAAAAZHJzL2Rvd25yZXYueG1sUEsBAhQAFAAAAAgAh07iQAWrIgtIAgAAcwQAAA4A&#10;AAAAAAAAAQAgAAAAKwEAAGRycy9lMm9Eb2MueG1sUEsFBgAAAAAGAAYAWQEAAOUFAAAAAA==&#10;">
                <v:fill on="f" focussize="0,0"/>
                <v:stroke on="f" weight="0.5pt"/>
                <v:imagedata o:title=""/>
                <o:lock v:ext="edit" aspectratio="f"/>
                <v:textbox>
                  <w:txbxContent>
                    <w:p w14:paraId="11D2EC1B">
                      <w:pPr>
                        <w:rPr>
                          <w:rFonts w:hint="eastAsia" w:eastAsia="宋体"/>
                          <w:color w:val="FF0000"/>
                          <w:lang w:val="en-US" w:eastAsia="zh-CN"/>
                        </w:rPr>
                      </w:pPr>
                      <w:r>
                        <w:rPr>
                          <w:rFonts w:hint="eastAsia"/>
                          <w:color w:val="FF0000"/>
                          <w:lang w:val="en-US" w:eastAsia="zh-CN"/>
                        </w:rPr>
                        <w:t>桦南镇</w:t>
                      </w:r>
                    </w:p>
                  </w:txbxContent>
                </v:textbox>
              </v:shape>
            </w:pict>
          </mc:Fallback>
        </mc:AlternateContent>
      </w:r>
      <w:r>
        <w:rPr>
          <w:color w:val="auto"/>
        </w:rPr>
        <w:drawing>
          <wp:inline distT="0" distB="0" distL="114300" distR="114300">
            <wp:extent cx="6110605" cy="5396865"/>
            <wp:effectExtent l="0" t="0" r="4445" b="13335"/>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59"/>
                    <a:stretch>
                      <a:fillRect/>
                    </a:stretch>
                  </pic:blipFill>
                  <pic:spPr>
                    <a:xfrm>
                      <a:off x="0" y="0"/>
                      <a:ext cx="6110605" cy="5396865"/>
                    </a:xfrm>
                    <a:prstGeom prst="rect">
                      <a:avLst/>
                    </a:prstGeom>
                    <a:noFill/>
                    <a:ln>
                      <a:noFill/>
                    </a:ln>
                  </pic:spPr>
                </pic:pic>
              </a:graphicData>
            </a:graphic>
          </wp:inline>
        </w:drawing>
      </w:r>
    </w:p>
    <w:p w14:paraId="0F7791A5">
      <w:pPr>
        <w:spacing w:line="360" w:lineRule="auto"/>
        <w:jc w:val="center"/>
        <w:rPr>
          <w:b/>
          <w:color w:val="auto"/>
          <w:sz w:val="24"/>
        </w:rPr>
      </w:pPr>
      <w:r>
        <w:rPr>
          <w:rFonts w:hint="eastAsia"/>
          <w:b/>
          <w:color w:val="auto"/>
          <w:sz w:val="24"/>
        </w:rPr>
        <w:t>图2-1  环境</w:t>
      </w:r>
      <w:r>
        <w:rPr>
          <w:rFonts w:hint="eastAsia"/>
          <w:b/>
          <w:color w:val="auto"/>
          <w:sz w:val="24"/>
          <w:lang w:eastAsia="zh-CN"/>
        </w:rPr>
        <w:t>保护</w:t>
      </w:r>
      <w:r>
        <w:rPr>
          <w:rFonts w:hint="eastAsia"/>
          <w:b/>
          <w:color w:val="auto"/>
          <w:sz w:val="24"/>
        </w:rPr>
        <w:t>目标区位分布图（300</w:t>
      </w:r>
      <w:r>
        <w:rPr>
          <w:rFonts w:hint="eastAsia"/>
          <w:b/>
          <w:color w:val="auto"/>
          <w:sz w:val="24"/>
          <w:lang w:val="en-US" w:eastAsia="zh-CN"/>
        </w:rPr>
        <w:t>0</w:t>
      </w:r>
      <w:r>
        <w:rPr>
          <w:rFonts w:hint="eastAsia"/>
          <w:b/>
          <w:color w:val="auto"/>
          <w:sz w:val="24"/>
        </w:rPr>
        <w:t>m范围内）</w:t>
      </w:r>
    </w:p>
    <w:p w14:paraId="1BFD3499">
      <w:pPr>
        <w:pStyle w:val="48"/>
        <w:rPr>
          <w:color w:val="auto"/>
        </w:rPr>
      </w:pPr>
    </w:p>
    <w:p w14:paraId="243B5A2E">
      <w:pPr>
        <w:pStyle w:val="2"/>
        <w:pageBreakBefore/>
        <w:spacing w:before="323" w:beforeLines="100" w:after="323" w:afterLines="100" w:line="480" w:lineRule="exact"/>
        <w:ind w:left="0"/>
        <w:rPr>
          <w:color w:val="auto"/>
          <w:sz w:val="32"/>
          <w:szCs w:val="32"/>
        </w:rPr>
      </w:pPr>
      <w:bookmarkStart w:id="112" w:name="_Toc7763"/>
      <w:bookmarkStart w:id="113" w:name="_Toc4000"/>
      <w:bookmarkStart w:id="114" w:name="_Toc2703"/>
      <w:bookmarkStart w:id="115" w:name="_Toc27245"/>
      <w:r>
        <w:rPr>
          <w:color w:val="auto"/>
          <w:sz w:val="32"/>
          <w:szCs w:val="32"/>
        </w:rPr>
        <w:t>3 环境风险潜势初判及评价等级</w:t>
      </w:r>
      <w:bookmarkEnd w:id="112"/>
      <w:bookmarkEnd w:id="113"/>
      <w:bookmarkEnd w:id="114"/>
      <w:bookmarkEnd w:id="115"/>
      <w:r>
        <w:rPr>
          <w:color w:val="auto"/>
          <w:sz w:val="32"/>
          <w:szCs w:val="32"/>
        </w:rPr>
        <w:t xml:space="preserve"> </w:t>
      </w:r>
    </w:p>
    <w:p w14:paraId="0CBB72CA">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1</w:t>
      </w:r>
      <w:r>
        <w:rPr>
          <w:rFonts w:hint="default" w:ascii="Times New Roman" w:hAnsi="Times New Roman"/>
          <w:b/>
          <w:bCs/>
          <w:color w:val="auto"/>
          <w:sz w:val="24"/>
          <w:szCs w:val="24"/>
        </w:rPr>
        <w:t>危险物质及工艺系统风险性（P）的确定</w:t>
      </w:r>
    </w:p>
    <w:p w14:paraId="75EB06F8">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1</w:t>
      </w:r>
      <w:r>
        <w:rPr>
          <w:rFonts w:hint="default" w:ascii="Times New Roman" w:hAnsi="Times New Roman"/>
          <w:b/>
          <w:bCs/>
          <w:color w:val="auto"/>
          <w:sz w:val="24"/>
          <w:szCs w:val="24"/>
        </w:rPr>
        <w:t>.1危险物质数量与临界量比值Q的确定</w:t>
      </w:r>
    </w:p>
    <w:p w14:paraId="490A8782">
      <w:pPr>
        <w:adjustRightInd w:val="0"/>
        <w:snapToGrid w:val="0"/>
        <w:spacing w:line="360" w:lineRule="auto"/>
        <w:ind w:firstLine="480" w:firstLineChars="200"/>
        <w:rPr>
          <w:color w:val="auto"/>
          <w:sz w:val="24"/>
        </w:rPr>
      </w:pPr>
      <w:r>
        <w:rPr>
          <w:rFonts w:hint="eastAsia"/>
          <w:color w:val="auto"/>
          <w:sz w:val="24"/>
        </w:rPr>
        <w:t>计算所涉及的每种环境风险物质在厂界内的最大存在总量与其在《建设项目环境风险评价技术导则》（HJ169-2018）附录 B 中对应的临界量的比值(Q)，计算公式如下：</w:t>
      </w:r>
    </w:p>
    <w:p w14:paraId="7DC6743F">
      <w:pPr>
        <w:adjustRightInd w:val="0"/>
        <w:snapToGrid w:val="0"/>
        <w:spacing w:line="360" w:lineRule="auto"/>
        <w:ind w:firstLine="480" w:firstLineChars="200"/>
        <w:jc w:val="center"/>
        <w:rPr>
          <w:color w:val="auto"/>
          <w:sz w:val="24"/>
        </w:rPr>
      </w:pPr>
      <w:r>
        <w:rPr>
          <w:rFonts w:hint="eastAsia"/>
          <w:color w:val="auto"/>
          <w:sz w:val="24"/>
        </w:rPr>
        <w:drawing>
          <wp:inline distT="0" distB="0" distL="114300" distR="114300">
            <wp:extent cx="1295400" cy="333375"/>
            <wp:effectExtent l="0" t="0" r="0" b="190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60"/>
                    <a:stretch>
                      <a:fillRect/>
                    </a:stretch>
                  </pic:blipFill>
                  <pic:spPr>
                    <a:xfrm>
                      <a:off x="0" y="0"/>
                      <a:ext cx="1295400" cy="333375"/>
                    </a:xfrm>
                    <a:prstGeom prst="rect">
                      <a:avLst/>
                    </a:prstGeom>
                    <a:noFill/>
                    <a:ln>
                      <a:noFill/>
                    </a:ln>
                  </pic:spPr>
                </pic:pic>
              </a:graphicData>
            </a:graphic>
          </wp:inline>
        </w:drawing>
      </w:r>
    </w:p>
    <w:p w14:paraId="1FE28F15">
      <w:pPr>
        <w:adjustRightInd w:val="0"/>
        <w:snapToGrid w:val="0"/>
        <w:spacing w:line="360" w:lineRule="auto"/>
        <w:ind w:firstLine="480" w:firstLineChars="200"/>
        <w:rPr>
          <w:color w:val="auto"/>
          <w:sz w:val="24"/>
        </w:rPr>
      </w:pPr>
      <w:r>
        <w:rPr>
          <w:color w:val="auto"/>
          <w:sz w:val="24"/>
        </w:rPr>
        <w:t>式中：q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——每种危险物质的最大存在总量，t；</w:t>
      </w:r>
    </w:p>
    <w:p w14:paraId="76A510A8">
      <w:pPr>
        <w:adjustRightInd w:val="0"/>
        <w:snapToGrid w:val="0"/>
        <w:spacing w:line="360" w:lineRule="auto"/>
        <w:ind w:firstLine="480" w:firstLineChars="200"/>
        <w:rPr>
          <w:color w:val="auto"/>
          <w:sz w:val="24"/>
        </w:rPr>
      </w:pPr>
      <w:r>
        <w:rPr>
          <w:color w:val="auto"/>
          <w:sz w:val="24"/>
        </w:rPr>
        <w:t>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——每种危险物质的临界量，t；当Q&lt;1时，以Q</w:t>
      </w:r>
      <w:r>
        <w:rPr>
          <w:color w:val="auto"/>
          <w:sz w:val="24"/>
          <w:vertAlign w:val="subscript"/>
        </w:rPr>
        <w:t>0</w:t>
      </w:r>
      <w:r>
        <w:rPr>
          <w:color w:val="auto"/>
          <w:sz w:val="24"/>
        </w:rPr>
        <w:t>表示，该项目环境风险潜势为I。</w:t>
      </w:r>
    </w:p>
    <w:p w14:paraId="6CB439C1">
      <w:pPr>
        <w:adjustRightInd w:val="0"/>
        <w:snapToGrid w:val="0"/>
        <w:spacing w:line="360" w:lineRule="auto"/>
        <w:ind w:firstLine="480" w:firstLineChars="200"/>
        <w:rPr>
          <w:color w:val="auto"/>
          <w:sz w:val="24"/>
        </w:rPr>
      </w:pPr>
      <w:r>
        <w:rPr>
          <w:color w:val="auto"/>
          <w:sz w:val="24"/>
        </w:rPr>
        <w:t>当Q≥1时，将Q值划分为：（1）1≤Q&lt;10；（2）10≤Q&lt;100；（3）Q≥100。分别以Q</w:t>
      </w:r>
      <w:r>
        <w:rPr>
          <w:color w:val="auto"/>
          <w:sz w:val="24"/>
          <w:vertAlign w:val="subscript"/>
        </w:rPr>
        <w:t>1</w:t>
      </w:r>
      <w:r>
        <w:rPr>
          <w:color w:val="auto"/>
          <w:sz w:val="24"/>
        </w:rPr>
        <w:t>、Q</w:t>
      </w:r>
      <w:r>
        <w:rPr>
          <w:color w:val="auto"/>
          <w:sz w:val="24"/>
          <w:vertAlign w:val="subscript"/>
        </w:rPr>
        <w:t>2</w:t>
      </w:r>
      <w:r>
        <w:rPr>
          <w:color w:val="auto"/>
          <w:sz w:val="24"/>
        </w:rPr>
        <w:t>和Q</w:t>
      </w:r>
      <w:r>
        <w:rPr>
          <w:color w:val="auto"/>
          <w:sz w:val="24"/>
          <w:vertAlign w:val="subscript"/>
        </w:rPr>
        <w:t>3</w:t>
      </w:r>
      <w:r>
        <w:rPr>
          <w:color w:val="auto"/>
          <w:sz w:val="24"/>
        </w:rPr>
        <w:t>表示。</w:t>
      </w:r>
    </w:p>
    <w:p w14:paraId="778145A0">
      <w:pPr>
        <w:adjustRightInd w:val="0"/>
        <w:snapToGrid w:val="0"/>
        <w:spacing w:line="360" w:lineRule="auto"/>
        <w:ind w:firstLine="480" w:firstLineChars="200"/>
        <w:rPr>
          <w:color w:val="auto"/>
          <w:sz w:val="24"/>
        </w:rPr>
      </w:pPr>
      <w:r>
        <w:rPr>
          <w:color w:val="auto"/>
          <w:sz w:val="24"/>
        </w:rPr>
        <w:t>根据风险调查结果，本项目风险物质在厂区内最大存在量和临界量计算的Q值情况见表3-</w:t>
      </w:r>
      <w:r>
        <w:rPr>
          <w:rFonts w:hint="eastAsia"/>
          <w:color w:val="auto"/>
          <w:sz w:val="24"/>
        </w:rPr>
        <w:t>1</w:t>
      </w:r>
      <w:r>
        <w:rPr>
          <w:color w:val="auto"/>
          <w:sz w:val="24"/>
        </w:rPr>
        <w:t>。</w:t>
      </w:r>
    </w:p>
    <w:p w14:paraId="6BFCAD18">
      <w:pPr>
        <w:spacing w:line="360" w:lineRule="auto"/>
        <w:jc w:val="center"/>
        <w:rPr>
          <w:b/>
          <w:color w:val="auto"/>
          <w:sz w:val="24"/>
        </w:rPr>
      </w:pPr>
      <w:r>
        <w:rPr>
          <w:b/>
          <w:color w:val="auto"/>
          <w:sz w:val="24"/>
        </w:rPr>
        <w:t>表 3-</w:t>
      </w:r>
      <w:r>
        <w:rPr>
          <w:rFonts w:hint="eastAsia"/>
          <w:b/>
          <w:color w:val="auto"/>
          <w:sz w:val="24"/>
        </w:rPr>
        <w:t xml:space="preserve">1 </w:t>
      </w:r>
      <w:r>
        <w:rPr>
          <w:b/>
          <w:color w:val="auto"/>
          <w:sz w:val="24"/>
        </w:rPr>
        <w:t>项目 Q值确定表</w:t>
      </w:r>
    </w:p>
    <w:tbl>
      <w:tblPr>
        <w:tblStyle w:val="39"/>
        <w:tblW w:w="498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8"/>
        <w:gridCol w:w="2083"/>
        <w:gridCol w:w="1638"/>
        <w:gridCol w:w="1652"/>
        <w:gridCol w:w="1642"/>
        <w:gridCol w:w="1638"/>
      </w:tblGrid>
      <w:tr w14:paraId="6576A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tcBorders>
              <w:tl2br w:val="nil"/>
              <w:tr2bl w:val="nil"/>
            </w:tcBorders>
            <w:vAlign w:val="center"/>
          </w:tcPr>
          <w:p w14:paraId="65627421">
            <w:pPr>
              <w:rPr>
                <w:color w:val="auto"/>
              </w:rPr>
            </w:pPr>
            <w:r>
              <w:rPr>
                <w:rFonts w:hint="eastAsia"/>
                <w:color w:val="auto"/>
              </w:rPr>
              <w:t>序号</w:t>
            </w:r>
          </w:p>
        </w:tc>
        <w:tc>
          <w:tcPr>
            <w:tcW w:w="1059" w:type="pct"/>
            <w:tcBorders>
              <w:tl2br w:val="nil"/>
              <w:tr2bl w:val="nil"/>
            </w:tcBorders>
            <w:vAlign w:val="center"/>
          </w:tcPr>
          <w:p w14:paraId="11F96B2C">
            <w:pPr>
              <w:rPr>
                <w:color w:val="auto"/>
              </w:rPr>
            </w:pPr>
            <w:r>
              <w:rPr>
                <w:rFonts w:hint="eastAsia"/>
                <w:color w:val="auto"/>
              </w:rPr>
              <w:t>物质名称</w:t>
            </w:r>
          </w:p>
        </w:tc>
        <w:tc>
          <w:tcPr>
            <w:tcW w:w="833" w:type="pct"/>
            <w:tcBorders>
              <w:tl2br w:val="nil"/>
              <w:tr2bl w:val="nil"/>
            </w:tcBorders>
            <w:vAlign w:val="center"/>
          </w:tcPr>
          <w:p w14:paraId="33B22E9D">
            <w:pPr>
              <w:rPr>
                <w:color w:val="auto"/>
              </w:rPr>
            </w:pPr>
            <w:r>
              <w:rPr>
                <w:rFonts w:hint="eastAsia"/>
                <w:color w:val="auto"/>
              </w:rPr>
              <w:t>最大存储量（t）</w:t>
            </w:r>
          </w:p>
        </w:tc>
        <w:tc>
          <w:tcPr>
            <w:tcW w:w="840" w:type="pct"/>
            <w:tcBorders>
              <w:tl2br w:val="nil"/>
              <w:tr2bl w:val="nil"/>
            </w:tcBorders>
            <w:vAlign w:val="center"/>
          </w:tcPr>
          <w:p w14:paraId="55DA200B">
            <w:pPr>
              <w:rPr>
                <w:rFonts w:hint="eastAsia" w:eastAsia="宋体"/>
                <w:color w:val="auto"/>
                <w:lang w:eastAsia="zh-CN"/>
              </w:rPr>
            </w:pPr>
            <w:r>
              <w:rPr>
                <w:rFonts w:hint="eastAsia"/>
                <w:color w:val="auto"/>
                <w:lang w:eastAsia="zh-CN"/>
              </w:rPr>
              <w:t>生产线存在量（</w:t>
            </w:r>
            <w:r>
              <w:rPr>
                <w:rFonts w:hint="eastAsia"/>
                <w:color w:val="auto"/>
                <w:lang w:val="en-US" w:eastAsia="zh-CN"/>
              </w:rPr>
              <w:t>t</w:t>
            </w:r>
            <w:r>
              <w:rPr>
                <w:rFonts w:hint="eastAsia"/>
                <w:color w:val="auto"/>
                <w:lang w:eastAsia="zh-CN"/>
              </w:rPr>
              <w:t>）</w:t>
            </w:r>
          </w:p>
        </w:tc>
        <w:tc>
          <w:tcPr>
            <w:tcW w:w="834" w:type="pct"/>
            <w:tcBorders>
              <w:tl2br w:val="nil"/>
              <w:tr2bl w:val="nil"/>
            </w:tcBorders>
            <w:vAlign w:val="center"/>
          </w:tcPr>
          <w:p w14:paraId="4A111B42">
            <w:pPr>
              <w:rPr>
                <w:rFonts w:hint="eastAsia"/>
                <w:color w:val="auto"/>
              </w:rPr>
            </w:pPr>
            <w:r>
              <w:rPr>
                <w:rFonts w:hint="eastAsia"/>
                <w:color w:val="auto"/>
              </w:rPr>
              <w:t>临界量（t）</w:t>
            </w:r>
          </w:p>
        </w:tc>
        <w:tc>
          <w:tcPr>
            <w:tcW w:w="833" w:type="pct"/>
            <w:tcBorders>
              <w:tl2br w:val="nil"/>
              <w:tr2bl w:val="nil"/>
            </w:tcBorders>
            <w:vAlign w:val="center"/>
          </w:tcPr>
          <w:p w14:paraId="471A55D0">
            <w:pPr>
              <w:rPr>
                <w:color w:val="auto"/>
              </w:rPr>
            </w:pPr>
            <w:r>
              <w:rPr>
                <w:rFonts w:hint="eastAsia"/>
                <w:color w:val="auto"/>
              </w:rPr>
              <w:t>q/Q</w:t>
            </w:r>
          </w:p>
        </w:tc>
      </w:tr>
      <w:tr w14:paraId="6C86D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599" w:type="pct"/>
            <w:vMerge w:val="restart"/>
            <w:tcBorders>
              <w:tl2br w:val="nil"/>
              <w:tr2bl w:val="nil"/>
            </w:tcBorders>
            <w:vAlign w:val="center"/>
          </w:tcPr>
          <w:p w14:paraId="68EF1F3B">
            <w:pPr>
              <w:rPr>
                <w:rFonts w:hint="eastAsia" w:eastAsia="宋体"/>
                <w:color w:val="auto"/>
                <w:lang w:val="en-US" w:eastAsia="zh-CN"/>
              </w:rPr>
            </w:pPr>
            <w:r>
              <w:rPr>
                <w:rFonts w:hint="eastAsia"/>
                <w:color w:val="auto"/>
              </w:rPr>
              <w:t>1</w:t>
            </w:r>
          </w:p>
        </w:tc>
        <w:tc>
          <w:tcPr>
            <w:tcW w:w="1059" w:type="pct"/>
            <w:vMerge w:val="restart"/>
            <w:tcBorders>
              <w:tl2br w:val="nil"/>
              <w:tr2bl w:val="nil"/>
            </w:tcBorders>
            <w:vAlign w:val="center"/>
          </w:tcPr>
          <w:p w14:paraId="13E747D7">
            <w:pPr>
              <w:rPr>
                <w:color w:val="auto"/>
              </w:rPr>
            </w:pPr>
            <w:r>
              <w:rPr>
                <w:rFonts w:hint="eastAsia"/>
                <w:color w:val="auto"/>
              </w:rPr>
              <w:t>正己烷</w:t>
            </w:r>
          </w:p>
        </w:tc>
        <w:tc>
          <w:tcPr>
            <w:tcW w:w="833" w:type="pct"/>
            <w:tcBorders>
              <w:tl2br w:val="nil"/>
              <w:tr2bl w:val="nil"/>
            </w:tcBorders>
            <w:vAlign w:val="center"/>
          </w:tcPr>
          <w:p w14:paraId="6D39A6BC">
            <w:pPr>
              <w:rPr>
                <w:color w:val="auto"/>
              </w:rPr>
            </w:pPr>
            <w:r>
              <w:rPr>
                <w:rFonts w:hint="eastAsia"/>
                <w:color w:val="auto"/>
              </w:rPr>
              <w:t>72</w:t>
            </w:r>
          </w:p>
        </w:tc>
        <w:tc>
          <w:tcPr>
            <w:tcW w:w="840" w:type="pct"/>
            <w:tcBorders>
              <w:tl2br w:val="nil"/>
              <w:tr2bl w:val="nil"/>
            </w:tcBorders>
            <w:vAlign w:val="center"/>
          </w:tcPr>
          <w:p w14:paraId="52BEBE4F">
            <w:pPr>
              <w:rPr>
                <w:rFonts w:hint="eastAsia" w:eastAsia="宋体"/>
                <w:color w:val="auto"/>
                <w:lang w:val="en-US" w:eastAsia="zh-CN"/>
              </w:rPr>
            </w:pPr>
            <w:r>
              <w:rPr>
                <w:rFonts w:hint="eastAsia"/>
                <w:color w:val="auto"/>
                <w:lang w:val="en-US" w:eastAsia="zh-CN"/>
              </w:rPr>
              <w:t>0</w:t>
            </w:r>
          </w:p>
        </w:tc>
        <w:tc>
          <w:tcPr>
            <w:tcW w:w="834" w:type="pct"/>
            <w:vMerge w:val="restart"/>
            <w:tcBorders>
              <w:tl2br w:val="nil"/>
              <w:tr2bl w:val="nil"/>
            </w:tcBorders>
            <w:vAlign w:val="center"/>
          </w:tcPr>
          <w:p w14:paraId="75D7B002">
            <w:pPr>
              <w:rPr>
                <w:rFonts w:hint="eastAsia"/>
                <w:color w:val="auto"/>
              </w:rPr>
            </w:pPr>
            <w:r>
              <w:rPr>
                <w:rFonts w:hint="eastAsia"/>
                <w:color w:val="auto"/>
              </w:rPr>
              <w:t>10</w:t>
            </w:r>
          </w:p>
        </w:tc>
        <w:tc>
          <w:tcPr>
            <w:tcW w:w="833" w:type="pct"/>
            <w:vMerge w:val="restart"/>
            <w:tcBorders>
              <w:tl2br w:val="nil"/>
              <w:tr2bl w:val="nil"/>
            </w:tcBorders>
            <w:vAlign w:val="center"/>
          </w:tcPr>
          <w:p w14:paraId="7EAE68B1">
            <w:pPr>
              <w:rPr>
                <w:rFonts w:hint="eastAsia" w:eastAsia="宋体"/>
                <w:color w:val="auto"/>
                <w:lang w:eastAsia="zh-CN"/>
              </w:rPr>
            </w:pPr>
            <w:r>
              <w:rPr>
                <w:rFonts w:hint="eastAsia"/>
                <w:color w:val="auto"/>
              </w:rPr>
              <w:t>7.</w:t>
            </w:r>
            <w:r>
              <w:rPr>
                <w:rFonts w:hint="eastAsia"/>
                <w:color w:val="auto"/>
                <w:lang w:val="en-US" w:eastAsia="zh-CN"/>
              </w:rPr>
              <w:t>6</w:t>
            </w:r>
          </w:p>
        </w:tc>
      </w:tr>
      <w:tr w14:paraId="1691B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9" w:type="pct"/>
            <w:vMerge w:val="continue"/>
            <w:tcBorders>
              <w:tl2br w:val="nil"/>
              <w:tr2bl w:val="nil"/>
            </w:tcBorders>
            <w:vAlign w:val="center"/>
          </w:tcPr>
          <w:p w14:paraId="3564B0A7">
            <w:pPr>
              <w:rPr>
                <w:rFonts w:hint="eastAsia" w:eastAsia="宋体"/>
                <w:color w:val="auto"/>
                <w:lang w:val="en-US" w:eastAsia="zh-CN"/>
              </w:rPr>
            </w:pPr>
          </w:p>
        </w:tc>
        <w:tc>
          <w:tcPr>
            <w:tcW w:w="1059" w:type="pct"/>
            <w:vMerge w:val="continue"/>
            <w:tcBorders>
              <w:tl2br w:val="nil"/>
              <w:tr2bl w:val="nil"/>
            </w:tcBorders>
            <w:vAlign w:val="center"/>
          </w:tcPr>
          <w:p w14:paraId="34A86203">
            <w:pPr>
              <w:rPr>
                <w:rFonts w:hint="eastAsia"/>
                <w:color w:val="auto"/>
              </w:rPr>
            </w:pPr>
          </w:p>
        </w:tc>
        <w:tc>
          <w:tcPr>
            <w:tcW w:w="833" w:type="pct"/>
            <w:tcBorders>
              <w:tl2br w:val="nil"/>
              <w:tr2bl w:val="nil"/>
            </w:tcBorders>
            <w:vAlign w:val="center"/>
          </w:tcPr>
          <w:p w14:paraId="25BBC0A5">
            <w:pPr>
              <w:rPr>
                <w:rFonts w:hint="eastAsia" w:eastAsia="宋体"/>
                <w:color w:val="auto"/>
                <w:lang w:val="en-US" w:eastAsia="zh-CN"/>
              </w:rPr>
            </w:pPr>
            <w:r>
              <w:rPr>
                <w:rFonts w:hint="eastAsia"/>
                <w:color w:val="auto"/>
                <w:lang w:val="en-US" w:eastAsia="zh-CN"/>
              </w:rPr>
              <w:t>0</w:t>
            </w:r>
          </w:p>
        </w:tc>
        <w:tc>
          <w:tcPr>
            <w:tcW w:w="840" w:type="pct"/>
            <w:tcBorders>
              <w:tl2br w:val="nil"/>
              <w:tr2bl w:val="nil"/>
            </w:tcBorders>
            <w:vAlign w:val="center"/>
          </w:tcPr>
          <w:p w14:paraId="6B9970CC">
            <w:pPr>
              <w:rPr>
                <w:rFonts w:hint="default" w:eastAsia="宋体"/>
                <w:color w:val="auto"/>
                <w:lang w:val="en-US" w:eastAsia="zh-CN"/>
              </w:rPr>
            </w:pPr>
            <w:r>
              <w:rPr>
                <w:rFonts w:hint="eastAsia"/>
                <w:color w:val="auto"/>
                <w:lang w:val="en-US" w:eastAsia="zh-CN"/>
              </w:rPr>
              <w:t>4</w:t>
            </w:r>
          </w:p>
        </w:tc>
        <w:tc>
          <w:tcPr>
            <w:tcW w:w="834" w:type="pct"/>
            <w:vMerge w:val="continue"/>
            <w:tcBorders>
              <w:tl2br w:val="nil"/>
              <w:tr2bl w:val="nil"/>
            </w:tcBorders>
            <w:vAlign w:val="center"/>
          </w:tcPr>
          <w:p w14:paraId="02820D7C">
            <w:pPr>
              <w:rPr>
                <w:rFonts w:hint="eastAsia"/>
                <w:color w:val="auto"/>
              </w:rPr>
            </w:pPr>
          </w:p>
        </w:tc>
        <w:tc>
          <w:tcPr>
            <w:tcW w:w="833" w:type="pct"/>
            <w:vMerge w:val="continue"/>
            <w:tcBorders>
              <w:tl2br w:val="nil"/>
              <w:tr2bl w:val="nil"/>
            </w:tcBorders>
            <w:vAlign w:val="center"/>
          </w:tcPr>
          <w:p w14:paraId="69885D45">
            <w:pPr>
              <w:rPr>
                <w:rFonts w:hint="eastAsia"/>
                <w:color w:val="auto"/>
              </w:rPr>
            </w:pPr>
          </w:p>
        </w:tc>
      </w:tr>
      <w:tr w14:paraId="673A6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66" w:type="pct"/>
            <w:gridSpan w:val="5"/>
            <w:tcBorders>
              <w:tl2br w:val="nil"/>
              <w:tr2bl w:val="nil"/>
            </w:tcBorders>
            <w:vAlign w:val="center"/>
          </w:tcPr>
          <w:p w14:paraId="70CC5999">
            <w:pPr>
              <w:rPr>
                <w:rFonts w:hint="eastAsia"/>
                <w:color w:val="auto"/>
              </w:rPr>
            </w:pPr>
            <w:r>
              <w:rPr>
                <w:rFonts w:hint="eastAsia"/>
                <w:color w:val="auto"/>
              </w:rPr>
              <w:t>项目Q值∑</w:t>
            </w:r>
          </w:p>
        </w:tc>
        <w:tc>
          <w:tcPr>
            <w:tcW w:w="833" w:type="pct"/>
            <w:tcBorders>
              <w:tl2br w:val="nil"/>
              <w:tr2bl w:val="nil"/>
            </w:tcBorders>
            <w:vAlign w:val="center"/>
          </w:tcPr>
          <w:p w14:paraId="06C7EE69">
            <w:pPr>
              <w:rPr>
                <w:rFonts w:hint="default" w:eastAsia="宋体"/>
                <w:color w:val="auto"/>
                <w:lang w:val="en-US" w:eastAsia="zh-CN"/>
              </w:rPr>
            </w:pPr>
            <w:r>
              <w:rPr>
                <w:rFonts w:hint="eastAsia"/>
                <w:color w:val="auto"/>
                <w:lang w:val="en-US" w:eastAsia="zh-CN"/>
              </w:rPr>
              <w:t>7.6</w:t>
            </w:r>
          </w:p>
        </w:tc>
      </w:tr>
    </w:tbl>
    <w:p w14:paraId="27A97617">
      <w:pPr>
        <w:widowControl/>
        <w:snapToGrid w:val="0"/>
        <w:spacing w:line="400" w:lineRule="exact"/>
        <w:ind w:firstLine="480" w:firstLineChars="200"/>
        <w:rPr>
          <w:color w:val="auto"/>
          <w:sz w:val="24"/>
        </w:rPr>
      </w:pPr>
      <w:r>
        <w:rPr>
          <w:color w:val="auto"/>
          <w:sz w:val="24"/>
        </w:rPr>
        <w:t>由表3-</w:t>
      </w:r>
      <w:r>
        <w:rPr>
          <w:rFonts w:hint="eastAsia"/>
          <w:color w:val="auto"/>
          <w:sz w:val="24"/>
        </w:rPr>
        <w:t>1</w:t>
      </w:r>
      <w:r>
        <w:rPr>
          <w:color w:val="auto"/>
          <w:sz w:val="24"/>
        </w:rPr>
        <w:t>可知，本项目环境风险物质与临界量的比值Q=</w:t>
      </w:r>
      <w:r>
        <w:rPr>
          <w:rFonts w:hint="eastAsia"/>
          <w:color w:val="auto"/>
          <w:sz w:val="24"/>
          <w:lang w:val="en-US" w:eastAsia="zh-CN"/>
        </w:rPr>
        <w:t>7.6</w:t>
      </w:r>
      <w:r>
        <w:rPr>
          <w:color w:val="auto"/>
          <w:sz w:val="24"/>
        </w:rPr>
        <w:t>，为Q1（0≤Q&lt;10）。</w:t>
      </w:r>
    </w:p>
    <w:p w14:paraId="05D1BCFF">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1</w:t>
      </w:r>
      <w:r>
        <w:rPr>
          <w:rFonts w:hint="default" w:ascii="Times New Roman" w:hAnsi="Times New Roman"/>
          <w:b/>
          <w:bCs/>
          <w:color w:val="auto"/>
          <w:sz w:val="24"/>
          <w:szCs w:val="24"/>
        </w:rPr>
        <w:t>.2行业及生产工艺（M）的确定</w:t>
      </w:r>
    </w:p>
    <w:p w14:paraId="7087C1F5">
      <w:pPr>
        <w:adjustRightInd w:val="0"/>
        <w:snapToGrid w:val="0"/>
        <w:spacing w:line="360" w:lineRule="auto"/>
        <w:ind w:firstLine="480" w:firstLineChars="200"/>
        <w:rPr>
          <w:color w:val="auto"/>
          <w:sz w:val="24"/>
        </w:rPr>
      </w:pPr>
      <w:r>
        <w:rPr>
          <w:color w:val="auto"/>
          <w:sz w:val="24"/>
        </w:rPr>
        <w:t>分析项目所属行业及生产工艺特点，按照《建设项目环境风险评价技术导则》（HJ169-2018）表C.1评估生产工艺情况。具有多套工艺单元的项目，对每套生产工艺分别评分并求和。将M划分为（1）M&gt;20；（2）10&lt;M≤20；（3）5&lt;M≤10；（4）M=5，分别以M1、M2、M3和M4表示。拟建项目行业及生产工艺（M）分值判断见表3-</w:t>
      </w:r>
      <w:r>
        <w:rPr>
          <w:rFonts w:hint="eastAsia"/>
          <w:color w:val="auto"/>
          <w:sz w:val="24"/>
        </w:rPr>
        <w:t>2</w:t>
      </w:r>
      <w:r>
        <w:rPr>
          <w:color w:val="auto"/>
          <w:sz w:val="24"/>
        </w:rPr>
        <w:t>所示。</w:t>
      </w:r>
    </w:p>
    <w:p w14:paraId="0DB977FB">
      <w:pPr>
        <w:spacing w:line="360" w:lineRule="auto"/>
        <w:jc w:val="center"/>
        <w:rPr>
          <w:b/>
          <w:color w:val="auto"/>
          <w:sz w:val="24"/>
        </w:rPr>
      </w:pPr>
      <w:r>
        <w:rPr>
          <w:b/>
          <w:color w:val="auto"/>
          <w:sz w:val="24"/>
        </w:rPr>
        <w:t>表 3-</w:t>
      </w:r>
      <w:r>
        <w:rPr>
          <w:rFonts w:hint="eastAsia"/>
          <w:b/>
          <w:color w:val="auto"/>
          <w:sz w:val="24"/>
        </w:rPr>
        <w:t xml:space="preserve">2 </w:t>
      </w:r>
      <w:r>
        <w:rPr>
          <w:b/>
          <w:color w:val="auto"/>
          <w:sz w:val="24"/>
        </w:rPr>
        <w:t>行业及生产工艺（M）</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885"/>
        <w:gridCol w:w="6312"/>
        <w:gridCol w:w="1440"/>
      </w:tblGrid>
      <w:tr w14:paraId="708C1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tcBorders>
              <w:tl2br w:val="nil"/>
              <w:tr2bl w:val="nil"/>
            </w:tcBorders>
            <w:vAlign w:val="center"/>
          </w:tcPr>
          <w:p w14:paraId="465AAE62">
            <w:pPr>
              <w:jc w:val="center"/>
              <w:rPr>
                <w:bCs/>
                <w:color w:val="auto"/>
                <w:szCs w:val="21"/>
                <w:lang w:val="zh-CN" w:bidi="zh-CN"/>
              </w:rPr>
            </w:pPr>
            <w:r>
              <w:rPr>
                <w:bCs/>
                <w:color w:val="auto"/>
                <w:szCs w:val="21"/>
                <w:lang w:val="zh-CN" w:bidi="zh-CN"/>
              </w:rPr>
              <w:t>行业</w:t>
            </w:r>
          </w:p>
        </w:tc>
        <w:tc>
          <w:tcPr>
            <w:tcW w:w="6104" w:type="dxa"/>
            <w:tcBorders>
              <w:tl2br w:val="nil"/>
              <w:tr2bl w:val="nil"/>
            </w:tcBorders>
            <w:vAlign w:val="center"/>
          </w:tcPr>
          <w:p w14:paraId="49CBEEDB">
            <w:pPr>
              <w:jc w:val="center"/>
              <w:rPr>
                <w:bCs/>
                <w:color w:val="auto"/>
                <w:szCs w:val="21"/>
                <w:lang w:val="zh-CN" w:bidi="zh-CN"/>
              </w:rPr>
            </w:pPr>
            <w:r>
              <w:rPr>
                <w:bCs/>
                <w:color w:val="auto"/>
                <w:szCs w:val="21"/>
                <w:lang w:val="zh-CN" w:bidi="zh-CN"/>
              </w:rPr>
              <w:t>评估依据</w:t>
            </w:r>
          </w:p>
        </w:tc>
        <w:tc>
          <w:tcPr>
            <w:tcW w:w="1393" w:type="dxa"/>
            <w:tcBorders>
              <w:tl2br w:val="nil"/>
              <w:tr2bl w:val="nil"/>
            </w:tcBorders>
            <w:vAlign w:val="center"/>
          </w:tcPr>
          <w:p w14:paraId="74C29598">
            <w:pPr>
              <w:jc w:val="center"/>
              <w:rPr>
                <w:bCs/>
                <w:color w:val="auto"/>
                <w:szCs w:val="21"/>
                <w:lang w:val="zh-CN" w:bidi="zh-CN"/>
              </w:rPr>
            </w:pPr>
            <w:r>
              <w:rPr>
                <w:bCs/>
                <w:color w:val="auto"/>
                <w:szCs w:val="21"/>
                <w:lang w:val="zh-CN" w:bidi="zh-CN"/>
              </w:rPr>
              <w:t>分值</w:t>
            </w:r>
          </w:p>
        </w:tc>
      </w:tr>
      <w:tr w14:paraId="39595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vMerge w:val="restart"/>
            <w:tcBorders>
              <w:tl2br w:val="nil"/>
              <w:tr2bl w:val="nil"/>
            </w:tcBorders>
            <w:vAlign w:val="center"/>
          </w:tcPr>
          <w:p w14:paraId="602011AD">
            <w:pPr>
              <w:jc w:val="center"/>
              <w:rPr>
                <w:color w:val="auto"/>
                <w:szCs w:val="21"/>
                <w:lang w:val="zh-CN" w:bidi="zh-CN"/>
              </w:rPr>
            </w:pPr>
            <w:r>
              <w:rPr>
                <w:color w:val="auto"/>
                <w:spacing w:val="-2"/>
                <w:szCs w:val="21"/>
                <w:lang w:val="zh-CN" w:bidi="zh-CN"/>
              </w:rPr>
              <w:t>石化、化工、医</w:t>
            </w:r>
            <w:r>
              <w:rPr>
                <w:color w:val="auto"/>
                <w:spacing w:val="-15"/>
                <w:szCs w:val="21"/>
                <w:lang w:val="zh-CN" w:bidi="zh-CN"/>
              </w:rPr>
              <w:t>药、轻工、化纤、</w:t>
            </w:r>
            <w:r>
              <w:rPr>
                <w:color w:val="auto"/>
                <w:spacing w:val="-1"/>
                <w:szCs w:val="21"/>
                <w:lang w:val="zh-CN" w:bidi="zh-CN"/>
              </w:rPr>
              <w:t>有色冶炼等</w:t>
            </w:r>
          </w:p>
        </w:tc>
        <w:tc>
          <w:tcPr>
            <w:tcW w:w="6104" w:type="dxa"/>
            <w:tcBorders>
              <w:tl2br w:val="nil"/>
              <w:tr2bl w:val="nil"/>
            </w:tcBorders>
            <w:vAlign w:val="center"/>
          </w:tcPr>
          <w:p w14:paraId="036CA468">
            <w:pPr>
              <w:jc w:val="center"/>
              <w:rPr>
                <w:color w:val="auto"/>
                <w:szCs w:val="21"/>
                <w:lang w:val="zh-CN" w:bidi="zh-CN"/>
              </w:rPr>
            </w:pPr>
            <w:r>
              <w:rPr>
                <w:color w:val="auto"/>
                <w:szCs w:val="21"/>
                <w:lang w:val="zh-CN" w:bidi="zh-CN"/>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393" w:type="dxa"/>
            <w:tcBorders>
              <w:tl2br w:val="nil"/>
              <w:tr2bl w:val="nil"/>
            </w:tcBorders>
            <w:vAlign w:val="center"/>
          </w:tcPr>
          <w:p w14:paraId="08FE19F9">
            <w:pPr>
              <w:jc w:val="center"/>
              <w:rPr>
                <w:color w:val="auto"/>
                <w:szCs w:val="21"/>
                <w:lang w:val="zh-CN" w:bidi="zh-CN"/>
              </w:rPr>
            </w:pPr>
            <w:r>
              <w:rPr>
                <w:color w:val="auto"/>
                <w:szCs w:val="21"/>
                <w:lang w:val="zh-CN" w:bidi="zh-CN"/>
              </w:rPr>
              <w:t>10/套</w:t>
            </w:r>
          </w:p>
        </w:tc>
      </w:tr>
      <w:tr w14:paraId="6BB05E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vMerge w:val="continue"/>
            <w:tcBorders>
              <w:tl2br w:val="nil"/>
              <w:tr2bl w:val="nil"/>
            </w:tcBorders>
            <w:vAlign w:val="center"/>
          </w:tcPr>
          <w:p w14:paraId="6A00D447">
            <w:pPr>
              <w:jc w:val="center"/>
              <w:rPr>
                <w:color w:val="auto"/>
                <w:szCs w:val="21"/>
              </w:rPr>
            </w:pPr>
          </w:p>
        </w:tc>
        <w:tc>
          <w:tcPr>
            <w:tcW w:w="6104" w:type="dxa"/>
            <w:tcBorders>
              <w:tl2br w:val="nil"/>
              <w:tr2bl w:val="nil"/>
            </w:tcBorders>
            <w:vAlign w:val="center"/>
          </w:tcPr>
          <w:p w14:paraId="51E575AE">
            <w:pPr>
              <w:jc w:val="center"/>
              <w:rPr>
                <w:color w:val="auto"/>
                <w:szCs w:val="21"/>
                <w:lang w:val="zh-CN" w:bidi="zh-CN"/>
              </w:rPr>
            </w:pPr>
            <w:r>
              <w:rPr>
                <w:color w:val="auto"/>
                <w:szCs w:val="21"/>
                <w:lang w:val="zh-CN" w:bidi="zh-CN"/>
              </w:rPr>
              <w:t>无机酸制酸工艺、焦化工艺</w:t>
            </w:r>
          </w:p>
        </w:tc>
        <w:tc>
          <w:tcPr>
            <w:tcW w:w="1393" w:type="dxa"/>
            <w:tcBorders>
              <w:tl2br w:val="nil"/>
              <w:tr2bl w:val="nil"/>
            </w:tcBorders>
            <w:vAlign w:val="center"/>
          </w:tcPr>
          <w:p w14:paraId="17170644">
            <w:pPr>
              <w:jc w:val="center"/>
              <w:rPr>
                <w:color w:val="auto"/>
                <w:szCs w:val="21"/>
                <w:lang w:val="zh-CN" w:bidi="zh-CN"/>
              </w:rPr>
            </w:pPr>
            <w:r>
              <w:rPr>
                <w:color w:val="auto"/>
                <w:szCs w:val="21"/>
                <w:lang w:val="zh-CN" w:bidi="zh-CN"/>
              </w:rPr>
              <w:t>5/套</w:t>
            </w:r>
          </w:p>
        </w:tc>
      </w:tr>
      <w:tr w14:paraId="4EF8A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vMerge w:val="continue"/>
            <w:tcBorders>
              <w:tl2br w:val="nil"/>
              <w:tr2bl w:val="nil"/>
            </w:tcBorders>
            <w:vAlign w:val="center"/>
          </w:tcPr>
          <w:p w14:paraId="4A446961">
            <w:pPr>
              <w:jc w:val="center"/>
              <w:rPr>
                <w:color w:val="auto"/>
                <w:szCs w:val="21"/>
              </w:rPr>
            </w:pPr>
          </w:p>
        </w:tc>
        <w:tc>
          <w:tcPr>
            <w:tcW w:w="6104" w:type="dxa"/>
            <w:tcBorders>
              <w:tl2br w:val="nil"/>
              <w:tr2bl w:val="nil"/>
            </w:tcBorders>
            <w:vAlign w:val="center"/>
          </w:tcPr>
          <w:p w14:paraId="365E5D52">
            <w:pPr>
              <w:jc w:val="center"/>
              <w:rPr>
                <w:color w:val="auto"/>
                <w:szCs w:val="21"/>
                <w:lang w:val="zh-CN" w:bidi="zh-CN"/>
              </w:rPr>
            </w:pPr>
            <w:r>
              <w:rPr>
                <w:color w:val="auto"/>
                <w:szCs w:val="21"/>
                <w:lang w:val="zh-CN" w:bidi="zh-CN"/>
              </w:rPr>
              <w:t>其他高温或高压，且涉及危险物质的工艺过程</w:t>
            </w:r>
            <w:r>
              <w:rPr>
                <w:color w:val="auto"/>
                <w:szCs w:val="21"/>
                <w:vertAlign w:val="superscript"/>
                <w:lang w:val="zh-CN" w:bidi="zh-CN"/>
              </w:rPr>
              <w:t>a</w:t>
            </w:r>
            <w:r>
              <w:rPr>
                <w:color w:val="auto"/>
                <w:szCs w:val="21"/>
                <w:lang w:val="zh-CN" w:bidi="zh-CN"/>
              </w:rPr>
              <w:t>、危险物质贮存罐区</w:t>
            </w:r>
          </w:p>
        </w:tc>
        <w:tc>
          <w:tcPr>
            <w:tcW w:w="1393" w:type="dxa"/>
            <w:tcBorders>
              <w:tl2br w:val="nil"/>
              <w:tr2bl w:val="nil"/>
            </w:tcBorders>
            <w:vAlign w:val="center"/>
          </w:tcPr>
          <w:p w14:paraId="2E37A670">
            <w:pPr>
              <w:jc w:val="center"/>
              <w:rPr>
                <w:color w:val="auto"/>
                <w:szCs w:val="21"/>
                <w:lang w:val="zh-CN" w:bidi="zh-CN"/>
              </w:rPr>
            </w:pPr>
            <w:r>
              <w:rPr>
                <w:color w:val="auto"/>
                <w:szCs w:val="21"/>
                <w:lang w:val="zh-CN" w:bidi="zh-CN"/>
              </w:rPr>
              <w:t>5/</w:t>
            </w:r>
            <w:r>
              <w:rPr>
                <w:color w:val="auto"/>
                <w:spacing w:val="-20"/>
                <w:szCs w:val="21"/>
                <w:lang w:val="zh-CN" w:bidi="zh-CN"/>
              </w:rPr>
              <w:t>套</w:t>
            </w:r>
            <w:r>
              <w:rPr>
                <w:color w:val="auto"/>
                <w:szCs w:val="21"/>
                <w:lang w:val="zh-CN" w:bidi="zh-CN"/>
              </w:rPr>
              <w:t>（</w:t>
            </w:r>
            <w:r>
              <w:rPr>
                <w:color w:val="auto"/>
                <w:spacing w:val="-2"/>
                <w:szCs w:val="21"/>
                <w:lang w:val="zh-CN" w:bidi="zh-CN"/>
              </w:rPr>
              <w:t>罐区</w:t>
            </w:r>
            <w:r>
              <w:rPr>
                <w:color w:val="auto"/>
                <w:spacing w:val="-13"/>
                <w:szCs w:val="21"/>
                <w:lang w:val="zh-CN" w:bidi="zh-CN"/>
              </w:rPr>
              <w:t>）</w:t>
            </w:r>
          </w:p>
        </w:tc>
      </w:tr>
      <w:tr w14:paraId="2CCCB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tcBorders>
              <w:tl2br w:val="nil"/>
              <w:tr2bl w:val="nil"/>
            </w:tcBorders>
            <w:vAlign w:val="center"/>
          </w:tcPr>
          <w:p w14:paraId="54208456">
            <w:pPr>
              <w:jc w:val="center"/>
              <w:rPr>
                <w:color w:val="auto"/>
                <w:szCs w:val="21"/>
                <w:lang w:val="zh-CN" w:bidi="zh-CN"/>
              </w:rPr>
            </w:pPr>
            <w:r>
              <w:rPr>
                <w:color w:val="auto"/>
                <w:szCs w:val="21"/>
                <w:lang w:val="zh-CN" w:bidi="zh-CN"/>
              </w:rPr>
              <w:t>管道、港口/码头等</w:t>
            </w:r>
          </w:p>
        </w:tc>
        <w:tc>
          <w:tcPr>
            <w:tcW w:w="6104" w:type="dxa"/>
            <w:tcBorders>
              <w:tl2br w:val="nil"/>
              <w:tr2bl w:val="nil"/>
            </w:tcBorders>
            <w:vAlign w:val="center"/>
          </w:tcPr>
          <w:p w14:paraId="0671DECD">
            <w:pPr>
              <w:jc w:val="center"/>
              <w:rPr>
                <w:color w:val="auto"/>
                <w:szCs w:val="21"/>
                <w:lang w:val="zh-CN" w:bidi="zh-CN"/>
              </w:rPr>
            </w:pPr>
            <w:r>
              <w:rPr>
                <w:color w:val="auto"/>
                <w:szCs w:val="21"/>
                <w:lang w:val="zh-CN" w:bidi="zh-CN"/>
              </w:rPr>
              <w:t>涉及危险物质管道运输项目、港口/码头等</w:t>
            </w:r>
          </w:p>
        </w:tc>
        <w:tc>
          <w:tcPr>
            <w:tcW w:w="1393" w:type="dxa"/>
            <w:tcBorders>
              <w:tl2br w:val="nil"/>
              <w:tr2bl w:val="nil"/>
            </w:tcBorders>
            <w:vAlign w:val="center"/>
          </w:tcPr>
          <w:p w14:paraId="2656388D">
            <w:pPr>
              <w:jc w:val="center"/>
              <w:rPr>
                <w:color w:val="auto"/>
                <w:szCs w:val="21"/>
                <w:lang w:val="zh-CN" w:bidi="zh-CN"/>
              </w:rPr>
            </w:pPr>
            <w:r>
              <w:rPr>
                <w:color w:val="auto"/>
                <w:szCs w:val="21"/>
                <w:lang w:val="zh-CN" w:bidi="zh-CN"/>
              </w:rPr>
              <w:t>10</w:t>
            </w:r>
          </w:p>
        </w:tc>
      </w:tr>
      <w:tr w14:paraId="797471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tcBorders>
              <w:tl2br w:val="nil"/>
              <w:tr2bl w:val="nil"/>
            </w:tcBorders>
            <w:vAlign w:val="center"/>
          </w:tcPr>
          <w:p w14:paraId="69FE67AE">
            <w:pPr>
              <w:jc w:val="center"/>
              <w:rPr>
                <w:color w:val="auto"/>
                <w:szCs w:val="21"/>
                <w:lang w:val="zh-CN" w:bidi="zh-CN"/>
              </w:rPr>
            </w:pPr>
            <w:r>
              <w:rPr>
                <w:color w:val="auto"/>
                <w:szCs w:val="21"/>
                <w:lang w:val="zh-CN" w:bidi="zh-CN"/>
              </w:rPr>
              <w:t>石油天然气</w:t>
            </w:r>
          </w:p>
        </w:tc>
        <w:tc>
          <w:tcPr>
            <w:tcW w:w="6104" w:type="dxa"/>
            <w:tcBorders>
              <w:tl2br w:val="nil"/>
              <w:tr2bl w:val="nil"/>
            </w:tcBorders>
            <w:vAlign w:val="center"/>
          </w:tcPr>
          <w:p w14:paraId="0AE3D793">
            <w:pPr>
              <w:jc w:val="center"/>
              <w:rPr>
                <w:color w:val="auto"/>
                <w:szCs w:val="21"/>
                <w:lang w:val="zh-CN" w:bidi="zh-CN"/>
              </w:rPr>
            </w:pPr>
            <w:r>
              <w:rPr>
                <w:color w:val="auto"/>
                <w:szCs w:val="21"/>
                <w:lang w:val="zh-CN" w:bidi="zh-CN"/>
              </w:rPr>
              <w:t>石油、天然气、页岩气开采（含净化），气库（不含加气站的气库），油库（不含加气站的油库）、油气管线</w:t>
            </w:r>
            <w:r>
              <w:rPr>
                <w:color w:val="auto"/>
                <w:szCs w:val="21"/>
                <w:vertAlign w:val="superscript"/>
                <w:lang w:val="zh-CN" w:bidi="zh-CN"/>
              </w:rPr>
              <w:t>b</w:t>
            </w:r>
            <w:r>
              <w:rPr>
                <w:color w:val="auto"/>
                <w:szCs w:val="21"/>
                <w:lang w:val="zh-CN" w:bidi="zh-CN"/>
              </w:rPr>
              <w:t>（不含城镇燃气管线）</w:t>
            </w:r>
          </w:p>
        </w:tc>
        <w:tc>
          <w:tcPr>
            <w:tcW w:w="1393" w:type="dxa"/>
            <w:tcBorders>
              <w:tl2br w:val="nil"/>
              <w:tr2bl w:val="nil"/>
            </w:tcBorders>
            <w:vAlign w:val="center"/>
          </w:tcPr>
          <w:p w14:paraId="1FC6F50A">
            <w:pPr>
              <w:jc w:val="center"/>
              <w:rPr>
                <w:color w:val="auto"/>
                <w:szCs w:val="21"/>
                <w:lang w:val="zh-CN" w:bidi="zh-CN"/>
              </w:rPr>
            </w:pPr>
            <w:r>
              <w:rPr>
                <w:color w:val="auto"/>
                <w:szCs w:val="21"/>
                <w:lang w:val="zh-CN" w:bidi="zh-CN"/>
              </w:rPr>
              <w:t>10</w:t>
            </w:r>
          </w:p>
        </w:tc>
      </w:tr>
      <w:tr w14:paraId="61A7D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823" w:type="dxa"/>
            <w:tcBorders>
              <w:tl2br w:val="nil"/>
              <w:tr2bl w:val="nil"/>
            </w:tcBorders>
            <w:vAlign w:val="center"/>
          </w:tcPr>
          <w:p w14:paraId="08E4EB81">
            <w:pPr>
              <w:jc w:val="center"/>
              <w:rPr>
                <w:color w:val="auto"/>
                <w:szCs w:val="21"/>
                <w:lang w:val="zh-CN" w:bidi="zh-CN"/>
              </w:rPr>
            </w:pPr>
            <w:r>
              <w:rPr>
                <w:color w:val="auto"/>
                <w:szCs w:val="21"/>
                <w:lang w:val="zh-CN" w:bidi="zh-CN"/>
              </w:rPr>
              <w:t>其他</w:t>
            </w:r>
          </w:p>
        </w:tc>
        <w:tc>
          <w:tcPr>
            <w:tcW w:w="6104" w:type="dxa"/>
            <w:tcBorders>
              <w:tl2br w:val="nil"/>
              <w:tr2bl w:val="nil"/>
            </w:tcBorders>
            <w:vAlign w:val="center"/>
          </w:tcPr>
          <w:p w14:paraId="7E389E22">
            <w:pPr>
              <w:jc w:val="center"/>
              <w:rPr>
                <w:color w:val="auto"/>
                <w:szCs w:val="21"/>
                <w:lang w:val="zh-CN" w:bidi="zh-CN"/>
              </w:rPr>
            </w:pPr>
            <w:r>
              <w:rPr>
                <w:color w:val="auto"/>
                <w:szCs w:val="21"/>
                <w:lang w:val="zh-CN" w:bidi="zh-CN"/>
              </w:rPr>
              <w:t>涉及危险物质使用、贮存的项目</w:t>
            </w:r>
          </w:p>
        </w:tc>
        <w:tc>
          <w:tcPr>
            <w:tcW w:w="1393" w:type="dxa"/>
            <w:tcBorders>
              <w:tl2br w:val="nil"/>
              <w:tr2bl w:val="nil"/>
            </w:tcBorders>
            <w:vAlign w:val="center"/>
          </w:tcPr>
          <w:p w14:paraId="2B89A705">
            <w:pPr>
              <w:jc w:val="center"/>
              <w:rPr>
                <w:color w:val="auto"/>
                <w:szCs w:val="21"/>
                <w:lang w:val="zh-CN" w:bidi="zh-CN"/>
              </w:rPr>
            </w:pPr>
            <w:r>
              <w:rPr>
                <w:color w:val="auto"/>
                <w:szCs w:val="21"/>
                <w:lang w:val="zh-CN" w:bidi="zh-CN"/>
              </w:rPr>
              <w:t>5</w:t>
            </w:r>
          </w:p>
        </w:tc>
      </w:tr>
      <w:tr w14:paraId="430C3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9320" w:type="dxa"/>
            <w:gridSpan w:val="3"/>
            <w:tcBorders>
              <w:tl2br w:val="nil"/>
              <w:tr2bl w:val="nil"/>
            </w:tcBorders>
            <w:vAlign w:val="center"/>
          </w:tcPr>
          <w:p w14:paraId="281C4CAA">
            <w:pPr>
              <w:jc w:val="center"/>
              <w:rPr>
                <w:color w:val="auto"/>
                <w:szCs w:val="21"/>
                <w:lang w:val="zh-CN" w:bidi="zh-CN"/>
              </w:rPr>
            </w:pPr>
            <w:r>
              <w:rPr>
                <w:color w:val="auto"/>
                <w:szCs w:val="21"/>
                <w:lang w:val="zh-CN" w:bidi="zh-CN"/>
              </w:rPr>
              <w:t>a 高温指工艺温度≥300℃，高压指压力容器的设计压力（P）≥10.0MPa；</w:t>
            </w:r>
          </w:p>
          <w:p w14:paraId="59E82568">
            <w:pPr>
              <w:jc w:val="center"/>
              <w:rPr>
                <w:color w:val="auto"/>
                <w:szCs w:val="21"/>
                <w:lang w:val="zh-CN" w:bidi="zh-CN"/>
              </w:rPr>
            </w:pPr>
            <w:r>
              <w:rPr>
                <w:color w:val="auto"/>
                <w:szCs w:val="21"/>
                <w:lang w:val="zh-CN" w:bidi="zh-CN"/>
              </w:rPr>
              <w:t>b 长输管道运输项目应按站场、管线分段进行评价。</w:t>
            </w:r>
          </w:p>
        </w:tc>
      </w:tr>
    </w:tbl>
    <w:p w14:paraId="2001EB29">
      <w:pPr>
        <w:adjustRightInd w:val="0"/>
        <w:snapToGrid w:val="0"/>
        <w:spacing w:line="360" w:lineRule="auto"/>
        <w:ind w:firstLine="480" w:firstLineChars="200"/>
        <w:rPr>
          <w:color w:val="auto"/>
          <w:sz w:val="24"/>
        </w:rPr>
      </w:pPr>
      <w:r>
        <w:rPr>
          <w:color w:val="auto"/>
          <w:sz w:val="24"/>
        </w:rPr>
        <w:t>本项目主要建设</w:t>
      </w:r>
      <w:r>
        <w:rPr>
          <w:rFonts w:hint="eastAsia"/>
          <w:color w:val="auto"/>
          <w:sz w:val="24"/>
        </w:rPr>
        <w:t>正己烷</w:t>
      </w:r>
      <w:r>
        <w:rPr>
          <w:color w:val="auto"/>
          <w:sz w:val="24"/>
        </w:rPr>
        <w:t>储罐，属于涉及危险物质使用、贮存的项目，M=</w:t>
      </w:r>
      <w:r>
        <w:rPr>
          <w:rFonts w:hint="eastAsia"/>
          <w:color w:val="auto"/>
          <w:sz w:val="24"/>
          <w:lang w:val="en-US" w:eastAsia="zh-CN"/>
        </w:rPr>
        <w:t>5</w:t>
      </w:r>
      <w:r>
        <w:rPr>
          <w:color w:val="auto"/>
          <w:sz w:val="24"/>
        </w:rPr>
        <w:t>，为M</w:t>
      </w:r>
      <w:r>
        <w:rPr>
          <w:rFonts w:hint="eastAsia"/>
          <w:color w:val="auto"/>
          <w:sz w:val="24"/>
          <w:lang w:val="en-US" w:eastAsia="zh-CN"/>
        </w:rPr>
        <w:t>3</w:t>
      </w:r>
      <w:r>
        <w:rPr>
          <w:color w:val="auto"/>
          <w:sz w:val="24"/>
        </w:rPr>
        <w:t>。</w:t>
      </w:r>
    </w:p>
    <w:p w14:paraId="2F607A50">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.1</w:t>
      </w:r>
      <w:r>
        <w:rPr>
          <w:rFonts w:hint="default" w:ascii="Times New Roman" w:hAnsi="Times New Roman"/>
          <w:b/>
          <w:bCs/>
          <w:color w:val="auto"/>
          <w:sz w:val="24"/>
          <w:szCs w:val="24"/>
        </w:rPr>
        <w:t>.3危险物质及工艺系统危险性（P）分级的确定</w:t>
      </w:r>
    </w:p>
    <w:p w14:paraId="534BEDBC">
      <w:pPr>
        <w:adjustRightInd w:val="0"/>
        <w:snapToGrid w:val="0"/>
        <w:spacing w:line="360" w:lineRule="auto"/>
        <w:ind w:firstLine="480" w:firstLineChars="200"/>
        <w:rPr>
          <w:color w:val="auto"/>
          <w:sz w:val="24"/>
        </w:rPr>
      </w:pPr>
      <w:r>
        <w:rPr>
          <w:color w:val="auto"/>
          <w:sz w:val="24"/>
        </w:rPr>
        <w:t>《建设项目环境风险评价技术导则》（HJ169-2018）表 C.2，危险物质及工艺系统危险性等级判定依据见表3-</w:t>
      </w:r>
      <w:r>
        <w:rPr>
          <w:rFonts w:hint="eastAsia"/>
          <w:color w:val="auto"/>
          <w:sz w:val="24"/>
        </w:rPr>
        <w:t>3</w:t>
      </w:r>
      <w:r>
        <w:rPr>
          <w:color w:val="auto"/>
          <w:sz w:val="24"/>
        </w:rPr>
        <w:t>。</w:t>
      </w:r>
    </w:p>
    <w:p w14:paraId="244568C3">
      <w:pPr>
        <w:spacing w:line="360" w:lineRule="auto"/>
        <w:jc w:val="center"/>
        <w:rPr>
          <w:b/>
          <w:color w:val="auto"/>
          <w:sz w:val="24"/>
        </w:rPr>
      </w:pPr>
      <w:r>
        <w:rPr>
          <w:b/>
          <w:color w:val="auto"/>
          <w:sz w:val="24"/>
        </w:rPr>
        <w:t>表3-</w:t>
      </w:r>
      <w:r>
        <w:rPr>
          <w:rFonts w:hint="eastAsia"/>
          <w:b/>
          <w:color w:val="auto"/>
          <w:sz w:val="24"/>
        </w:rPr>
        <w:t xml:space="preserve">3 </w:t>
      </w:r>
      <w:r>
        <w:rPr>
          <w:b/>
          <w:color w:val="auto"/>
          <w:sz w:val="24"/>
        </w:rPr>
        <w:t>危险物质及工艺系统危险性等级判断（P）</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26"/>
        <w:gridCol w:w="1976"/>
        <w:gridCol w:w="2088"/>
        <w:gridCol w:w="1923"/>
        <w:gridCol w:w="1924"/>
      </w:tblGrid>
      <w:tr w14:paraId="628572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69" w:type="dxa"/>
            <w:vMerge w:val="restart"/>
            <w:tcBorders>
              <w:tl2br w:val="nil"/>
              <w:tr2bl w:val="nil"/>
            </w:tcBorders>
            <w:vAlign w:val="center"/>
          </w:tcPr>
          <w:p w14:paraId="3F68F728">
            <w:pPr>
              <w:spacing w:before="3"/>
              <w:ind w:left="151" w:right="136"/>
              <w:jc w:val="center"/>
              <w:rPr>
                <w:color w:val="auto"/>
                <w:szCs w:val="21"/>
                <w:lang w:val="zh-CN" w:bidi="zh-CN"/>
              </w:rPr>
            </w:pPr>
            <w:r>
              <w:rPr>
                <w:color w:val="auto"/>
                <w:szCs w:val="21"/>
                <w:lang w:val="zh-CN" w:bidi="zh-CN"/>
              </w:rPr>
              <w:t>危险物质数量与临界量比值（Q）</w:t>
            </w:r>
          </w:p>
        </w:tc>
        <w:tc>
          <w:tcPr>
            <w:tcW w:w="7651" w:type="dxa"/>
            <w:gridSpan w:val="4"/>
            <w:tcBorders>
              <w:tl2br w:val="nil"/>
              <w:tr2bl w:val="nil"/>
            </w:tcBorders>
            <w:vAlign w:val="center"/>
          </w:tcPr>
          <w:p w14:paraId="4700D95B">
            <w:pPr>
              <w:spacing w:before="65"/>
              <w:ind w:left="2520" w:right="2510"/>
              <w:jc w:val="center"/>
              <w:rPr>
                <w:color w:val="auto"/>
                <w:szCs w:val="21"/>
                <w:lang w:val="zh-CN" w:bidi="zh-CN"/>
              </w:rPr>
            </w:pPr>
            <w:r>
              <w:rPr>
                <w:color w:val="auto"/>
                <w:szCs w:val="21"/>
                <w:lang w:val="zh-CN" w:bidi="zh-CN"/>
              </w:rPr>
              <w:t>行业及生产工艺（M）</w:t>
            </w:r>
          </w:p>
        </w:tc>
      </w:tr>
      <w:tr w14:paraId="4691B8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69" w:type="dxa"/>
            <w:vMerge w:val="continue"/>
            <w:tcBorders>
              <w:tl2br w:val="nil"/>
              <w:tr2bl w:val="nil"/>
            </w:tcBorders>
            <w:vAlign w:val="center"/>
          </w:tcPr>
          <w:p w14:paraId="74F17C73">
            <w:pPr>
              <w:jc w:val="center"/>
              <w:rPr>
                <w:color w:val="auto"/>
                <w:szCs w:val="21"/>
              </w:rPr>
            </w:pPr>
          </w:p>
        </w:tc>
        <w:tc>
          <w:tcPr>
            <w:tcW w:w="1911" w:type="dxa"/>
            <w:tcBorders>
              <w:tl2br w:val="nil"/>
              <w:tr2bl w:val="nil"/>
            </w:tcBorders>
            <w:vAlign w:val="center"/>
          </w:tcPr>
          <w:p w14:paraId="497EEAC2">
            <w:pPr>
              <w:spacing w:before="77"/>
              <w:ind w:left="727" w:right="719"/>
              <w:jc w:val="center"/>
              <w:rPr>
                <w:color w:val="auto"/>
                <w:szCs w:val="21"/>
                <w:lang w:val="zh-CN" w:bidi="zh-CN"/>
              </w:rPr>
            </w:pPr>
            <w:r>
              <w:rPr>
                <w:color w:val="auto"/>
                <w:szCs w:val="21"/>
                <w:lang w:val="zh-CN" w:bidi="zh-CN"/>
              </w:rPr>
              <w:t>M1</w:t>
            </w:r>
          </w:p>
        </w:tc>
        <w:tc>
          <w:tcPr>
            <w:tcW w:w="2019" w:type="dxa"/>
            <w:tcBorders>
              <w:tl2br w:val="nil"/>
              <w:tr2bl w:val="nil"/>
            </w:tcBorders>
            <w:vAlign w:val="center"/>
          </w:tcPr>
          <w:p w14:paraId="26BBFCCF">
            <w:pPr>
              <w:spacing w:before="77"/>
              <w:ind w:left="777" w:right="769"/>
              <w:jc w:val="center"/>
              <w:rPr>
                <w:color w:val="auto"/>
                <w:szCs w:val="21"/>
                <w:lang w:val="zh-CN" w:bidi="zh-CN"/>
              </w:rPr>
            </w:pPr>
            <w:r>
              <w:rPr>
                <w:color w:val="auto"/>
                <w:szCs w:val="21"/>
                <w:lang w:val="zh-CN" w:bidi="zh-CN"/>
              </w:rPr>
              <w:t>M2</w:t>
            </w:r>
          </w:p>
        </w:tc>
        <w:tc>
          <w:tcPr>
            <w:tcW w:w="1860" w:type="dxa"/>
            <w:tcBorders>
              <w:tl2br w:val="nil"/>
              <w:tr2bl w:val="nil"/>
            </w:tcBorders>
            <w:vAlign w:val="center"/>
          </w:tcPr>
          <w:p w14:paraId="4227A920">
            <w:pPr>
              <w:spacing w:before="77"/>
              <w:ind w:left="701" w:right="697"/>
              <w:jc w:val="center"/>
              <w:rPr>
                <w:color w:val="auto"/>
                <w:szCs w:val="21"/>
                <w:lang w:val="zh-CN" w:bidi="zh-CN"/>
              </w:rPr>
            </w:pPr>
            <w:r>
              <w:rPr>
                <w:color w:val="auto"/>
                <w:szCs w:val="21"/>
                <w:lang w:val="zh-CN" w:bidi="zh-CN"/>
              </w:rPr>
              <w:t>M3</w:t>
            </w:r>
          </w:p>
        </w:tc>
        <w:tc>
          <w:tcPr>
            <w:tcW w:w="1861" w:type="dxa"/>
            <w:tcBorders>
              <w:tl2br w:val="nil"/>
              <w:tr2bl w:val="nil"/>
            </w:tcBorders>
            <w:vAlign w:val="center"/>
          </w:tcPr>
          <w:p w14:paraId="41EE2334">
            <w:pPr>
              <w:jc w:val="center"/>
              <w:rPr>
                <w:color w:val="auto"/>
                <w:szCs w:val="21"/>
                <w:lang w:val="zh-CN" w:bidi="zh-CN"/>
              </w:rPr>
            </w:pPr>
            <w:r>
              <w:rPr>
                <w:color w:val="auto"/>
                <w:szCs w:val="21"/>
                <w:lang w:val="zh-CN" w:bidi="zh-CN"/>
              </w:rPr>
              <w:t>M4</w:t>
            </w:r>
          </w:p>
        </w:tc>
      </w:tr>
      <w:tr w14:paraId="40BC81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69" w:type="dxa"/>
            <w:tcBorders>
              <w:tl2br w:val="nil"/>
              <w:tr2bl w:val="nil"/>
            </w:tcBorders>
            <w:vAlign w:val="center"/>
          </w:tcPr>
          <w:p w14:paraId="00E1FF5D">
            <w:pPr>
              <w:spacing w:before="72"/>
              <w:ind w:left="145" w:right="136"/>
              <w:jc w:val="center"/>
              <w:rPr>
                <w:color w:val="auto"/>
                <w:szCs w:val="21"/>
                <w:lang w:val="zh-CN" w:bidi="zh-CN"/>
              </w:rPr>
            </w:pPr>
            <w:r>
              <w:rPr>
                <w:color w:val="auto"/>
                <w:szCs w:val="21"/>
                <w:lang w:val="zh-CN" w:bidi="zh-CN"/>
              </w:rPr>
              <w:t>Q≥100</w:t>
            </w:r>
          </w:p>
        </w:tc>
        <w:tc>
          <w:tcPr>
            <w:tcW w:w="1911" w:type="dxa"/>
            <w:tcBorders>
              <w:tl2br w:val="nil"/>
              <w:tr2bl w:val="nil"/>
            </w:tcBorders>
            <w:vAlign w:val="center"/>
          </w:tcPr>
          <w:p w14:paraId="4444A071">
            <w:pPr>
              <w:spacing w:before="72"/>
              <w:ind w:left="727" w:right="716"/>
              <w:jc w:val="center"/>
              <w:rPr>
                <w:color w:val="auto"/>
                <w:szCs w:val="21"/>
                <w:lang w:val="zh-CN" w:bidi="zh-CN"/>
              </w:rPr>
            </w:pPr>
            <w:r>
              <w:rPr>
                <w:color w:val="auto"/>
                <w:szCs w:val="21"/>
                <w:lang w:val="zh-CN" w:bidi="zh-CN"/>
              </w:rPr>
              <w:t>P1</w:t>
            </w:r>
          </w:p>
        </w:tc>
        <w:tc>
          <w:tcPr>
            <w:tcW w:w="2019" w:type="dxa"/>
            <w:tcBorders>
              <w:tl2br w:val="nil"/>
              <w:tr2bl w:val="nil"/>
            </w:tcBorders>
            <w:vAlign w:val="center"/>
          </w:tcPr>
          <w:p w14:paraId="10C58AE6">
            <w:pPr>
              <w:spacing w:before="72"/>
              <w:ind w:left="777" w:right="766"/>
              <w:jc w:val="center"/>
              <w:rPr>
                <w:color w:val="auto"/>
                <w:szCs w:val="21"/>
                <w:lang w:val="zh-CN" w:bidi="zh-CN"/>
              </w:rPr>
            </w:pPr>
            <w:r>
              <w:rPr>
                <w:color w:val="auto"/>
                <w:szCs w:val="21"/>
                <w:lang w:val="zh-CN" w:bidi="zh-CN"/>
              </w:rPr>
              <w:t>P1</w:t>
            </w:r>
          </w:p>
        </w:tc>
        <w:tc>
          <w:tcPr>
            <w:tcW w:w="1860" w:type="dxa"/>
            <w:tcBorders>
              <w:tl2br w:val="nil"/>
              <w:tr2bl w:val="nil"/>
            </w:tcBorders>
            <w:vAlign w:val="center"/>
          </w:tcPr>
          <w:p w14:paraId="7C17C7A5">
            <w:pPr>
              <w:spacing w:before="72"/>
              <w:ind w:left="701" w:right="694"/>
              <w:jc w:val="center"/>
              <w:rPr>
                <w:color w:val="auto"/>
                <w:szCs w:val="21"/>
                <w:lang w:val="zh-CN" w:bidi="zh-CN"/>
              </w:rPr>
            </w:pPr>
            <w:r>
              <w:rPr>
                <w:color w:val="auto"/>
                <w:szCs w:val="21"/>
                <w:lang w:val="zh-CN" w:bidi="zh-CN"/>
              </w:rPr>
              <w:t>P2</w:t>
            </w:r>
          </w:p>
        </w:tc>
        <w:tc>
          <w:tcPr>
            <w:tcW w:w="1861" w:type="dxa"/>
            <w:tcBorders>
              <w:tl2br w:val="nil"/>
              <w:tr2bl w:val="nil"/>
            </w:tcBorders>
            <w:vAlign w:val="center"/>
          </w:tcPr>
          <w:p w14:paraId="738E9B99">
            <w:pPr>
              <w:jc w:val="center"/>
              <w:rPr>
                <w:color w:val="auto"/>
                <w:szCs w:val="21"/>
                <w:lang w:val="zh-CN" w:bidi="zh-CN"/>
              </w:rPr>
            </w:pPr>
            <w:r>
              <w:rPr>
                <w:color w:val="auto"/>
                <w:szCs w:val="21"/>
                <w:lang w:val="zh-CN" w:bidi="zh-CN"/>
              </w:rPr>
              <w:t>P3</w:t>
            </w:r>
          </w:p>
        </w:tc>
      </w:tr>
      <w:tr w14:paraId="4313C7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69" w:type="dxa"/>
            <w:tcBorders>
              <w:tl2br w:val="nil"/>
              <w:tr2bl w:val="nil"/>
            </w:tcBorders>
            <w:vAlign w:val="center"/>
          </w:tcPr>
          <w:p w14:paraId="3DA28D9B">
            <w:pPr>
              <w:spacing w:before="63"/>
              <w:ind w:left="148" w:right="136"/>
              <w:jc w:val="center"/>
              <w:rPr>
                <w:color w:val="auto"/>
                <w:szCs w:val="21"/>
                <w:lang w:val="zh-CN" w:bidi="zh-CN"/>
              </w:rPr>
            </w:pPr>
            <w:r>
              <w:rPr>
                <w:color w:val="auto"/>
                <w:szCs w:val="21"/>
                <w:lang w:val="zh-CN" w:bidi="zh-CN"/>
              </w:rPr>
              <w:t>10≤Q＜100</w:t>
            </w:r>
          </w:p>
        </w:tc>
        <w:tc>
          <w:tcPr>
            <w:tcW w:w="1911" w:type="dxa"/>
            <w:tcBorders>
              <w:tl2br w:val="nil"/>
              <w:tr2bl w:val="nil"/>
            </w:tcBorders>
            <w:vAlign w:val="center"/>
          </w:tcPr>
          <w:p w14:paraId="7B617DC6">
            <w:pPr>
              <w:spacing w:before="70"/>
              <w:ind w:left="727" w:right="716"/>
              <w:jc w:val="center"/>
              <w:rPr>
                <w:color w:val="auto"/>
                <w:szCs w:val="21"/>
                <w:lang w:val="zh-CN" w:bidi="zh-CN"/>
              </w:rPr>
            </w:pPr>
            <w:r>
              <w:rPr>
                <w:color w:val="auto"/>
                <w:szCs w:val="21"/>
                <w:lang w:val="zh-CN" w:bidi="zh-CN"/>
              </w:rPr>
              <w:t>P1</w:t>
            </w:r>
          </w:p>
        </w:tc>
        <w:tc>
          <w:tcPr>
            <w:tcW w:w="2019" w:type="dxa"/>
            <w:tcBorders>
              <w:tl2br w:val="nil"/>
              <w:tr2bl w:val="nil"/>
            </w:tcBorders>
            <w:vAlign w:val="center"/>
          </w:tcPr>
          <w:p w14:paraId="42E4BBAE">
            <w:pPr>
              <w:spacing w:before="70"/>
              <w:ind w:left="777" w:right="766"/>
              <w:jc w:val="center"/>
              <w:rPr>
                <w:color w:val="auto"/>
                <w:szCs w:val="21"/>
                <w:lang w:val="zh-CN" w:bidi="zh-CN"/>
              </w:rPr>
            </w:pPr>
            <w:r>
              <w:rPr>
                <w:color w:val="auto"/>
                <w:szCs w:val="21"/>
                <w:lang w:val="zh-CN" w:bidi="zh-CN"/>
              </w:rPr>
              <w:t>P2</w:t>
            </w:r>
          </w:p>
        </w:tc>
        <w:tc>
          <w:tcPr>
            <w:tcW w:w="1860" w:type="dxa"/>
            <w:tcBorders>
              <w:tl2br w:val="nil"/>
              <w:tr2bl w:val="nil"/>
            </w:tcBorders>
            <w:vAlign w:val="center"/>
          </w:tcPr>
          <w:p w14:paraId="155A8968">
            <w:pPr>
              <w:spacing w:before="70"/>
              <w:ind w:left="701" w:right="694"/>
              <w:jc w:val="center"/>
              <w:rPr>
                <w:color w:val="auto"/>
                <w:szCs w:val="21"/>
                <w:lang w:val="zh-CN" w:bidi="zh-CN"/>
              </w:rPr>
            </w:pPr>
            <w:r>
              <w:rPr>
                <w:color w:val="auto"/>
                <w:szCs w:val="21"/>
                <w:lang w:val="zh-CN" w:bidi="zh-CN"/>
              </w:rPr>
              <w:t>P3</w:t>
            </w:r>
          </w:p>
        </w:tc>
        <w:tc>
          <w:tcPr>
            <w:tcW w:w="1861" w:type="dxa"/>
            <w:tcBorders>
              <w:tl2br w:val="nil"/>
              <w:tr2bl w:val="nil"/>
            </w:tcBorders>
            <w:vAlign w:val="center"/>
          </w:tcPr>
          <w:p w14:paraId="00B2FF65">
            <w:pPr>
              <w:jc w:val="center"/>
              <w:rPr>
                <w:color w:val="auto"/>
                <w:szCs w:val="21"/>
                <w:lang w:val="zh-CN" w:bidi="zh-CN"/>
              </w:rPr>
            </w:pPr>
            <w:r>
              <w:rPr>
                <w:color w:val="auto"/>
                <w:szCs w:val="21"/>
                <w:lang w:val="zh-CN" w:bidi="zh-CN"/>
              </w:rPr>
              <w:t>P4</w:t>
            </w:r>
          </w:p>
        </w:tc>
      </w:tr>
      <w:tr w14:paraId="3E2DDE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69" w:type="dxa"/>
            <w:tcBorders>
              <w:tl2br w:val="nil"/>
              <w:tr2bl w:val="nil"/>
            </w:tcBorders>
            <w:vAlign w:val="center"/>
          </w:tcPr>
          <w:p w14:paraId="3C944693">
            <w:pPr>
              <w:spacing w:before="63"/>
              <w:ind w:left="145" w:right="136"/>
              <w:jc w:val="center"/>
              <w:rPr>
                <w:color w:val="auto"/>
                <w:szCs w:val="21"/>
                <w:lang w:val="zh-CN" w:bidi="zh-CN"/>
              </w:rPr>
            </w:pPr>
            <w:r>
              <w:rPr>
                <w:color w:val="auto"/>
                <w:szCs w:val="21"/>
                <w:lang w:val="zh-CN" w:bidi="zh-CN"/>
              </w:rPr>
              <w:t>1≤Q＜10</w:t>
            </w:r>
          </w:p>
        </w:tc>
        <w:tc>
          <w:tcPr>
            <w:tcW w:w="1911" w:type="dxa"/>
            <w:tcBorders>
              <w:tl2br w:val="nil"/>
              <w:tr2bl w:val="nil"/>
            </w:tcBorders>
            <w:vAlign w:val="center"/>
          </w:tcPr>
          <w:p w14:paraId="3FAE985C">
            <w:pPr>
              <w:spacing w:before="72"/>
              <w:ind w:left="727" w:right="716"/>
              <w:jc w:val="center"/>
              <w:rPr>
                <w:color w:val="auto"/>
                <w:szCs w:val="21"/>
                <w:lang w:val="zh-CN" w:bidi="zh-CN"/>
              </w:rPr>
            </w:pPr>
            <w:r>
              <w:rPr>
                <w:color w:val="auto"/>
                <w:szCs w:val="21"/>
                <w:lang w:val="zh-CN" w:bidi="zh-CN"/>
              </w:rPr>
              <w:t>P2</w:t>
            </w:r>
          </w:p>
        </w:tc>
        <w:tc>
          <w:tcPr>
            <w:tcW w:w="2019" w:type="dxa"/>
            <w:tcBorders>
              <w:tl2br w:val="nil"/>
              <w:tr2bl w:val="nil"/>
            </w:tcBorders>
            <w:vAlign w:val="center"/>
          </w:tcPr>
          <w:p w14:paraId="16E5BFDE">
            <w:pPr>
              <w:spacing w:before="72"/>
              <w:ind w:left="777" w:right="766"/>
              <w:jc w:val="center"/>
              <w:rPr>
                <w:color w:val="auto"/>
                <w:szCs w:val="21"/>
                <w:lang w:val="zh-CN" w:bidi="zh-CN"/>
              </w:rPr>
            </w:pPr>
            <w:r>
              <w:rPr>
                <w:color w:val="auto"/>
                <w:szCs w:val="21"/>
                <w:lang w:val="zh-CN" w:bidi="zh-CN"/>
              </w:rPr>
              <w:t>P3</w:t>
            </w:r>
          </w:p>
        </w:tc>
        <w:tc>
          <w:tcPr>
            <w:tcW w:w="1860" w:type="dxa"/>
            <w:tcBorders>
              <w:tl2br w:val="nil"/>
              <w:tr2bl w:val="nil"/>
            </w:tcBorders>
            <w:vAlign w:val="center"/>
          </w:tcPr>
          <w:p w14:paraId="6BE8EA59">
            <w:pPr>
              <w:spacing w:before="72"/>
              <w:ind w:left="701" w:right="694"/>
              <w:jc w:val="center"/>
              <w:rPr>
                <w:color w:val="auto"/>
                <w:szCs w:val="21"/>
                <w:lang w:val="zh-CN" w:bidi="zh-CN"/>
              </w:rPr>
            </w:pPr>
            <w:r>
              <w:rPr>
                <w:color w:val="auto"/>
                <w:szCs w:val="21"/>
                <w:lang w:val="zh-CN" w:bidi="zh-CN"/>
              </w:rPr>
              <w:t>P4</w:t>
            </w:r>
          </w:p>
        </w:tc>
        <w:tc>
          <w:tcPr>
            <w:tcW w:w="1861" w:type="dxa"/>
            <w:tcBorders>
              <w:tl2br w:val="nil"/>
              <w:tr2bl w:val="nil"/>
            </w:tcBorders>
            <w:vAlign w:val="center"/>
          </w:tcPr>
          <w:p w14:paraId="08688B15">
            <w:pPr>
              <w:jc w:val="center"/>
              <w:rPr>
                <w:color w:val="auto"/>
                <w:szCs w:val="21"/>
                <w:lang w:val="zh-CN" w:bidi="zh-CN"/>
              </w:rPr>
            </w:pPr>
            <w:r>
              <w:rPr>
                <w:color w:val="auto"/>
                <w:szCs w:val="21"/>
                <w:lang w:val="zh-CN" w:bidi="zh-CN"/>
              </w:rPr>
              <w:t>P4</w:t>
            </w:r>
          </w:p>
        </w:tc>
      </w:tr>
    </w:tbl>
    <w:p w14:paraId="65A5F7EF">
      <w:pPr>
        <w:adjustRightInd w:val="0"/>
        <w:snapToGrid w:val="0"/>
        <w:spacing w:line="360" w:lineRule="auto"/>
        <w:ind w:firstLine="480" w:firstLineChars="200"/>
        <w:rPr>
          <w:color w:val="auto"/>
          <w:sz w:val="24"/>
        </w:rPr>
      </w:pPr>
      <w:r>
        <w:rPr>
          <w:color w:val="auto"/>
          <w:sz w:val="24"/>
        </w:rPr>
        <w:t>由表3-</w:t>
      </w:r>
      <w:r>
        <w:rPr>
          <w:rFonts w:hint="eastAsia"/>
          <w:color w:val="auto"/>
          <w:sz w:val="24"/>
        </w:rPr>
        <w:t>3</w:t>
      </w:r>
      <w:r>
        <w:rPr>
          <w:color w:val="auto"/>
          <w:sz w:val="24"/>
        </w:rPr>
        <w:t>可知，本项目危险物质及工艺系统危险性等级P4。</w:t>
      </w:r>
    </w:p>
    <w:p w14:paraId="12556BE9">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2</w:t>
      </w:r>
      <w:r>
        <w:rPr>
          <w:rFonts w:hint="default" w:ascii="Times New Roman" w:hAnsi="Times New Roman"/>
          <w:b/>
          <w:bCs/>
          <w:color w:val="auto"/>
          <w:sz w:val="24"/>
          <w:szCs w:val="24"/>
        </w:rPr>
        <w:t xml:space="preserve"> 环境敏感程度（E）的确定</w:t>
      </w:r>
    </w:p>
    <w:p w14:paraId="7121B522">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2</w:t>
      </w:r>
      <w:r>
        <w:rPr>
          <w:rFonts w:hint="default" w:ascii="Times New Roman" w:hAnsi="Times New Roman"/>
          <w:b/>
          <w:bCs/>
          <w:color w:val="auto"/>
          <w:sz w:val="24"/>
          <w:szCs w:val="24"/>
        </w:rPr>
        <w:t>.1 大气环境</w:t>
      </w:r>
    </w:p>
    <w:p w14:paraId="16EA4271">
      <w:pPr>
        <w:adjustRightInd w:val="0"/>
        <w:snapToGrid w:val="0"/>
        <w:spacing w:line="360" w:lineRule="auto"/>
        <w:ind w:firstLine="480" w:firstLineChars="200"/>
        <w:rPr>
          <w:color w:val="auto"/>
          <w:sz w:val="24"/>
        </w:rPr>
      </w:pPr>
      <w:r>
        <w:rPr>
          <w:color w:val="auto"/>
          <w:sz w:val="24"/>
        </w:rPr>
        <w:t>根据《建设项目环境风险评价技术导则》（HJ169-2018）附录D，大气环境敏感程度共分为三种类型，E1为环境高度敏感区，E2为环境中度敏感区，E3为环境低度敏感区，分级原则见表3-</w:t>
      </w:r>
      <w:r>
        <w:rPr>
          <w:rFonts w:hint="eastAsia"/>
          <w:color w:val="auto"/>
          <w:sz w:val="24"/>
        </w:rPr>
        <w:t>4</w:t>
      </w:r>
      <w:r>
        <w:rPr>
          <w:color w:val="auto"/>
          <w:sz w:val="24"/>
        </w:rPr>
        <w:t>。</w:t>
      </w:r>
    </w:p>
    <w:p w14:paraId="552661ED">
      <w:pPr>
        <w:spacing w:line="360" w:lineRule="auto"/>
        <w:jc w:val="center"/>
        <w:rPr>
          <w:b/>
          <w:color w:val="auto"/>
          <w:sz w:val="24"/>
        </w:rPr>
      </w:pPr>
      <w:r>
        <w:rPr>
          <w:b/>
          <w:color w:val="auto"/>
          <w:sz w:val="24"/>
        </w:rPr>
        <w:t>表3-</w:t>
      </w:r>
      <w:r>
        <w:rPr>
          <w:rFonts w:hint="eastAsia"/>
          <w:b/>
          <w:color w:val="auto"/>
          <w:sz w:val="24"/>
        </w:rPr>
        <w:t>4</w:t>
      </w:r>
      <w:r>
        <w:rPr>
          <w:rFonts w:hint="eastAsia"/>
          <w:b/>
          <w:color w:val="auto"/>
          <w:sz w:val="24"/>
          <w:lang w:eastAsia="zh-CN"/>
        </w:rPr>
        <w:t>（</w:t>
      </w:r>
      <w:r>
        <w:rPr>
          <w:rFonts w:hint="eastAsia"/>
          <w:b/>
          <w:color w:val="auto"/>
          <w:sz w:val="24"/>
          <w:lang w:val="en-US" w:eastAsia="zh-CN"/>
        </w:rPr>
        <w:t>a</w:t>
      </w:r>
      <w:r>
        <w:rPr>
          <w:rFonts w:hint="eastAsia"/>
          <w:b/>
          <w:color w:val="auto"/>
          <w:sz w:val="24"/>
          <w:lang w:eastAsia="zh-CN"/>
        </w:rPr>
        <w:t>）</w:t>
      </w:r>
      <w:r>
        <w:rPr>
          <w:b/>
          <w:color w:val="auto"/>
          <w:sz w:val="24"/>
        </w:rPr>
        <w:t xml:space="preserve"> 大气环境敏感程度分级</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3"/>
        <w:gridCol w:w="7830"/>
      </w:tblGrid>
      <w:tr w14:paraId="6297D3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860" w:type="dxa"/>
            <w:tcBorders>
              <w:tl2br w:val="nil"/>
              <w:tr2bl w:val="nil"/>
            </w:tcBorders>
            <w:vAlign w:val="center"/>
          </w:tcPr>
          <w:p w14:paraId="78D11DF8">
            <w:pPr>
              <w:widowControl/>
              <w:jc w:val="center"/>
              <w:rPr>
                <w:color w:val="auto"/>
                <w:kern w:val="0"/>
                <w:szCs w:val="21"/>
                <w:lang w:bidi="ar"/>
              </w:rPr>
            </w:pPr>
            <w:r>
              <w:rPr>
                <w:color w:val="auto"/>
                <w:kern w:val="0"/>
                <w:szCs w:val="21"/>
                <w:lang w:bidi="ar"/>
              </w:rPr>
              <w:t>分级</w:t>
            </w:r>
          </w:p>
        </w:tc>
        <w:tc>
          <w:tcPr>
            <w:tcW w:w="7200" w:type="dxa"/>
            <w:tcBorders>
              <w:tl2br w:val="nil"/>
              <w:tr2bl w:val="nil"/>
            </w:tcBorders>
            <w:vAlign w:val="center"/>
          </w:tcPr>
          <w:p w14:paraId="5C8ADF5E">
            <w:pPr>
              <w:widowControl/>
              <w:jc w:val="center"/>
              <w:rPr>
                <w:color w:val="auto"/>
                <w:kern w:val="0"/>
                <w:szCs w:val="21"/>
                <w:lang w:bidi="ar"/>
              </w:rPr>
            </w:pPr>
            <w:r>
              <w:rPr>
                <w:color w:val="auto"/>
                <w:kern w:val="0"/>
                <w:szCs w:val="21"/>
                <w:lang w:bidi="ar"/>
              </w:rPr>
              <w:t>大气环境敏感性</w:t>
            </w:r>
          </w:p>
        </w:tc>
      </w:tr>
      <w:tr w14:paraId="2D70D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0" w:type="dxa"/>
            <w:tcBorders>
              <w:tl2br w:val="nil"/>
              <w:tr2bl w:val="nil"/>
            </w:tcBorders>
            <w:vAlign w:val="center"/>
          </w:tcPr>
          <w:p w14:paraId="567E7564">
            <w:pPr>
              <w:widowControl/>
              <w:jc w:val="center"/>
              <w:rPr>
                <w:color w:val="auto"/>
                <w:kern w:val="0"/>
                <w:szCs w:val="21"/>
                <w:lang w:bidi="ar"/>
              </w:rPr>
            </w:pPr>
            <w:r>
              <w:rPr>
                <w:color w:val="auto"/>
                <w:kern w:val="0"/>
                <w:szCs w:val="21"/>
                <w:lang w:bidi="ar"/>
              </w:rPr>
              <w:t>E1</w:t>
            </w:r>
          </w:p>
        </w:tc>
        <w:tc>
          <w:tcPr>
            <w:tcW w:w="7200" w:type="dxa"/>
            <w:tcBorders>
              <w:tl2br w:val="nil"/>
              <w:tr2bl w:val="nil"/>
            </w:tcBorders>
          </w:tcPr>
          <w:p w14:paraId="689B28AA">
            <w:pPr>
              <w:widowControl/>
              <w:jc w:val="left"/>
              <w:rPr>
                <w:color w:val="auto"/>
                <w:kern w:val="0"/>
                <w:szCs w:val="21"/>
                <w:lang w:bidi="ar"/>
              </w:rPr>
            </w:pPr>
            <w:r>
              <w:rPr>
                <w:color w:val="auto"/>
                <w:kern w:val="0"/>
                <w:szCs w:val="21"/>
                <w:lang w:bidi="ar"/>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14:paraId="589D5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0" w:type="dxa"/>
            <w:tcBorders>
              <w:tl2br w:val="nil"/>
              <w:tr2bl w:val="nil"/>
            </w:tcBorders>
            <w:vAlign w:val="center"/>
          </w:tcPr>
          <w:p w14:paraId="3CFA411B">
            <w:pPr>
              <w:widowControl/>
              <w:jc w:val="center"/>
              <w:rPr>
                <w:color w:val="auto"/>
                <w:kern w:val="0"/>
                <w:szCs w:val="21"/>
                <w:lang w:bidi="ar"/>
              </w:rPr>
            </w:pPr>
            <w:r>
              <w:rPr>
                <w:color w:val="auto"/>
                <w:kern w:val="0"/>
                <w:szCs w:val="21"/>
                <w:lang w:bidi="ar"/>
              </w:rPr>
              <w:t>E2</w:t>
            </w:r>
          </w:p>
        </w:tc>
        <w:tc>
          <w:tcPr>
            <w:tcW w:w="7200" w:type="dxa"/>
            <w:tcBorders>
              <w:tl2br w:val="nil"/>
              <w:tr2bl w:val="nil"/>
            </w:tcBorders>
          </w:tcPr>
          <w:p w14:paraId="00FAE585">
            <w:pPr>
              <w:widowControl/>
              <w:jc w:val="left"/>
              <w:rPr>
                <w:color w:val="auto"/>
                <w:kern w:val="0"/>
                <w:szCs w:val="21"/>
                <w:lang w:bidi="ar"/>
              </w:rPr>
            </w:pPr>
            <w:r>
              <w:rPr>
                <w:color w:val="auto"/>
                <w:kern w:val="0"/>
                <w:szCs w:val="21"/>
                <w:lang w:bidi="ar"/>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14:paraId="617C22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0" w:type="dxa"/>
            <w:tcBorders>
              <w:tl2br w:val="nil"/>
              <w:tr2bl w:val="nil"/>
            </w:tcBorders>
            <w:vAlign w:val="center"/>
          </w:tcPr>
          <w:p w14:paraId="54520F9D">
            <w:pPr>
              <w:widowControl/>
              <w:jc w:val="center"/>
              <w:rPr>
                <w:color w:val="auto"/>
                <w:kern w:val="0"/>
                <w:szCs w:val="21"/>
                <w:lang w:bidi="ar"/>
              </w:rPr>
            </w:pPr>
            <w:r>
              <w:rPr>
                <w:color w:val="auto"/>
                <w:kern w:val="0"/>
                <w:szCs w:val="21"/>
                <w:lang w:bidi="ar"/>
              </w:rPr>
              <w:t>E3</w:t>
            </w:r>
          </w:p>
        </w:tc>
        <w:tc>
          <w:tcPr>
            <w:tcW w:w="7200" w:type="dxa"/>
            <w:tcBorders>
              <w:tl2br w:val="nil"/>
              <w:tr2bl w:val="nil"/>
            </w:tcBorders>
          </w:tcPr>
          <w:p w14:paraId="5E972F31">
            <w:pPr>
              <w:widowControl/>
              <w:jc w:val="left"/>
              <w:rPr>
                <w:color w:val="auto"/>
                <w:kern w:val="0"/>
                <w:szCs w:val="21"/>
                <w:lang w:bidi="ar"/>
              </w:rPr>
            </w:pPr>
            <w:r>
              <w:rPr>
                <w:color w:val="auto"/>
                <w:kern w:val="0"/>
                <w:szCs w:val="21"/>
                <w:lang w:bidi="ar"/>
              </w:rPr>
              <w:t>周边5km范围内居住区、医疗卫生、文化教育、科研、行政办公等机构人口总数小于1万人；或周边500m范围内人口总数小于500人；油气、化学品输送管线管段周边200m范围内，每千米管段人口数小于100人</w:t>
            </w:r>
          </w:p>
        </w:tc>
      </w:tr>
    </w:tbl>
    <w:p w14:paraId="7326205B">
      <w:pPr>
        <w:adjustRightInd w:val="0"/>
        <w:snapToGrid w:val="0"/>
        <w:spacing w:line="360" w:lineRule="auto"/>
        <w:ind w:firstLine="480" w:firstLineChars="200"/>
        <w:rPr>
          <w:color w:val="auto"/>
          <w:sz w:val="24"/>
        </w:rPr>
      </w:pPr>
      <w:r>
        <w:rPr>
          <w:color w:val="auto"/>
          <w:sz w:val="24"/>
        </w:rPr>
        <w:t>本项目位于</w:t>
      </w:r>
      <w:r>
        <w:rPr>
          <w:rFonts w:hint="eastAsia"/>
          <w:color w:val="auto"/>
          <w:sz w:val="24"/>
        </w:rPr>
        <w:t>黑龙江桦南县经济开发区</w:t>
      </w:r>
      <w:r>
        <w:rPr>
          <w:color w:val="auto"/>
          <w:sz w:val="24"/>
        </w:rPr>
        <w:t>，项目区周边500m范围内</w:t>
      </w:r>
      <w:r>
        <w:rPr>
          <w:rFonts w:hint="eastAsia"/>
          <w:color w:val="auto"/>
          <w:sz w:val="24"/>
          <w:lang w:eastAsia="zh-CN"/>
        </w:rPr>
        <w:t>人口总数</w:t>
      </w:r>
      <w:r>
        <w:rPr>
          <w:rFonts w:hint="eastAsia"/>
          <w:color w:val="auto"/>
          <w:sz w:val="24"/>
          <w:lang w:val="en-US" w:eastAsia="zh-CN"/>
        </w:rPr>
        <w:t>200人左右，</w:t>
      </w:r>
      <w:r>
        <w:rPr>
          <w:color w:val="auto"/>
          <w:sz w:val="24"/>
        </w:rPr>
        <w:t>小于500人；周边5km范围内人口</w:t>
      </w:r>
      <w:r>
        <w:rPr>
          <w:rFonts w:hint="eastAsia"/>
          <w:color w:val="auto"/>
          <w:sz w:val="24"/>
          <w:lang w:eastAsia="zh-CN"/>
        </w:rPr>
        <w:t>总数</w:t>
      </w:r>
      <w:r>
        <w:rPr>
          <w:rFonts w:hint="eastAsia"/>
          <w:color w:val="auto"/>
          <w:sz w:val="24"/>
          <w:lang w:val="en-US" w:eastAsia="zh-CN"/>
        </w:rPr>
        <w:t>3.92万人左右，</w:t>
      </w:r>
      <w:r>
        <w:rPr>
          <w:rFonts w:hint="eastAsia"/>
          <w:color w:val="auto"/>
          <w:sz w:val="24"/>
        </w:rPr>
        <w:t>大于1万人，</w:t>
      </w:r>
      <w:r>
        <w:rPr>
          <w:color w:val="auto"/>
          <w:sz w:val="24"/>
        </w:rPr>
        <w:t>小于5</w:t>
      </w:r>
      <w:r>
        <w:rPr>
          <w:rFonts w:hint="eastAsia"/>
          <w:color w:val="auto"/>
          <w:sz w:val="24"/>
        </w:rPr>
        <w:t>万</w:t>
      </w:r>
      <w:r>
        <w:rPr>
          <w:color w:val="auto"/>
          <w:sz w:val="24"/>
        </w:rPr>
        <w:t>人；根据大气环境敏感程度分级，判定拟建项目大气环境风险受体的敏感性为E</w:t>
      </w:r>
      <w:r>
        <w:rPr>
          <w:rFonts w:hint="eastAsia"/>
          <w:color w:val="auto"/>
          <w:sz w:val="24"/>
        </w:rPr>
        <w:t>2</w:t>
      </w:r>
      <w:r>
        <w:rPr>
          <w:color w:val="auto"/>
          <w:sz w:val="24"/>
        </w:rPr>
        <w:t>环境中度敏感区。</w:t>
      </w:r>
    </w:p>
    <w:p w14:paraId="6B178360">
      <w:pPr>
        <w:spacing w:line="360" w:lineRule="auto"/>
        <w:jc w:val="center"/>
        <w:rPr>
          <w:b/>
          <w:color w:val="auto"/>
          <w:sz w:val="24"/>
        </w:rPr>
      </w:pPr>
      <w:r>
        <w:rPr>
          <w:b/>
          <w:color w:val="auto"/>
          <w:sz w:val="24"/>
        </w:rPr>
        <w:t>表</w:t>
      </w:r>
      <w:r>
        <w:rPr>
          <w:rFonts w:hint="eastAsia"/>
          <w:b/>
          <w:color w:val="auto"/>
          <w:sz w:val="24"/>
          <w:lang w:val="en-US" w:eastAsia="zh-CN"/>
        </w:rPr>
        <w:t>3-5</w:t>
      </w:r>
      <w:r>
        <w:rPr>
          <w:rFonts w:hint="eastAsia"/>
          <w:b/>
          <w:color w:val="auto"/>
          <w:sz w:val="24"/>
          <w:lang w:eastAsia="zh-CN"/>
        </w:rPr>
        <w:t>（</w:t>
      </w:r>
      <w:r>
        <w:rPr>
          <w:rFonts w:hint="eastAsia"/>
          <w:b/>
          <w:color w:val="auto"/>
          <w:sz w:val="24"/>
          <w:lang w:val="en-US" w:eastAsia="zh-CN"/>
        </w:rPr>
        <w:t>b</w:t>
      </w:r>
      <w:r>
        <w:rPr>
          <w:rFonts w:hint="eastAsia"/>
          <w:b/>
          <w:color w:val="auto"/>
          <w:sz w:val="24"/>
          <w:lang w:eastAsia="zh-CN"/>
        </w:rPr>
        <w:t>）</w:t>
      </w:r>
      <w:r>
        <w:rPr>
          <w:b/>
          <w:color w:val="auto"/>
          <w:sz w:val="24"/>
        </w:rPr>
        <w:t xml:space="preserve">  项目</w:t>
      </w:r>
      <w:r>
        <w:rPr>
          <w:rFonts w:hint="eastAsia" w:ascii="Times New Roman" w:eastAsia="宋体"/>
          <w:b/>
          <w:color w:val="auto"/>
          <w:sz w:val="24"/>
          <w:lang w:val="en-US" w:eastAsia="zh-CN"/>
        </w:rPr>
        <w:t>大气</w:t>
      </w:r>
      <w:r>
        <w:rPr>
          <w:rFonts w:hint="eastAsia"/>
          <w:b/>
          <w:color w:val="auto"/>
          <w:sz w:val="24"/>
          <w:lang w:eastAsia="zh-CN"/>
        </w:rPr>
        <w:t>敏感</w:t>
      </w:r>
      <w:r>
        <w:rPr>
          <w:b/>
          <w:color w:val="auto"/>
          <w:sz w:val="24"/>
        </w:rPr>
        <w:t>目标一览表</w:t>
      </w:r>
    </w:p>
    <w:tbl>
      <w:tblPr>
        <w:tblStyle w:val="3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403"/>
        <w:gridCol w:w="1283"/>
        <w:gridCol w:w="1166"/>
        <w:gridCol w:w="1194"/>
        <w:gridCol w:w="1194"/>
        <w:gridCol w:w="1105"/>
        <w:gridCol w:w="1283"/>
      </w:tblGrid>
      <w:tr w14:paraId="51D41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vMerge w:val="restart"/>
            <w:shd w:val="clear" w:color="auto" w:fill="auto"/>
            <w:vAlign w:val="center"/>
          </w:tcPr>
          <w:p w14:paraId="44DD4EE1">
            <w:pPr>
              <w:autoSpaceDE w:val="0"/>
              <w:autoSpaceDN w:val="0"/>
              <w:contextualSpacing/>
              <w:jc w:val="center"/>
              <w:rPr>
                <w:color w:val="auto"/>
                <w:szCs w:val="18"/>
              </w:rPr>
            </w:pPr>
            <w:r>
              <w:rPr>
                <w:color w:val="auto"/>
                <w:szCs w:val="18"/>
              </w:rPr>
              <w:t>名称</w:t>
            </w:r>
          </w:p>
        </w:tc>
        <w:tc>
          <w:tcPr>
            <w:tcW w:w="1363" w:type="pct"/>
            <w:gridSpan w:val="2"/>
            <w:shd w:val="clear" w:color="auto" w:fill="auto"/>
            <w:vAlign w:val="center"/>
          </w:tcPr>
          <w:p w14:paraId="5280BCE8">
            <w:pPr>
              <w:autoSpaceDE w:val="0"/>
              <w:autoSpaceDN w:val="0"/>
              <w:contextualSpacing/>
              <w:jc w:val="center"/>
              <w:rPr>
                <w:color w:val="auto"/>
                <w:szCs w:val="18"/>
              </w:rPr>
            </w:pPr>
            <w:r>
              <w:rPr>
                <w:color w:val="auto"/>
                <w:szCs w:val="18"/>
              </w:rPr>
              <w:t>坐标</w:t>
            </w:r>
          </w:p>
        </w:tc>
        <w:tc>
          <w:tcPr>
            <w:tcW w:w="592" w:type="pct"/>
            <w:vMerge w:val="restart"/>
            <w:shd w:val="clear" w:color="auto" w:fill="auto"/>
            <w:vAlign w:val="center"/>
          </w:tcPr>
          <w:p w14:paraId="6E8F7606">
            <w:pPr>
              <w:autoSpaceDE w:val="0"/>
              <w:autoSpaceDN w:val="0"/>
              <w:contextualSpacing/>
              <w:jc w:val="center"/>
              <w:rPr>
                <w:color w:val="auto"/>
                <w:szCs w:val="18"/>
              </w:rPr>
            </w:pPr>
            <w:r>
              <w:rPr>
                <w:color w:val="auto"/>
                <w:szCs w:val="18"/>
              </w:rPr>
              <w:t>保护对象</w:t>
            </w:r>
          </w:p>
        </w:tc>
        <w:tc>
          <w:tcPr>
            <w:tcW w:w="606" w:type="pct"/>
            <w:vMerge w:val="restart"/>
            <w:shd w:val="clear" w:color="auto" w:fill="auto"/>
            <w:vAlign w:val="center"/>
          </w:tcPr>
          <w:p w14:paraId="310C4D46">
            <w:pPr>
              <w:autoSpaceDE w:val="0"/>
              <w:autoSpaceDN w:val="0"/>
              <w:contextualSpacing/>
              <w:jc w:val="center"/>
              <w:rPr>
                <w:rFonts w:hint="default"/>
                <w:color w:val="auto"/>
                <w:szCs w:val="18"/>
                <w:lang w:val="en-US"/>
              </w:rPr>
            </w:pPr>
            <w:r>
              <w:rPr>
                <w:color w:val="auto"/>
                <w:szCs w:val="18"/>
              </w:rPr>
              <w:t>保护内容</w:t>
            </w:r>
            <w:r>
              <w:rPr>
                <w:rFonts w:hint="eastAsia"/>
                <w:color w:val="auto"/>
                <w:szCs w:val="18"/>
                <w:lang w:eastAsia="zh-CN"/>
              </w:rPr>
              <w:t>（</w:t>
            </w:r>
            <w:r>
              <w:rPr>
                <w:rFonts w:hint="eastAsia"/>
                <w:color w:val="auto"/>
                <w:szCs w:val="18"/>
                <w:lang w:val="en-US" w:eastAsia="zh-CN"/>
              </w:rPr>
              <w:t>人）</w:t>
            </w:r>
          </w:p>
        </w:tc>
        <w:tc>
          <w:tcPr>
            <w:tcW w:w="606" w:type="pct"/>
            <w:vMerge w:val="restart"/>
            <w:shd w:val="clear" w:color="auto" w:fill="auto"/>
            <w:vAlign w:val="center"/>
          </w:tcPr>
          <w:p w14:paraId="70AF6D64">
            <w:pPr>
              <w:autoSpaceDE w:val="0"/>
              <w:autoSpaceDN w:val="0"/>
              <w:contextualSpacing/>
              <w:jc w:val="center"/>
              <w:rPr>
                <w:color w:val="auto"/>
                <w:szCs w:val="18"/>
              </w:rPr>
            </w:pPr>
            <w:r>
              <w:rPr>
                <w:color w:val="auto"/>
                <w:szCs w:val="18"/>
              </w:rPr>
              <w:t>环境功能区</w:t>
            </w:r>
          </w:p>
        </w:tc>
        <w:tc>
          <w:tcPr>
            <w:tcW w:w="561" w:type="pct"/>
            <w:vMerge w:val="restart"/>
            <w:shd w:val="clear" w:color="auto" w:fill="auto"/>
            <w:vAlign w:val="center"/>
          </w:tcPr>
          <w:p w14:paraId="1124C6D0">
            <w:pPr>
              <w:autoSpaceDE w:val="0"/>
              <w:autoSpaceDN w:val="0"/>
              <w:contextualSpacing/>
              <w:jc w:val="center"/>
              <w:rPr>
                <w:color w:val="auto"/>
                <w:szCs w:val="18"/>
              </w:rPr>
            </w:pPr>
            <w:r>
              <w:rPr>
                <w:color w:val="auto"/>
                <w:szCs w:val="18"/>
              </w:rPr>
              <w:t>相对厂址方位</w:t>
            </w:r>
          </w:p>
        </w:tc>
        <w:tc>
          <w:tcPr>
            <w:tcW w:w="651" w:type="pct"/>
            <w:vMerge w:val="restart"/>
            <w:shd w:val="clear" w:color="auto" w:fill="auto"/>
            <w:vAlign w:val="center"/>
          </w:tcPr>
          <w:p w14:paraId="38DA7FFC">
            <w:pPr>
              <w:autoSpaceDE w:val="0"/>
              <w:autoSpaceDN w:val="0"/>
              <w:contextualSpacing/>
              <w:jc w:val="center"/>
              <w:rPr>
                <w:color w:val="auto"/>
                <w:szCs w:val="18"/>
              </w:rPr>
            </w:pPr>
            <w:r>
              <w:rPr>
                <w:color w:val="auto"/>
                <w:szCs w:val="18"/>
              </w:rPr>
              <w:t>相对厂界距离/m</w:t>
            </w:r>
          </w:p>
        </w:tc>
      </w:tr>
      <w:tr w14:paraId="56C7F8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vMerge w:val="continue"/>
            <w:vAlign w:val="center"/>
          </w:tcPr>
          <w:p w14:paraId="35109E42">
            <w:pPr>
              <w:autoSpaceDE w:val="0"/>
              <w:autoSpaceDN w:val="0"/>
              <w:contextualSpacing/>
              <w:jc w:val="center"/>
              <w:rPr>
                <w:color w:val="auto"/>
                <w:szCs w:val="18"/>
              </w:rPr>
            </w:pPr>
          </w:p>
        </w:tc>
        <w:tc>
          <w:tcPr>
            <w:tcW w:w="712" w:type="pct"/>
            <w:shd w:val="clear" w:color="auto" w:fill="auto"/>
            <w:vAlign w:val="center"/>
          </w:tcPr>
          <w:p w14:paraId="082CEE5C">
            <w:pPr>
              <w:autoSpaceDE w:val="0"/>
              <w:autoSpaceDN w:val="0"/>
              <w:contextualSpacing/>
              <w:jc w:val="center"/>
              <w:rPr>
                <w:color w:val="auto"/>
                <w:szCs w:val="18"/>
              </w:rPr>
            </w:pPr>
            <w:r>
              <w:rPr>
                <w:color w:val="auto"/>
                <w:szCs w:val="18"/>
              </w:rPr>
              <w:t>E</w:t>
            </w:r>
          </w:p>
        </w:tc>
        <w:tc>
          <w:tcPr>
            <w:tcW w:w="651" w:type="pct"/>
            <w:shd w:val="clear" w:color="auto" w:fill="auto"/>
            <w:vAlign w:val="center"/>
          </w:tcPr>
          <w:p w14:paraId="6D6B61F1">
            <w:pPr>
              <w:autoSpaceDE w:val="0"/>
              <w:autoSpaceDN w:val="0"/>
              <w:contextualSpacing/>
              <w:jc w:val="center"/>
              <w:rPr>
                <w:color w:val="auto"/>
                <w:szCs w:val="18"/>
              </w:rPr>
            </w:pPr>
            <w:r>
              <w:rPr>
                <w:color w:val="auto"/>
                <w:szCs w:val="18"/>
              </w:rPr>
              <w:t>N</w:t>
            </w:r>
          </w:p>
        </w:tc>
        <w:tc>
          <w:tcPr>
            <w:tcW w:w="592" w:type="pct"/>
            <w:vMerge w:val="continue"/>
            <w:vAlign w:val="center"/>
          </w:tcPr>
          <w:p w14:paraId="43137B1D">
            <w:pPr>
              <w:autoSpaceDE w:val="0"/>
              <w:autoSpaceDN w:val="0"/>
              <w:contextualSpacing/>
              <w:jc w:val="center"/>
              <w:rPr>
                <w:color w:val="auto"/>
                <w:szCs w:val="18"/>
              </w:rPr>
            </w:pPr>
          </w:p>
        </w:tc>
        <w:tc>
          <w:tcPr>
            <w:tcW w:w="606" w:type="pct"/>
            <w:vMerge w:val="continue"/>
            <w:vAlign w:val="center"/>
          </w:tcPr>
          <w:p w14:paraId="07B48EC9">
            <w:pPr>
              <w:autoSpaceDE w:val="0"/>
              <w:autoSpaceDN w:val="0"/>
              <w:contextualSpacing/>
              <w:jc w:val="center"/>
              <w:rPr>
                <w:color w:val="auto"/>
                <w:szCs w:val="18"/>
              </w:rPr>
            </w:pPr>
          </w:p>
        </w:tc>
        <w:tc>
          <w:tcPr>
            <w:tcW w:w="606" w:type="pct"/>
            <w:vMerge w:val="continue"/>
            <w:vAlign w:val="center"/>
          </w:tcPr>
          <w:p w14:paraId="70910968">
            <w:pPr>
              <w:autoSpaceDE w:val="0"/>
              <w:autoSpaceDN w:val="0"/>
              <w:contextualSpacing/>
              <w:jc w:val="center"/>
              <w:rPr>
                <w:color w:val="auto"/>
                <w:szCs w:val="18"/>
              </w:rPr>
            </w:pPr>
          </w:p>
        </w:tc>
        <w:tc>
          <w:tcPr>
            <w:tcW w:w="561" w:type="pct"/>
            <w:vMerge w:val="continue"/>
            <w:vAlign w:val="center"/>
          </w:tcPr>
          <w:p w14:paraId="16E18634">
            <w:pPr>
              <w:autoSpaceDE w:val="0"/>
              <w:autoSpaceDN w:val="0"/>
              <w:contextualSpacing/>
              <w:jc w:val="center"/>
              <w:rPr>
                <w:color w:val="auto"/>
                <w:szCs w:val="18"/>
              </w:rPr>
            </w:pPr>
          </w:p>
        </w:tc>
        <w:tc>
          <w:tcPr>
            <w:tcW w:w="651" w:type="pct"/>
            <w:vMerge w:val="continue"/>
            <w:vAlign w:val="center"/>
          </w:tcPr>
          <w:p w14:paraId="442DBA33">
            <w:pPr>
              <w:autoSpaceDE w:val="0"/>
              <w:autoSpaceDN w:val="0"/>
              <w:contextualSpacing/>
              <w:jc w:val="center"/>
              <w:rPr>
                <w:color w:val="auto"/>
                <w:szCs w:val="18"/>
              </w:rPr>
            </w:pPr>
          </w:p>
        </w:tc>
      </w:tr>
      <w:tr w14:paraId="67D63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0FDA6B2B">
            <w:pPr>
              <w:autoSpaceDE w:val="0"/>
              <w:autoSpaceDN w:val="0"/>
              <w:contextualSpacing/>
              <w:jc w:val="center"/>
              <w:rPr>
                <w:color w:val="auto"/>
                <w:szCs w:val="18"/>
              </w:rPr>
            </w:pPr>
            <w:r>
              <w:rPr>
                <w:rFonts w:hint="eastAsia"/>
                <w:color w:val="auto"/>
                <w:szCs w:val="18"/>
              </w:rPr>
              <w:t>镇丰村</w:t>
            </w:r>
          </w:p>
        </w:tc>
        <w:tc>
          <w:tcPr>
            <w:tcW w:w="712" w:type="pct"/>
            <w:shd w:val="clear" w:color="auto" w:fill="auto"/>
            <w:noWrap/>
            <w:vAlign w:val="center"/>
          </w:tcPr>
          <w:p w14:paraId="5E712367">
            <w:pPr>
              <w:autoSpaceDE w:val="0"/>
              <w:autoSpaceDN w:val="0"/>
              <w:contextualSpacing/>
              <w:jc w:val="center"/>
              <w:rPr>
                <w:color w:val="auto"/>
                <w:szCs w:val="18"/>
              </w:rPr>
            </w:pPr>
            <w:r>
              <w:rPr>
                <w:rFonts w:hint="eastAsia"/>
                <w:color w:val="auto"/>
                <w:szCs w:val="18"/>
              </w:rPr>
              <w:t>130.549893</w:t>
            </w:r>
          </w:p>
        </w:tc>
        <w:tc>
          <w:tcPr>
            <w:tcW w:w="651" w:type="pct"/>
            <w:shd w:val="clear" w:color="auto" w:fill="auto"/>
            <w:noWrap/>
            <w:vAlign w:val="center"/>
          </w:tcPr>
          <w:p w14:paraId="0C828CA9">
            <w:pPr>
              <w:autoSpaceDE w:val="0"/>
              <w:autoSpaceDN w:val="0"/>
              <w:contextualSpacing/>
              <w:jc w:val="center"/>
              <w:rPr>
                <w:color w:val="auto"/>
                <w:szCs w:val="18"/>
              </w:rPr>
            </w:pPr>
            <w:r>
              <w:rPr>
                <w:rFonts w:hint="eastAsia"/>
                <w:color w:val="auto"/>
                <w:szCs w:val="18"/>
              </w:rPr>
              <w:t>46.239886</w:t>
            </w:r>
          </w:p>
        </w:tc>
        <w:tc>
          <w:tcPr>
            <w:tcW w:w="592" w:type="pct"/>
            <w:shd w:val="clear" w:color="auto" w:fill="auto"/>
            <w:noWrap/>
            <w:vAlign w:val="center"/>
          </w:tcPr>
          <w:p w14:paraId="08B68AF2">
            <w:pPr>
              <w:autoSpaceDE w:val="0"/>
              <w:autoSpaceDN w:val="0"/>
              <w:contextualSpacing/>
              <w:jc w:val="center"/>
              <w:rPr>
                <w:color w:val="auto"/>
                <w:szCs w:val="18"/>
              </w:rPr>
            </w:pPr>
            <w:r>
              <w:rPr>
                <w:color w:val="auto"/>
                <w:szCs w:val="21"/>
              </w:rPr>
              <w:t>居住区</w:t>
            </w:r>
          </w:p>
        </w:tc>
        <w:tc>
          <w:tcPr>
            <w:tcW w:w="606" w:type="pct"/>
            <w:shd w:val="clear" w:color="auto" w:fill="auto"/>
            <w:noWrap/>
            <w:vAlign w:val="center"/>
          </w:tcPr>
          <w:p w14:paraId="7F02F476">
            <w:pPr>
              <w:autoSpaceDE w:val="0"/>
              <w:autoSpaceDN w:val="0"/>
              <w:contextualSpacing/>
              <w:jc w:val="center"/>
              <w:rPr>
                <w:color w:val="auto"/>
                <w:szCs w:val="18"/>
              </w:rPr>
            </w:pPr>
            <w:r>
              <w:rPr>
                <w:rFonts w:hint="eastAsia"/>
                <w:color w:val="auto"/>
                <w:szCs w:val="18"/>
              </w:rPr>
              <w:t>200</w:t>
            </w:r>
          </w:p>
        </w:tc>
        <w:tc>
          <w:tcPr>
            <w:tcW w:w="606" w:type="pct"/>
            <w:shd w:val="clear" w:color="auto" w:fill="auto"/>
            <w:noWrap/>
            <w:vAlign w:val="center"/>
          </w:tcPr>
          <w:p w14:paraId="5FDC2299">
            <w:pPr>
              <w:autoSpaceDE w:val="0"/>
              <w:autoSpaceDN w:val="0"/>
              <w:contextualSpacing/>
              <w:jc w:val="center"/>
              <w:rPr>
                <w:color w:val="auto"/>
                <w:szCs w:val="18"/>
              </w:rPr>
            </w:pPr>
            <w:r>
              <w:rPr>
                <w:rFonts w:hint="eastAsia"/>
                <w:color w:val="auto"/>
                <w:szCs w:val="18"/>
              </w:rPr>
              <w:t>二类</w:t>
            </w:r>
          </w:p>
        </w:tc>
        <w:tc>
          <w:tcPr>
            <w:tcW w:w="561" w:type="pct"/>
            <w:shd w:val="clear" w:color="auto" w:fill="auto"/>
            <w:noWrap/>
            <w:vAlign w:val="center"/>
          </w:tcPr>
          <w:p w14:paraId="59E11D07">
            <w:pPr>
              <w:autoSpaceDE w:val="0"/>
              <w:autoSpaceDN w:val="0"/>
              <w:contextualSpacing/>
              <w:jc w:val="center"/>
              <w:rPr>
                <w:color w:val="auto"/>
                <w:szCs w:val="18"/>
              </w:rPr>
            </w:pPr>
            <w:r>
              <w:rPr>
                <w:color w:val="auto"/>
                <w:szCs w:val="18"/>
              </w:rPr>
              <w:t>SW</w:t>
            </w:r>
          </w:p>
        </w:tc>
        <w:tc>
          <w:tcPr>
            <w:tcW w:w="651" w:type="pct"/>
            <w:shd w:val="clear" w:color="auto" w:fill="auto"/>
            <w:noWrap/>
            <w:vAlign w:val="center"/>
          </w:tcPr>
          <w:p w14:paraId="191D272C">
            <w:pPr>
              <w:autoSpaceDE w:val="0"/>
              <w:autoSpaceDN w:val="0"/>
              <w:contextualSpacing/>
              <w:jc w:val="center"/>
              <w:rPr>
                <w:color w:val="auto"/>
                <w:szCs w:val="18"/>
              </w:rPr>
            </w:pPr>
            <w:r>
              <w:rPr>
                <w:rFonts w:hint="eastAsia"/>
                <w:color w:val="auto"/>
                <w:szCs w:val="18"/>
              </w:rPr>
              <w:t>2900</w:t>
            </w:r>
          </w:p>
        </w:tc>
      </w:tr>
      <w:tr w14:paraId="4D80A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284C4E65">
            <w:pPr>
              <w:autoSpaceDE w:val="0"/>
              <w:autoSpaceDN w:val="0"/>
              <w:contextualSpacing/>
              <w:jc w:val="center"/>
              <w:rPr>
                <w:color w:val="auto"/>
                <w:szCs w:val="18"/>
              </w:rPr>
            </w:pPr>
            <w:r>
              <w:rPr>
                <w:rFonts w:hint="eastAsia"/>
                <w:color w:val="auto"/>
                <w:szCs w:val="18"/>
              </w:rPr>
              <w:t>柳毛河乡</w:t>
            </w:r>
          </w:p>
        </w:tc>
        <w:tc>
          <w:tcPr>
            <w:tcW w:w="712" w:type="pct"/>
            <w:shd w:val="clear" w:color="auto" w:fill="auto"/>
            <w:noWrap/>
            <w:vAlign w:val="center"/>
          </w:tcPr>
          <w:p w14:paraId="6EE90181">
            <w:pPr>
              <w:autoSpaceDE w:val="0"/>
              <w:autoSpaceDN w:val="0"/>
              <w:contextualSpacing/>
              <w:jc w:val="center"/>
              <w:rPr>
                <w:color w:val="auto"/>
                <w:szCs w:val="18"/>
              </w:rPr>
            </w:pPr>
            <w:r>
              <w:rPr>
                <w:rFonts w:hint="eastAsia"/>
                <w:color w:val="auto"/>
                <w:szCs w:val="18"/>
              </w:rPr>
              <w:t>130.598902</w:t>
            </w:r>
          </w:p>
        </w:tc>
        <w:tc>
          <w:tcPr>
            <w:tcW w:w="651" w:type="pct"/>
            <w:shd w:val="clear" w:color="auto" w:fill="auto"/>
            <w:noWrap/>
            <w:vAlign w:val="center"/>
          </w:tcPr>
          <w:p w14:paraId="7C9534E0">
            <w:pPr>
              <w:autoSpaceDE w:val="0"/>
              <w:autoSpaceDN w:val="0"/>
              <w:contextualSpacing/>
              <w:jc w:val="center"/>
              <w:rPr>
                <w:color w:val="auto"/>
                <w:szCs w:val="18"/>
              </w:rPr>
            </w:pPr>
            <w:r>
              <w:rPr>
                <w:rFonts w:hint="eastAsia"/>
                <w:color w:val="auto"/>
                <w:szCs w:val="18"/>
              </w:rPr>
              <w:t>46.251301</w:t>
            </w:r>
          </w:p>
        </w:tc>
        <w:tc>
          <w:tcPr>
            <w:tcW w:w="592" w:type="pct"/>
            <w:shd w:val="clear" w:color="auto" w:fill="auto"/>
            <w:noWrap/>
            <w:vAlign w:val="center"/>
          </w:tcPr>
          <w:p w14:paraId="106E2D38">
            <w:pPr>
              <w:autoSpaceDE w:val="0"/>
              <w:autoSpaceDN w:val="0"/>
              <w:contextualSpacing/>
              <w:jc w:val="center"/>
              <w:rPr>
                <w:color w:val="auto"/>
                <w:szCs w:val="18"/>
              </w:rPr>
            </w:pPr>
            <w:r>
              <w:rPr>
                <w:color w:val="auto"/>
                <w:szCs w:val="21"/>
              </w:rPr>
              <w:t>居住区</w:t>
            </w:r>
          </w:p>
        </w:tc>
        <w:tc>
          <w:tcPr>
            <w:tcW w:w="606" w:type="pct"/>
            <w:shd w:val="clear" w:color="auto" w:fill="auto"/>
            <w:noWrap/>
            <w:vAlign w:val="center"/>
          </w:tcPr>
          <w:p w14:paraId="55A0C121">
            <w:pPr>
              <w:autoSpaceDE w:val="0"/>
              <w:autoSpaceDN w:val="0"/>
              <w:contextualSpacing/>
              <w:jc w:val="center"/>
              <w:rPr>
                <w:color w:val="auto"/>
                <w:szCs w:val="18"/>
              </w:rPr>
            </w:pPr>
            <w:r>
              <w:rPr>
                <w:rFonts w:hint="eastAsia"/>
                <w:color w:val="auto"/>
                <w:szCs w:val="18"/>
              </w:rPr>
              <w:t>3500</w:t>
            </w:r>
          </w:p>
        </w:tc>
        <w:tc>
          <w:tcPr>
            <w:tcW w:w="606" w:type="pct"/>
            <w:shd w:val="clear" w:color="auto" w:fill="auto"/>
            <w:noWrap/>
            <w:vAlign w:val="center"/>
          </w:tcPr>
          <w:p w14:paraId="587C60E0">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00CF2ABA">
            <w:pPr>
              <w:autoSpaceDE w:val="0"/>
              <w:autoSpaceDN w:val="0"/>
              <w:contextualSpacing/>
              <w:jc w:val="center"/>
              <w:rPr>
                <w:color w:val="auto"/>
                <w:szCs w:val="18"/>
              </w:rPr>
            </w:pPr>
            <w:r>
              <w:rPr>
                <w:rFonts w:hint="eastAsia"/>
                <w:color w:val="auto"/>
                <w:szCs w:val="18"/>
              </w:rPr>
              <w:t>E</w:t>
            </w:r>
          </w:p>
        </w:tc>
        <w:tc>
          <w:tcPr>
            <w:tcW w:w="651" w:type="pct"/>
            <w:shd w:val="clear" w:color="auto" w:fill="auto"/>
            <w:noWrap/>
            <w:vAlign w:val="center"/>
          </w:tcPr>
          <w:p w14:paraId="5DA56D2E">
            <w:pPr>
              <w:autoSpaceDE w:val="0"/>
              <w:autoSpaceDN w:val="0"/>
              <w:contextualSpacing/>
              <w:jc w:val="center"/>
              <w:rPr>
                <w:color w:val="auto"/>
                <w:szCs w:val="18"/>
              </w:rPr>
            </w:pPr>
            <w:r>
              <w:rPr>
                <w:rFonts w:hint="eastAsia"/>
                <w:color w:val="auto"/>
                <w:szCs w:val="18"/>
                <w:lang w:val="en-US" w:eastAsia="zh-CN"/>
              </w:rPr>
              <w:t>5</w:t>
            </w:r>
            <w:r>
              <w:rPr>
                <w:rFonts w:hint="eastAsia"/>
                <w:color w:val="auto"/>
                <w:szCs w:val="18"/>
              </w:rPr>
              <w:t>000</w:t>
            </w:r>
          </w:p>
        </w:tc>
      </w:tr>
      <w:tr w14:paraId="49317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730B0B17">
            <w:pPr>
              <w:autoSpaceDE w:val="0"/>
              <w:autoSpaceDN w:val="0"/>
              <w:contextualSpacing/>
              <w:jc w:val="center"/>
              <w:rPr>
                <w:color w:val="auto"/>
                <w:szCs w:val="18"/>
              </w:rPr>
            </w:pPr>
            <w:r>
              <w:rPr>
                <w:rFonts w:hint="eastAsia"/>
                <w:color w:val="auto"/>
                <w:szCs w:val="18"/>
              </w:rPr>
              <w:t>桦南镇</w:t>
            </w:r>
          </w:p>
        </w:tc>
        <w:tc>
          <w:tcPr>
            <w:tcW w:w="712" w:type="pct"/>
            <w:shd w:val="clear" w:color="auto" w:fill="auto"/>
            <w:noWrap/>
            <w:vAlign w:val="center"/>
          </w:tcPr>
          <w:p w14:paraId="79496A5E">
            <w:pPr>
              <w:autoSpaceDE w:val="0"/>
              <w:autoSpaceDN w:val="0"/>
              <w:contextualSpacing/>
              <w:jc w:val="center"/>
              <w:rPr>
                <w:color w:val="auto"/>
                <w:szCs w:val="18"/>
              </w:rPr>
            </w:pPr>
            <w:r>
              <w:rPr>
                <w:rFonts w:hint="eastAsia"/>
                <w:color w:val="auto"/>
                <w:szCs w:val="18"/>
              </w:rPr>
              <w:t>130.556931</w:t>
            </w:r>
          </w:p>
        </w:tc>
        <w:tc>
          <w:tcPr>
            <w:tcW w:w="651" w:type="pct"/>
            <w:shd w:val="clear" w:color="auto" w:fill="auto"/>
            <w:noWrap/>
            <w:vAlign w:val="center"/>
          </w:tcPr>
          <w:p w14:paraId="20971FAD">
            <w:pPr>
              <w:autoSpaceDE w:val="0"/>
              <w:autoSpaceDN w:val="0"/>
              <w:contextualSpacing/>
              <w:jc w:val="center"/>
              <w:rPr>
                <w:color w:val="auto"/>
                <w:szCs w:val="18"/>
              </w:rPr>
            </w:pPr>
            <w:r>
              <w:rPr>
                <w:rFonts w:hint="eastAsia"/>
                <w:color w:val="auto"/>
                <w:szCs w:val="18"/>
              </w:rPr>
              <w:t>40.257052</w:t>
            </w:r>
          </w:p>
        </w:tc>
        <w:tc>
          <w:tcPr>
            <w:tcW w:w="592" w:type="pct"/>
            <w:shd w:val="clear" w:color="auto" w:fill="auto"/>
            <w:noWrap/>
            <w:vAlign w:val="center"/>
          </w:tcPr>
          <w:p w14:paraId="2B11D540">
            <w:pPr>
              <w:autoSpaceDE w:val="0"/>
              <w:autoSpaceDN w:val="0"/>
              <w:contextualSpacing/>
              <w:jc w:val="center"/>
              <w:rPr>
                <w:color w:val="auto"/>
                <w:szCs w:val="21"/>
              </w:rPr>
            </w:pPr>
            <w:r>
              <w:rPr>
                <w:color w:val="auto"/>
                <w:szCs w:val="21"/>
              </w:rPr>
              <w:t>居住区</w:t>
            </w:r>
          </w:p>
        </w:tc>
        <w:tc>
          <w:tcPr>
            <w:tcW w:w="606" w:type="pct"/>
            <w:shd w:val="clear" w:color="auto" w:fill="auto"/>
            <w:noWrap/>
            <w:vAlign w:val="center"/>
          </w:tcPr>
          <w:p w14:paraId="4AAA322E">
            <w:pPr>
              <w:autoSpaceDE w:val="0"/>
              <w:autoSpaceDN w:val="0"/>
              <w:contextualSpacing/>
              <w:jc w:val="center"/>
              <w:rPr>
                <w:color w:val="auto"/>
                <w:szCs w:val="18"/>
              </w:rPr>
            </w:pPr>
            <w:r>
              <w:rPr>
                <w:rFonts w:hint="eastAsia"/>
                <w:color w:val="auto"/>
                <w:szCs w:val="18"/>
                <w:lang w:val="en-US" w:eastAsia="zh-CN"/>
              </w:rPr>
              <w:t>35</w:t>
            </w:r>
            <w:r>
              <w:rPr>
                <w:rFonts w:hint="eastAsia"/>
                <w:color w:val="auto"/>
                <w:szCs w:val="18"/>
              </w:rPr>
              <w:t>000</w:t>
            </w:r>
          </w:p>
        </w:tc>
        <w:tc>
          <w:tcPr>
            <w:tcW w:w="606" w:type="pct"/>
            <w:shd w:val="clear" w:color="auto" w:fill="auto"/>
            <w:noWrap/>
            <w:vAlign w:val="center"/>
          </w:tcPr>
          <w:p w14:paraId="6E6439F1">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10F8AD19">
            <w:pPr>
              <w:autoSpaceDE w:val="0"/>
              <w:autoSpaceDN w:val="0"/>
              <w:contextualSpacing/>
              <w:jc w:val="center"/>
              <w:rPr>
                <w:color w:val="auto"/>
                <w:szCs w:val="18"/>
              </w:rPr>
            </w:pPr>
            <w:r>
              <w:rPr>
                <w:rFonts w:hint="eastAsia"/>
                <w:color w:val="auto"/>
                <w:szCs w:val="18"/>
              </w:rPr>
              <w:t>S</w:t>
            </w:r>
          </w:p>
        </w:tc>
        <w:tc>
          <w:tcPr>
            <w:tcW w:w="651" w:type="pct"/>
            <w:shd w:val="clear" w:color="auto" w:fill="auto"/>
            <w:noWrap/>
            <w:vAlign w:val="center"/>
          </w:tcPr>
          <w:p w14:paraId="7313E50A">
            <w:pPr>
              <w:autoSpaceDE w:val="0"/>
              <w:autoSpaceDN w:val="0"/>
              <w:contextualSpacing/>
              <w:jc w:val="center"/>
              <w:rPr>
                <w:color w:val="auto"/>
                <w:szCs w:val="18"/>
              </w:rPr>
            </w:pPr>
            <w:r>
              <w:rPr>
                <w:rFonts w:hint="eastAsia"/>
                <w:color w:val="auto"/>
                <w:szCs w:val="18"/>
              </w:rPr>
              <w:t>1000</w:t>
            </w:r>
          </w:p>
        </w:tc>
      </w:tr>
      <w:tr w14:paraId="6AC01C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7BF2B8AA">
            <w:pPr>
              <w:autoSpaceDE w:val="0"/>
              <w:autoSpaceDN w:val="0"/>
              <w:contextualSpacing/>
              <w:jc w:val="center"/>
              <w:rPr>
                <w:rFonts w:hint="eastAsia" w:eastAsia="宋体"/>
                <w:color w:val="auto"/>
                <w:szCs w:val="18"/>
                <w:lang w:eastAsia="zh-CN"/>
              </w:rPr>
            </w:pPr>
            <w:r>
              <w:rPr>
                <w:rFonts w:hint="eastAsia"/>
                <w:color w:val="auto"/>
                <w:szCs w:val="18"/>
                <w:lang w:eastAsia="zh-CN"/>
              </w:rPr>
              <w:t>大河村</w:t>
            </w:r>
          </w:p>
        </w:tc>
        <w:tc>
          <w:tcPr>
            <w:tcW w:w="712" w:type="pct"/>
            <w:shd w:val="clear" w:color="auto" w:fill="auto"/>
            <w:noWrap/>
            <w:vAlign w:val="center"/>
          </w:tcPr>
          <w:p w14:paraId="50A54452">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130.599737</w:t>
            </w:r>
          </w:p>
        </w:tc>
        <w:tc>
          <w:tcPr>
            <w:tcW w:w="651" w:type="pct"/>
            <w:shd w:val="clear" w:color="auto" w:fill="auto"/>
            <w:noWrap/>
            <w:vAlign w:val="center"/>
          </w:tcPr>
          <w:p w14:paraId="2574A500">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46.235817</w:t>
            </w:r>
          </w:p>
        </w:tc>
        <w:tc>
          <w:tcPr>
            <w:tcW w:w="592" w:type="pct"/>
            <w:shd w:val="clear" w:color="auto" w:fill="auto"/>
            <w:noWrap/>
            <w:vAlign w:val="center"/>
          </w:tcPr>
          <w:p w14:paraId="4402BE25">
            <w:pPr>
              <w:autoSpaceDE w:val="0"/>
              <w:autoSpaceDN w:val="0"/>
              <w:contextualSpacing/>
              <w:jc w:val="center"/>
              <w:rPr>
                <w:color w:val="auto"/>
                <w:szCs w:val="21"/>
              </w:rPr>
            </w:pPr>
            <w:r>
              <w:rPr>
                <w:color w:val="auto"/>
                <w:szCs w:val="21"/>
              </w:rPr>
              <w:t>居住区</w:t>
            </w:r>
          </w:p>
        </w:tc>
        <w:tc>
          <w:tcPr>
            <w:tcW w:w="606" w:type="pct"/>
            <w:shd w:val="clear" w:color="auto" w:fill="auto"/>
            <w:noWrap/>
            <w:vAlign w:val="center"/>
          </w:tcPr>
          <w:p w14:paraId="3A77E625">
            <w:pPr>
              <w:autoSpaceDE w:val="0"/>
              <w:autoSpaceDN w:val="0"/>
              <w:contextualSpacing/>
              <w:jc w:val="center"/>
              <w:rPr>
                <w:rFonts w:hint="default" w:ascii="Times New Roman" w:eastAsia="宋体"/>
                <w:color w:val="auto"/>
                <w:szCs w:val="18"/>
                <w:lang w:val="en-US" w:eastAsia="zh-CN"/>
              </w:rPr>
            </w:pPr>
            <w:r>
              <w:rPr>
                <w:rFonts w:hint="eastAsia"/>
                <w:color w:val="auto"/>
                <w:szCs w:val="18"/>
                <w:lang w:val="en-US" w:eastAsia="zh-CN"/>
              </w:rPr>
              <w:t>300</w:t>
            </w:r>
          </w:p>
        </w:tc>
        <w:tc>
          <w:tcPr>
            <w:tcW w:w="606" w:type="pct"/>
            <w:shd w:val="clear" w:color="auto" w:fill="auto"/>
            <w:noWrap/>
            <w:vAlign w:val="center"/>
          </w:tcPr>
          <w:p w14:paraId="3A409DF0">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46844D2A">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SE</w:t>
            </w:r>
          </w:p>
        </w:tc>
        <w:tc>
          <w:tcPr>
            <w:tcW w:w="651" w:type="pct"/>
            <w:shd w:val="clear" w:color="auto" w:fill="auto"/>
            <w:noWrap/>
            <w:vAlign w:val="center"/>
          </w:tcPr>
          <w:p w14:paraId="0F3D9344">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4300</w:t>
            </w:r>
          </w:p>
        </w:tc>
      </w:tr>
      <w:tr w14:paraId="0A3BF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6CA06DC6">
            <w:pPr>
              <w:autoSpaceDE w:val="0"/>
              <w:autoSpaceDN w:val="0"/>
              <w:contextualSpacing/>
              <w:jc w:val="center"/>
              <w:rPr>
                <w:rFonts w:hint="eastAsia"/>
                <w:color w:val="auto"/>
                <w:szCs w:val="18"/>
                <w:lang w:eastAsia="zh-CN"/>
              </w:rPr>
            </w:pPr>
            <w:r>
              <w:rPr>
                <w:rFonts w:hint="eastAsia"/>
                <w:color w:val="auto"/>
                <w:szCs w:val="18"/>
                <w:lang w:eastAsia="zh-CN"/>
              </w:rPr>
              <w:t>崔家屯</w:t>
            </w:r>
          </w:p>
        </w:tc>
        <w:tc>
          <w:tcPr>
            <w:tcW w:w="712" w:type="pct"/>
            <w:shd w:val="clear" w:color="auto" w:fill="auto"/>
            <w:noWrap/>
            <w:vAlign w:val="center"/>
          </w:tcPr>
          <w:p w14:paraId="171260FB">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130.593386</w:t>
            </w:r>
          </w:p>
        </w:tc>
        <w:tc>
          <w:tcPr>
            <w:tcW w:w="651" w:type="pct"/>
            <w:shd w:val="clear" w:color="auto" w:fill="auto"/>
            <w:noWrap/>
            <w:vAlign w:val="center"/>
          </w:tcPr>
          <w:p w14:paraId="61FB5B5C">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46.231869</w:t>
            </w:r>
          </w:p>
        </w:tc>
        <w:tc>
          <w:tcPr>
            <w:tcW w:w="592" w:type="pct"/>
            <w:shd w:val="clear" w:color="auto" w:fill="auto"/>
            <w:noWrap/>
            <w:vAlign w:val="center"/>
          </w:tcPr>
          <w:p w14:paraId="0C52B930">
            <w:pPr>
              <w:autoSpaceDE w:val="0"/>
              <w:autoSpaceDN w:val="0"/>
              <w:contextualSpacing/>
              <w:jc w:val="center"/>
              <w:rPr>
                <w:color w:val="auto"/>
                <w:szCs w:val="21"/>
              </w:rPr>
            </w:pPr>
            <w:r>
              <w:rPr>
                <w:color w:val="auto"/>
                <w:szCs w:val="21"/>
              </w:rPr>
              <w:t>居住区</w:t>
            </w:r>
          </w:p>
        </w:tc>
        <w:tc>
          <w:tcPr>
            <w:tcW w:w="606" w:type="pct"/>
            <w:shd w:val="clear" w:color="auto" w:fill="auto"/>
            <w:noWrap/>
            <w:vAlign w:val="center"/>
          </w:tcPr>
          <w:p w14:paraId="018D0C3D">
            <w:pPr>
              <w:autoSpaceDE w:val="0"/>
              <w:autoSpaceDN w:val="0"/>
              <w:contextualSpacing/>
              <w:jc w:val="center"/>
              <w:rPr>
                <w:rFonts w:hint="default" w:ascii="Times New Roman" w:eastAsia="宋体"/>
                <w:color w:val="auto"/>
                <w:szCs w:val="18"/>
                <w:lang w:val="en-US" w:eastAsia="zh-CN"/>
              </w:rPr>
            </w:pPr>
            <w:r>
              <w:rPr>
                <w:rFonts w:hint="eastAsia"/>
                <w:color w:val="auto"/>
                <w:szCs w:val="18"/>
                <w:lang w:val="en-US" w:eastAsia="zh-CN"/>
              </w:rPr>
              <w:t>100</w:t>
            </w:r>
          </w:p>
        </w:tc>
        <w:tc>
          <w:tcPr>
            <w:tcW w:w="606" w:type="pct"/>
            <w:shd w:val="clear" w:color="auto" w:fill="auto"/>
            <w:noWrap/>
            <w:vAlign w:val="center"/>
          </w:tcPr>
          <w:p w14:paraId="029B881F">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11F75E64">
            <w:pPr>
              <w:autoSpaceDE w:val="0"/>
              <w:autoSpaceDN w:val="0"/>
              <w:contextualSpacing/>
              <w:jc w:val="center"/>
              <w:rPr>
                <w:rFonts w:hint="eastAsia"/>
                <w:color w:val="auto"/>
                <w:szCs w:val="18"/>
              </w:rPr>
            </w:pPr>
            <w:r>
              <w:rPr>
                <w:rFonts w:hint="eastAsia"/>
                <w:color w:val="auto"/>
                <w:szCs w:val="18"/>
                <w:lang w:val="en-US" w:eastAsia="zh-CN"/>
              </w:rPr>
              <w:t>SE</w:t>
            </w:r>
          </w:p>
        </w:tc>
        <w:tc>
          <w:tcPr>
            <w:tcW w:w="651" w:type="pct"/>
            <w:shd w:val="clear" w:color="auto" w:fill="auto"/>
            <w:noWrap/>
            <w:vAlign w:val="center"/>
          </w:tcPr>
          <w:p w14:paraId="441FBFB2">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5000</w:t>
            </w:r>
          </w:p>
        </w:tc>
      </w:tr>
      <w:tr w14:paraId="64114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618" w:type="pct"/>
            <w:shd w:val="clear" w:color="auto" w:fill="auto"/>
            <w:noWrap/>
            <w:vAlign w:val="center"/>
          </w:tcPr>
          <w:p w14:paraId="13F3FC6D">
            <w:pPr>
              <w:autoSpaceDE w:val="0"/>
              <w:autoSpaceDN w:val="0"/>
              <w:contextualSpacing/>
              <w:jc w:val="center"/>
              <w:rPr>
                <w:rFonts w:hint="default"/>
                <w:color w:val="auto"/>
                <w:szCs w:val="18"/>
                <w:lang w:val="en-US" w:eastAsia="zh-CN"/>
              </w:rPr>
            </w:pPr>
            <w:r>
              <w:rPr>
                <w:rFonts w:hint="eastAsia"/>
                <w:color w:val="auto"/>
                <w:szCs w:val="18"/>
                <w:lang w:val="en-US" w:eastAsia="zh-CN"/>
              </w:rPr>
              <w:t>双利村</w:t>
            </w:r>
          </w:p>
        </w:tc>
        <w:tc>
          <w:tcPr>
            <w:tcW w:w="712" w:type="pct"/>
            <w:shd w:val="clear" w:color="auto" w:fill="auto"/>
            <w:noWrap/>
            <w:vAlign w:val="center"/>
          </w:tcPr>
          <w:p w14:paraId="2106F758">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130.496354</w:t>
            </w:r>
          </w:p>
        </w:tc>
        <w:tc>
          <w:tcPr>
            <w:tcW w:w="651" w:type="pct"/>
            <w:shd w:val="clear" w:color="auto" w:fill="auto"/>
            <w:noWrap/>
            <w:vAlign w:val="center"/>
          </w:tcPr>
          <w:p w14:paraId="00DC223A">
            <w:pPr>
              <w:autoSpaceDE w:val="0"/>
              <w:autoSpaceDN w:val="0"/>
              <w:contextualSpacing/>
              <w:jc w:val="center"/>
              <w:rPr>
                <w:rFonts w:hint="default" w:eastAsia="宋体"/>
                <w:color w:val="auto"/>
                <w:szCs w:val="18"/>
                <w:lang w:val="en-US" w:eastAsia="zh-CN"/>
              </w:rPr>
            </w:pPr>
            <w:r>
              <w:rPr>
                <w:rFonts w:hint="eastAsia"/>
                <w:color w:val="auto"/>
                <w:szCs w:val="18"/>
                <w:lang w:val="en-US" w:eastAsia="zh-CN"/>
              </w:rPr>
              <w:t>46.249893</w:t>
            </w:r>
          </w:p>
        </w:tc>
        <w:tc>
          <w:tcPr>
            <w:tcW w:w="592" w:type="pct"/>
            <w:shd w:val="clear" w:color="auto" w:fill="auto"/>
            <w:noWrap/>
            <w:vAlign w:val="center"/>
          </w:tcPr>
          <w:p w14:paraId="7C3504E5">
            <w:pPr>
              <w:autoSpaceDE w:val="0"/>
              <w:autoSpaceDN w:val="0"/>
              <w:contextualSpacing/>
              <w:jc w:val="center"/>
              <w:rPr>
                <w:color w:val="auto"/>
                <w:szCs w:val="21"/>
              </w:rPr>
            </w:pPr>
            <w:r>
              <w:rPr>
                <w:color w:val="auto"/>
                <w:szCs w:val="21"/>
              </w:rPr>
              <w:t>居住区</w:t>
            </w:r>
          </w:p>
        </w:tc>
        <w:tc>
          <w:tcPr>
            <w:tcW w:w="606" w:type="pct"/>
            <w:shd w:val="clear" w:color="auto" w:fill="auto"/>
            <w:noWrap/>
            <w:vAlign w:val="center"/>
          </w:tcPr>
          <w:p w14:paraId="4DBD8930">
            <w:pPr>
              <w:autoSpaceDE w:val="0"/>
              <w:autoSpaceDN w:val="0"/>
              <w:contextualSpacing/>
              <w:jc w:val="center"/>
              <w:rPr>
                <w:rFonts w:hint="default"/>
                <w:color w:val="auto"/>
                <w:szCs w:val="18"/>
                <w:lang w:val="en-US" w:eastAsia="zh-CN"/>
              </w:rPr>
            </w:pPr>
            <w:r>
              <w:rPr>
                <w:rFonts w:hint="eastAsia"/>
                <w:color w:val="auto"/>
                <w:szCs w:val="18"/>
                <w:lang w:val="en-US" w:eastAsia="zh-CN"/>
              </w:rPr>
              <w:t>100</w:t>
            </w:r>
          </w:p>
        </w:tc>
        <w:tc>
          <w:tcPr>
            <w:tcW w:w="606" w:type="pct"/>
            <w:shd w:val="clear" w:color="auto" w:fill="auto"/>
            <w:noWrap/>
            <w:vAlign w:val="center"/>
          </w:tcPr>
          <w:p w14:paraId="711C43BD">
            <w:pPr>
              <w:autoSpaceDE w:val="0"/>
              <w:autoSpaceDN w:val="0"/>
              <w:contextualSpacing/>
              <w:jc w:val="center"/>
              <w:rPr>
                <w:color w:val="auto"/>
                <w:szCs w:val="18"/>
              </w:rPr>
            </w:pPr>
            <w:r>
              <w:rPr>
                <w:color w:val="auto"/>
                <w:szCs w:val="18"/>
              </w:rPr>
              <w:t>二类</w:t>
            </w:r>
          </w:p>
        </w:tc>
        <w:tc>
          <w:tcPr>
            <w:tcW w:w="561" w:type="pct"/>
            <w:shd w:val="clear" w:color="auto" w:fill="auto"/>
            <w:noWrap/>
            <w:vAlign w:val="center"/>
          </w:tcPr>
          <w:p w14:paraId="37EF4928">
            <w:pPr>
              <w:autoSpaceDE w:val="0"/>
              <w:autoSpaceDN w:val="0"/>
              <w:contextualSpacing/>
              <w:jc w:val="center"/>
              <w:rPr>
                <w:rFonts w:hint="eastAsia"/>
                <w:color w:val="auto"/>
                <w:szCs w:val="18"/>
                <w:lang w:val="en-US" w:eastAsia="zh-CN"/>
              </w:rPr>
            </w:pPr>
            <w:r>
              <w:rPr>
                <w:rFonts w:hint="eastAsia"/>
                <w:color w:val="auto"/>
                <w:szCs w:val="18"/>
                <w:lang w:val="en-US" w:eastAsia="zh-CN"/>
              </w:rPr>
              <w:t>SW</w:t>
            </w:r>
          </w:p>
        </w:tc>
        <w:tc>
          <w:tcPr>
            <w:tcW w:w="651" w:type="pct"/>
            <w:shd w:val="clear" w:color="auto" w:fill="auto"/>
            <w:noWrap/>
            <w:vAlign w:val="center"/>
          </w:tcPr>
          <w:p w14:paraId="08B3FDEB">
            <w:pPr>
              <w:autoSpaceDE w:val="0"/>
              <w:autoSpaceDN w:val="0"/>
              <w:contextualSpacing/>
              <w:jc w:val="center"/>
              <w:rPr>
                <w:rFonts w:hint="default"/>
                <w:color w:val="auto"/>
                <w:szCs w:val="18"/>
                <w:lang w:val="en-US" w:eastAsia="zh-CN"/>
              </w:rPr>
            </w:pPr>
            <w:r>
              <w:rPr>
                <w:rFonts w:hint="eastAsia"/>
                <w:color w:val="auto"/>
                <w:szCs w:val="18"/>
                <w:lang w:val="en-US" w:eastAsia="zh-CN"/>
              </w:rPr>
              <w:t>5000</w:t>
            </w:r>
          </w:p>
        </w:tc>
      </w:tr>
    </w:tbl>
    <w:p w14:paraId="6B434FF2">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w:t>
      </w:r>
      <w:r>
        <w:rPr>
          <w:rFonts w:ascii="Times New Roman" w:hAnsi="Times New Roman"/>
          <w:b/>
          <w:bCs/>
          <w:color w:val="auto"/>
          <w:sz w:val="24"/>
          <w:szCs w:val="24"/>
        </w:rPr>
        <w:t>2</w:t>
      </w:r>
      <w:r>
        <w:rPr>
          <w:rFonts w:hint="default" w:ascii="Times New Roman" w:hAnsi="Times New Roman"/>
          <w:b/>
          <w:bCs/>
          <w:color w:val="auto"/>
          <w:sz w:val="24"/>
          <w:szCs w:val="24"/>
        </w:rPr>
        <w:t>.2 地表水环境</w:t>
      </w:r>
    </w:p>
    <w:p w14:paraId="0DCC3FB2">
      <w:pPr>
        <w:adjustRightInd w:val="0"/>
        <w:snapToGrid w:val="0"/>
        <w:spacing w:line="360" w:lineRule="auto"/>
        <w:ind w:firstLine="480" w:firstLineChars="200"/>
        <w:rPr>
          <w:color w:val="auto"/>
          <w:sz w:val="24"/>
        </w:rPr>
      </w:pPr>
      <w:r>
        <w:rPr>
          <w:color w:val="auto"/>
          <w:sz w:val="24"/>
        </w:rPr>
        <w:t>根据《建设项目环境风险评价技术导则》（HJ169-2018）附录D，依据事故情况下危险物质泄漏到水体的排放点受纳地表水体功能敏感性，与下游环境敏感目标情况，共分为三种类型，E1为环境高度敏感区，E2为环境中度敏感区，E3为环境低度敏感区，分级原则、地表水功能敏感性分区和环境敏感目标分级见表3-</w:t>
      </w:r>
      <w:r>
        <w:rPr>
          <w:rFonts w:hint="eastAsia"/>
          <w:color w:val="auto"/>
          <w:sz w:val="24"/>
        </w:rPr>
        <w:t>5</w:t>
      </w:r>
      <w:r>
        <w:rPr>
          <w:color w:val="auto"/>
          <w:sz w:val="24"/>
        </w:rPr>
        <w:t>。</w:t>
      </w:r>
    </w:p>
    <w:p w14:paraId="714F7EFF">
      <w:pPr>
        <w:spacing w:line="360" w:lineRule="auto"/>
        <w:jc w:val="center"/>
        <w:rPr>
          <w:b/>
          <w:color w:val="auto"/>
          <w:sz w:val="24"/>
        </w:rPr>
      </w:pPr>
      <w:r>
        <w:rPr>
          <w:b/>
          <w:color w:val="auto"/>
          <w:sz w:val="24"/>
        </w:rPr>
        <w:t>表3-</w:t>
      </w:r>
      <w:r>
        <w:rPr>
          <w:rFonts w:hint="eastAsia"/>
          <w:b/>
          <w:color w:val="auto"/>
          <w:sz w:val="24"/>
        </w:rPr>
        <w:t>5</w:t>
      </w:r>
      <w:r>
        <w:rPr>
          <w:b/>
          <w:color w:val="auto"/>
          <w:sz w:val="24"/>
        </w:rPr>
        <w:t>（a） 地表水环境敏感程度分级</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161"/>
        <w:gridCol w:w="2467"/>
        <w:gridCol w:w="2608"/>
        <w:gridCol w:w="2401"/>
      </w:tblGrid>
      <w:tr w14:paraId="46996236">
        <w:tblPrEx>
          <w:tblCellMar>
            <w:top w:w="0" w:type="dxa"/>
            <w:left w:w="0" w:type="dxa"/>
            <w:bottom w:w="0" w:type="dxa"/>
            <w:right w:w="0" w:type="dxa"/>
          </w:tblCellMar>
        </w:tblPrEx>
        <w:trPr>
          <w:trHeight w:val="454" w:hRule="atLeast"/>
          <w:jc w:val="center"/>
        </w:trPr>
        <w:tc>
          <w:tcPr>
            <w:tcW w:w="2090" w:type="dxa"/>
            <w:vMerge w:val="restart"/>
            <w:tcBorders>
              <w:tl2br w:val="nil"/>
              <w:tr2bl w:val="nil"/>
            </w:tcBorders>
            <w:vAlign w:val="center"/>
          </w:tcPr>
          <w:p w14:paraId="2A0577C8">
            <w:pPr>
              <w:jc w:val="center"/>
              <w:rPr>
                <w:color w:val="auto"/>
                <w:szCs w:val="21"/>
                <w:lang w:val="zh-CN" w:bidi="zh-CN"/>
              </w:rPr>
            </w:pPr>
            <w:r>
              <w:rPr>
                <w:color w:val="auto"/>
                <w:szCs w:val="21"/>
                <w:lang w:val="zh-CN" w:bidi="zh-CN"/>
              </w:rPr>
              <w:t>环境敏感目标</w:t>
            </w:r>
          </w:p>
        </w:tc>
        <w:tc>
          <w:tcPr>
            <w:tcW w:w="7230" w:type="dxa"/>
            <w:gridSpan w:val="3"/>
            <w:tcBorders>
              <w:tl2br w:val="nil"/>
              <w:tr2bl w:val="nil"/>
            </w:tcBorders>
            <w:vAlign w:val="center"/>
          </w:tcPr>
          <w:p w14:paraId="1E2BD323">
            <w:pPr>
              <w:spacing w:before="63"/>
              <w:ind w:left="2523" w:right="2513"/>
              <w:jc w:val="center"/>
              <w:rPr>
                <w:color w:val="auto"/>
                <w:szCs w:val="21"/>
                <w:lang w:val="zh-CN" w:bidi="zh-CN"/>
              </w:rPr>
            </w:pPr>
            <w:r>
              <w:rPr>
                <w:color w:val="auto"/>
                <w:szCs w:val="21"/>
                <w:lang w:val="zh-CN" w:bidi="zh-CN"/>
              </w:rPr>
              <w:t>地表水功能敏感性</w:t>
            </w:r>
          </w:p>
        </w:tc>
      </w:tr>
      <w:tr w14:paraId="3D03E8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90" w:type="dxa"/>
            <w:vMerge w:val="continue"/>
            <w:tcBorders>
              <w:tl2br w:val="nil"/>
              <w:tr2bl w:val="nil"/>
            </w:tcBorders>
            <w:vAlign w:val="center"/>
          </w:tcPr>
          <w:p w14:paraId="64550B84">
            <w:pPr>
              <w:jc w:val="center"/>
              <w:rPr>
                <w:color w:val="auto"/>
                <w:szCs w:val="21"/>
              </w:rPr>
            </w:pPr>
          </w:p>
        </w:tc>
        <w:tc>
          <w:tcPr>
            <w:tcW w:w="2386" w:type="dxa"/>
            <w:tcBorders>
              <w:tl2br w:val="nil"/>
              <w:tr2bl w:val="nil"/>
            </w:tcBorders>
            <w:vAlign w:val="center"/>
          </w:tcPr>
          <w:p w14:paraId="64B9A2A8">
            <w:pPr>
              <w:spacing w:before="72"/>
              <w:ind w:right="86"/>
              <w:jc w:val="center"/>
              <w:rPr>
                <w:color w:val="auto"/>
                <w:szCs w:val="21"/>
                <w:lang w:val="zh-CN" w:bidi="zh-CN"/>
              </w:rPr>
            </w:pPr>
            <w:r>
              <w:rPr>
                <w:color w:val="auto"/>
                <w:szCs w:val="21"/>
                <w:lang w:val="zh-CN" w:bidi="zh-CN"/>
              </w:rPr>
              <w:t>F1</w:t>
            </w:r>
          </w:p>
        </w:tc>
        <w:tc>
          <w:tcPr>
            <w:tcW w:w="2522" w:type="dxa"/>
            <w:tcBorders>
              <w:tl2br w:val="nil"/>
              <w:tr2bl w:val="nil"/>
            </w:tcBorders>
            <w:vAlign w:val="center"/>
          </w:tcPr>
          <w:p w14:paraId="7DBFFCAB">
            <w:pPr>
              <w:spacing w:before="72"/>
              <w:ind w:left="1020" w:right="1020"/>
              <w:jc w:val="center"/>
              <w:rPr>
                <w:color w:val="auto"/>
                <w:szCs w:val="21"/>
                <w:lang w:val="zh-CN" w:bidi="zh-CN"/>
              </w:rPr>
            </w:pPr>
            <w:r>
              <w:rPr>
                <w:color w:val="auto"/>
                <w:szCs w:val="21"/>
                <w:lang w:val="zh-CN" w:bidi="zh-CN"/>
              </w:rPr>
              <w:t>F2</w:t>
            </w:r>
          </w:p>
        </w:tc>
        <w:tc>
          <w:tcPr>
            <w:tcW w:w="2322" w:type="dxa"/>
            <w:tcBorders>
              <w:tl2br w:val="nil"/>
              <w:tr2bl w:val="nil"/>
            </w:tcBorders>
            <w:vAlign w:val="center"/>
          </w:tcPr>
          <w:p w14:paraId="747F963B">
            <w:pPr>
              <w:spacing w:before="72"/>
              <w:ind w:left="926" w:right="927"/>
              <w:jc w:val="center"/>
              <w:rPr>
                <w:color w:val="auto"/>
                <w:szCs w:val="21"/>
                <w:lang w:val="zh-CN" w:bidi="zh-CN"/>
              </w:rPr>
            </w:pPr>
            <w:r>
              <w:rPr>
                <w:color w:val="auto"/>
                <w:szCs w:val="21"/>
                <w:lang w:val="zh-CN" w:bidi="zh-CN"/>
              </w:rPr>
              <w:t>F3</w:t>
            </w:r>
          </w:p>
        </w:tc>
      </w:tr>
      <w:tr w14:paraId="33EB4E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90" w:type="dxa"/>
            <w:tcBorders>
              <w:tl2br w:val="nil"/>
              <w:tr2bl w:val="nil"/>
            </w:tcBorders>
            <w:vAlign w:val="center"/>
          </w:tcPr>
          <w:p w14:paraId="6771754F">
            <w:pPr>
              <w:spacing w:before="70"/>
              <w:ind w:right="74"/>
              <w:jc w:val="center"/>
              <w:rPr>
                <w:color w:val="auto"/>
                <w:szCs w:val="21"/>
                <w:lang w:val="zh-CN" w:bidi="zh-CN"/>
              </w:rPr>
            </w:pPr>
            <w:r>
              <w:rPr>
                <w:color w:val="auto"/>
                <w:szCs w:val="21"/>
                <w:lang w:val="zh-CN" w:bidi="zh-CN"/>
              </w:rPr>
              <w:t>S1</w:t>
            </w:r>
          </w:p>
        </w:tc>
        <w:tc>
          <w:tcPr>
            <w:tcW w:w="2386" w:type="dxa"/>
            <w:tcBorders>
              <w:tl2br w:val="nil"/>
              <w:tr2bl w:val="nil"/>
            </w:tcBorders>
            <w:vAlign w:val="center"/>
          </w:tcPr>
          <w:p w14:paraId="164CDBCC">
            <w:pPr>
              <w:spacing w:before="70"/>
              <w:ind w:right="74"/>
              <w:jc w:val="center"/>
              <w:rPr>
                <w:color w:val="auto"/>
                <w:szCs w:val="21"/>
                <w:lang w:val="zh-CN" w:bidi="zh-CN"/>
              </w:rPr>
            </w:pPr>
            <w:r>
              <w:rPr>
                <w:color w:val="auto"/>
                <w:szCs w:val="21"/>
                <w:lang w:val="zh-CN" w:bidi="zh-CN"/>
              </w:rPr>
              <w:t>E1</w:t>
            </w:r>
          </w:p>
        </w:tc>
        <w:tc>
          <w:tcPr>
            <w:tcW w:w="2522" w:type="dxa"/>
            <w:tcBorders>
              <w:tl2br w:val="nil"/>
              <w:tr2bl w:val="nil"/>
            </w:tcBorders>
            <w:vAlign w:val="center"/>
          </w:tcPr>
          <w:p w14:paraId="73D0B336">
            <w:pPr>
              <w:spacing w:before="70"/>
              <w:ind w:left="1031" w:right="1020"/>
              <w:jc w:val="center"/>
              <w:rPr>
                <w:color w:val="auto"/>
                <w:szCs w:val="21"/>
                <w:lang w:val="zh-CN" w:bidi="zh-CN"/>
              </w:rPr>
            </w:pPr>
            <w:r>
              <w:rPr>
                <w:color w:val="auto"/>
                <w:szCs w:val="21"/>
                <w:lang w:val="zh-CN" w:bidi="zh-CN"/>
              </w:rPr>
              <w:t>E1</w:t>
            </w:r>
          </w:p>
        </w:tc>
        <w:tc>
          <w:tcPr>
            <w:tcW w:w="2322" w:type="dxa"/>
            <w:tcBorders>
              <w:tl2br w:val="nil"/>
              <w:tr2bl w:val="nil"/>
            </w:tcBorders>
            <w:vAlign w:val="center"/>
          </w:tcPr>
          <w:p w14:paraId="622AA2CB">
            <w:pPr>
              <w:spacing w:before="70"/>
              <w:ind w:left="937" w:right="927"/>
              <w:jc w:val="center"/>
              <w:rPr>
                <w:color w:val="auto"/>
                <w:szCs w:val="21"/>
                <w:lang w:val="zh-CN" w:bidi="zh-CN"/>
              </w:rPr>
            </w:pPr>
            <w:r>
              <w:rPr>
                <w:color w:val="auto"/>
                <w:szCs w:val="21"/>
                <w:lang w:val="zh-CN" w:bidi="zh-CN"/>
              </w:rPr>
              <w:t>E2</w:t>
            </w:r>
          </w:p>
        </w:tc>
      </w:tr>
      <w:tr w14:paraId="0A7611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90" w:type="dxa"/>
            <w:tcBorders>
              <w:tl2br w:val="nil"/>
              <w:tr2bl w:val="nil"/>
            </w:tcBorders>
            <w:vAlign w:val="center"/>
          </w:tcPr>
          <w:p w14:paraId="5690197D">
            <w:pPr>
              <w:spacing w:before="73"/>
              <w:ind w:right="74"/>
              <w:jc w:val="center"/>
              <w:rPr>
                <w:color w:val="auto"/>
                <w:szCs w:val="21"/>
                <w:lang w:val="zh-CN" w:bidi="zh-CN"/>
              </w:rPr>
            </w:pPr>
            <w:r>
              <w:rPr>
                <w:color w:val="auto"/>
                <w:szCs w:val="21"/>
                <w:lang w:val="zh-CN" w:bidi="zh-CN"/>
              </w:rPr>
              <w:t>S2</w:t>
            </w:r>
          </w:p>
        </w:tc>
        <w:tc>
          <w:tcPr>
            <w:tcW w:w="2386" w:type="dxa"/>
            <w:tcBorders>
              <w:tl2br w:val="nil"/>
              <w:tr2bl w:val="nil"/>
            </w:tcBorders>
            <w:vAlign w:val="center"/>
          </w:tcPr>
          <w:p w14:paraId="57D0011D">
            <w:pPr>
              <w:spacing w:before="73"/>
              <w:ind w:right="74"/>
              <w:jc w:val="center"/>
              <w:rPr>
                <w:color w:val="auto"/>
                <w:szCs w:val="21"/>
                <w:lang w:val="zh-CN" w:bidi="zh-CN"/>
              </w:rPr>
            </w:pPr>
            <w:r>
              <w:rPr>
                <w:color w:val="auto"/>
                <w:szCs w:val="21"/>
                <w:lang w:val="zh-CN" w:bidi="zh-CN"/>
              </w:rPr>
              <w:t>E1</w:t>
            </w:r>
          </w:p>
        </w:tc>
        <w:tc>
          <w:tcPr>
            <w:tcW w:w="2522" w:type="dxa"/>
            <w:tcBorders>
              <w:tl2br w:val="nil"/>
              <w:tr2bl w:val="nil"/>
            </w:tcBorders>
            <w:vAlign w:val="center"/>
          </w:tcPr>
          <w:p w14:paraId="458E9C58">
            <w:pPr>
              <w:spacing w:before="73"/>
              <w:ind w:left="1031" w:right="1020"/>
              <w:jc w:val="center"/>
              <w:rPr>
                <w:color w:val="auto"/>
                <w:szCs w:val="21"/>
                <w:lang w:val="zh-CN" w:bidi="zh-CN"/>
              </w:rPr>
            </w:pPr>
            <w:r>
              <w:rPr>
                <w:color w:val="auto"/>
                <w:szCs w:val="21"/>
                <w:lang w:val="zh-CN" w:bidi="zh-CN"/>
              </w:rPr>
              <w:t>E2</w:t>
            </w:r>
          </w:p>
        </w:tc>
        <w:tc>
          <w:tcPr>
            <w:tcW w:w="2322" w:type="dxa"/>
            <w:tcBorders>
              <w:tl2br w:val="nil"/>
              <w:tr2bl w:val="nil"/>
            </w:tcBorders>
            <w:vAlign w:val="center"/>
          </w:tcPr>
          <w:p w14:paraId="0235109C">
            <w:pPr>
              <w:spacing w:before="73"/>
              <w:ind w:left="937" w:right="927"/>
              <w:jc w:val="center"/>
              <w:rPr>
                <w:color w:val="auto"/>
                <w:szCs w:val="21"/>
                <w:lang w:val="zh-CN" w:bidi="zh-CN"/>
              </w:rPr>
            </w:pPr>
            <w:r>
              <w:rPr>
                <w:color w:val="auto"/>
                <w:szCs w:val="21"/>
                <w:lang w:val="zh-CN" w:bidi="zh-CN"/>
              </w:rPr>
              <w:t>E3</w:t>
            </w:r>
          </w:p>
        </w:tc>
      </w:tr>
      <w:tr w14:paraId="3B416C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090" w:type="dxa"/>
            <w:tcBorders>
              <w:tl2br w:val="nil"/>
              <w:tr2bl w:val="nil"/>
            </w:tcBorders>
            <w:vAlign w:val="center"/>
          </w:tcPr>
          <w:p w14:paraId="1F5ACB01">
            <w:pPr>
              <w:spacing w:before="70"/>
              <w:ind w:right="74"/>
              <w:jc w:val="center"/>
              <w:rPr>
                <w:color w:val="auto"/>
                <w:szCs w:val="21"/>
                <w:lang w:val="zh-CN" w:bidi="zh-CN"/>
              </w:rPr>
            </w:pPr>
            <w:r>
              <w:rPr>
                <w:color w:val="auto"/>
                <w:szCs w:val="21"/>
                <w:lang w:val="zh-CN" w:bidi="zh-CN"/>
              </w:rPr>
              <w:t>S3</w:t>
            </w:r>
          </w:p>
        </w:tc>
        <w:tc>
          <w:tcPr>
            <w:tcW w:w="2386" w:type="dxa"/>
            <w:tcBorders>
              <w:tl2br w:val="nil"/>
              <w:tr2bl w:val="nil"/>
            </w:tcBorders>
            <w:vAlign w:val="center"/>
          </w:tcPr>
          <w:p w14:paraId="359424C1">
            <w:pPr>
              <w:spacing w:before="70"/>
              <w:ind w:right="74"/>
              <w:jc w:val="center"/>
              <w:rPr>
                <w:color w:val="auto"/>
                <w:szCs w:val="21"/>
                <w:lang w:val="zh-CN" w:bidi="zh-CN"/>
              </w:rPr>
            </w:pPr>
            <w:r>
              <w:rPr>
                <w:color w:val="auto"/>
                <w:szCs w:val="21"/>
                <w:lang w:val="zh-CN" w:bidi="zh-CN"/>
              </w:rPr>
              <w:t>E1</w:t>
            </w:r>
          </w:p>
        </w:tc>
        <w:tc>
          <w:tcPr>
            <w:tcW w:w="2522" w:type="dxa"/>
            <w:tcBorders>
              <w:tl2br w:val="nil"/>
              <w:tr2bl w:val="nil"/>
            </w:tcBorders>
            <w:vAlign w:val="center"/>
          </w:tcPr>
          <w:p w14:paraId="49AA9C3B">
            <w:pPr>
              <w:spacing w:before="70"/>
              <w:ind w:left="1031" w:right="1020"/>
              <w:jc w:val="center"/>
              <w:rPr>
                <w:color w:val="auto"/>
                <w:szCs w:val="21"/>
                <w:lang w:val="zh-CN" w:bidi="zh-CN"/>
              </w:rPr>
            </w:pPr>
            <w:r>
              <w:rPr>
                <w:color w:val="auto"/>
                <w:szCs w:val="21"/>
                <w:lang w:val="zh-CN" w:bidi="zh-CN"/>
              </w:rPr>
              <w:t>E2</w:t>
            </w:r>
          </w:p>
        </w:tc>
        <w:tc>
          <w:tcPr>
            <w:tcW w:w="2322" w:type="dxa"/>
            <w:tcBorders>
              <w:tl2br w:val="nil"/>
              <w:tr2bl w:val="nil"/>
            </w:tcBorders>
            <w:vAlign w:val="center"/>
          </w:tcPr>
          <w:p w14:paraId="483292C3">
            <w:pPr>
              <w:spacing w:before="70"/>
              <w:ind w:left="937" w:right="927"/>
              <w:jc w:val="center"/>
              <w:rPr>
                <w:color w:val="auto"/>
                <w:szCs w:val="21"/>
                <w:lang w:val="zh-CN" w:bidi="zh-CN"/>
              </w:rPr>
            </w:pPr>
            <w:r>
              <w:rPr>
                <w:color w:val="auto"/>
                <w:szCs w:val="21"/>
                <w:lang w:val="zh-CN" w:bidi="zh-CN"/>
              </w:rPr>
              <w:t>E3</w:t>
            </w:r>
          </w:p>
        </w:tc>
      </w:tr>
    </w:tbl>
    <w:p w14:paraId="255395B2">
      <w:pPr>
        <w:spacing w:line="360" w:lineRule="auto"/>
        <w:jc w:val="center"/>
        <w:rPr>
          <w:b/>
          <w:color w:val="auto"/>
          <w:sz w:val="24"/>
        </w:rPr>
      </w:pPr>
      <w:r>
        <w:rPr>
          <w:b/>
          <w:color w:val="auto"/>
          <w:sz w:val="24"/>
        </w:rPr>
        <w:t>表 3-</w:t>
      </w:r>
      <w:r>
        <w:rPr>
          <w:rFonts w:hint="eastAsia"/>
          <w:b/>
          <w:color w:val="auto"/>
          <w:sz w:val="24"/>
        </w:rPr>
        <w:t>5</w:t>
      </w:r>
      <w:r>
        <w:rPr>
          <w:b/>
          <w:color w:val="auto"/>
          <w:sz w:val="24"/>
        </w:rPr>
        <w:t>（b） 地表水功能敏感性分区</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78"/>
        <w:gridCol w:w="8159"/>
      </w:tblGrid>
      <w:tr w14:paraId="6208FF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15D31ED2">
            <w:pPr>
              <w:spacing w:before="63"/>
              <w:ind w:left="127" w:right="120"/>
              <w:jc w:val="center"/>
              <w:rPr>
                <w:bCs/>
                <w:color w:val="auto"/>
                <w:szCs w:val="21"/>
                <w:lang w:val="zh-CN" w:bidi="zh-CN"/>
              </w:rPr>
            </w:pPr>
            <w:r>
              <w:rPr>
                <w:bCs/>
                <w:color w:val="auto"/>
                <w:szCs w:val="21"/>
                <w:lang w:val="zh-CN" w:bidi="zh-CN"/>
              </w:rPr>
              <w:t>敏感性</w:t>
            </w:r>
          </w:p>
        </w:tc>
        <w:tc>
          <w:tcPr>
            <w:tcW w:w="7891" w:type="dxa"/>
            <w:tcBorders>
              <w:tl2br w:val="nil"/>
              <w:tr2bl w:val="nil"/>
            </w:tcBorders>
            <w:vAlign w:val="center"/>
          </w:tcPr>
          <w:p w14:paraId="07A7AD65">
            <w:pPr>
              <w:ind w:left="116" w:right="108"/>
              <w:jc w:val="center"/>
              <w:rPr>
                <w:bCs/>
                <w:color w:val="auto"/>
                <w:szCs w:val="21"/>
                <w:lang w:val="zh-CN" w:bidi="zh-CN"/>
              </w:rPr>
            </w:pPr>
            <w:r>
              <w:rPr>
                <w:bCs/>
                <w:color w:val="auto"/>
                <w:szCs w:val="21"/>
                <w:lang w:val="zh-CN" w:bidi="zh-CN"/>
              </w:rPr>
              <w:t>地表水环境敏感性</w:t>
            </w:r>
          </w:p>
        </w:tc>
      </w:tr>
      <w:tr w14:paraId="3B03AE2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2022885D">
            <w:pPr>
              <w:ind w:right="120"/>
              <w:jc w:val="center"/>
              <w:rPr>
                <w:color w:val="auto"/>
                <w:szCs w:val="21"/>
                <w:lang w:val="zh-CN" w:bidi="zh-CN"/>
              </w:rPr>
            </w:pPr>
            <w:r>
              <w:rPr>
                <w:color w:val="auto"/>
                <w:szCs w:val="21"/>
                <w:lang w:val="zh-CN" w:bidi="zh-CN"/>
              </w:rPr>
              <w:t>敏感F1</w:t>
            </w:r>
          </w:p>
        </w:tc>
        <w:tc>
          <w:tcPr>
            <w:tcW w:w="7891" w:type="dxa"/>
            <w:tcBorders>
              <w:tl2br w:val="nil"/>
              <w:tr2bl w:val="nil"/>
            </w:tcBorders>
            <w:vAlign w:val="center"/>
          </w:tcPr>
          <w:p w14:paraId="622FD2F6">
            <w:pPr>
              <w:spacing w:before="1"/>
              <w:ind w:left="117" w:right="108"/>
              <w:jc w:val="center"/>
              <w:rPr>
                <w:color w:val="auto"/>
                <w:szCs w:val="21"/>
                <w:lang w:val="zh-CN" w:bidi="zh-CN"/>
              </w:rPr>
            </w:pPr>
            <w:r>
              <w:rPr>
                <w:color w:val="auto"/>
                <w:szCs w:val="21"/>
                <w:lang w:val="zh-CN" w:bidi="zh-CN"/>
              </w:rPr>
              <w:t>排放点进入地表水水域环境功能为Ⅱ类及以上，或海水水质分类第一类；或以发生事故时，危险物质泄漏到水体的排放点算起，排放进入受纳河流最大流速时，24h流经范围内涉跨国界的。</w:t>
            </w:r>
          </w:p>
        </w:tc>
      </w:tr>
      <w:tr w14:paraId="5D7CE5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085E7E5A">
            <w:pPr>
              <w:ind w:right="120"/>
              <w:jc w:val="center"/>
              <w:rPr>
                <w:color w:val="auto"/>
                <w:szCs w:val="21"/>
                <w:lang w:val="zh-CN" w:bidi="zh-CN"/>
              </w:rPr>
            </w:pPr>
            <w:r>
              <w:rPr>
                <w:color w:val="auto"/>
                <w:szCs w:val="21"/>
                <w:lang w:val="zh-CN" w:bidi="zh-CN"/>
              </w:rPr>
              <w:t>较敏感F2</w:t>
            </w:r>
          </w:p>
        </w:tc>
        <w:tc>
          <w:tcPr>
            <w:tcW w:w="7891" w:type="dxa"/>
            <w:tcBorders>
              <w:tl2br w:val="nil"/>
              <w:tr2bl w:val="nil"/>
            </w:tcBorders>
            <w:vAlign w:val="center"/>
          </w:tcPr>
          <w:p w14:paraId="7C120088">
            <w:pPr>
              <w:spacing w:before="1"/>
              <w:ind w:left="105" w:firstLine="12"/>
              <w:jc w:val="center"/>
              <w:rPr>
                <w:color w:val="auto"/>
                <w:szCs w:val="21"/>
                <w:lang w:val="zh-CN" w:bidi="zh-CN"/>
              </w:rPr>
            </w:pPr>
            <w:r>
              <w:rPr>
                <w:color w:val="auto"/>
                <w:szCs w:val="21"/>
                <w:lang w:val="zh-CN" w:bidi="zh-CN"/>
              </w:rPr>
              <w:t>排放点进入地表水水域环境功能为Ⅲ类，或海水水质分类第二类；或以发生事故时，危险物质泄漏到水体的排放点算起，排放进入受纳河流最大流速时，24h流经范围内涉跨省界的。</w:t>
            </w:r>
          </w:p>
        </w:tc>
      </w:tr>
      <w:tr w14:paraId="51159F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5BCBD25F">
            <w:pPr>
              <w:spacing w:before="63"/>
              <w:ind w:left="122" w:right="120"/>
              <w:jc w:val="center"/>
              <w:rPr>
                <w:color w:val="auto"/>
                <w:szCs w:val="21"/>
                <w:lang w:val="zh-CN" w:bidi="zh-CN"/>
              </w:rPr>
            </w:pPr>
            <w:r>
              <w:rPr>
                <w:color w:val="auto"/>
                <w:szCs w:val="21"/>
                <w:lang w:val="zh-CN" w:bidi="zh-CN"/>
              </w:rPr>
              <w:t>低敏感 F3</w:t>
            </w:r>
          </w:p>
        </w:tc>
        <w:tc>
          <w:tcPr>
            <w:tcW w:w="7891" w:type="dxa"/>
            <w:tcBorders>
              <w:tl2br w:val="nil"/>
              <w:tr2bl w:val="nil"/>
            </w:tcBorders>
            <w:vAlign w:val="center"/>
          </w:tcPr>
          <w:p w14:paraId="63CE6D4B">
            <w:pPr>
              <w:spacing w:before="63"/>
              <w:ind w:left="114" w:right="108"/>
              <w:jc w:val="center"/>
              <w:rPr>
                <w:color w:val="auto"/>
                <w:szCs w:val="21"/>
                <w:lang w:val="zh-CN" w:bidi="zh-CN"/>
              </w:rPr>
            </w:pPr>
            <w:r>
              <w:rPr>
                <w:color w:val="auto"/>
                <w:szCs w:val="21"/>
                <w:lang w:val="zh-CN" w:bidi="zh-CN"/>
              </w:rPr>
              <w:t>上述地区之外的其他地区。</w:t>
            </w:r>
          </w:p>
        </w:tc>
      </w:tr>
    </w:tbl>
    <w:p w14:paraId="12E488C4">
      <w:pPr>
        <w:spacing w:line="360" w:lineRule="auto"/>
        <w:jc w:val="center"/>
        <w:rPr>
          <w:b/>
          <w:color w:val="auto"/>
          <w:sz w:val="24"/>
        </w:rPr>
      </w:pPr>
      <w:r>
        <w:rPr>
          <w:b/>
          <w:color w:val="auto"/>
          <w:sz w:val="24"/>
        </w:rPr>
        <w:t>表 3-</w:t>
      </w:r>
      <w:r>
        <w:rPr>
          <w:rFonts w:hint="eastAsia"/>
          <w:b/>
          <w:color w:val="auto"/>
          <w:sz w:val="24"/>
        </w:rPr>
        <w:t>5</w:t>
      </w:r>
      <w:r>
        <w:rPr>
          <w:b/>
          <w:color w:val="auto"/>
          <w:sz w:val="24"/>
        </w:rPr>
        <w:t>（c）</w:t>
      </w:r>
      <w:r>
        <w:rPr>
          <w:rFonts w:hint="eastAsia"/>
          <w:b/>
          <w:color w:val="auto"/>
          <w:sz w:val="24"/>
        </w:rPr>
        <w:t xml:space="preserve"> </w:t>
      </w:r>
      <w:r>
        <w:rPr>
          <w:b/>
          <w:color w:val="auto"/>
          <w:sz w:val="24"/>
        </w:rPr>
        <w:t>环境敏感目标分级</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78"/>
        <w:gridCol w:w="8159"/>
      </w:tblGrid>
      <w:tr w14:paraId="145F95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6CA1543A">
            <w:pPr>
              <w:spacing w:before="63"/>
              <w:ind w:left="126" w:right="120"/>
              <w:jc w:val="center"/>
              <w:rPr>
                <w:bCs/>
                <w:color w:val="auto"/>
                <w:szCs w:val="21"/>
                <w:lang w:val="zh-CN" w:bidi="zh-CN"/>
              </w:rPr>
            </w:pPr>
            <w:r>
              <w:rPr>
                <w:bCs/>
                <w:color w:val="auto"/>
                <w:szCs w:val="21"/>
                <w:lang w:val="zh-CN" w:bidi="zh-CN"/>
              </w:rPr>
              <w:t>分级</w:t>
            </w:r>
          </w:p>
        </w:tc>
        <w:tc>
          <w:tcPr>
            <w:tcW w:w="7891" w:type="dxa"/>
            <w:tcBorders>
              <w:tl2br w:val="nil"/>
              <w:tr2bl w:val="nil"/>
            </w:tcBorders>
            <w:vAlign w:val="center"/>
          </w:tcPr>
          <w:p w14:paraId="7DD5AC9E">
            <w:pPr>
              <w:spacing w:before="63"/>
              <w:ind w:left="116" w:right="108"/>
              <w:jc w:val="center"/>
              <w:rPr>
                <w:bCs/>
                <w:color w:val="auto"/>
                <w:szCs w:val="21"/>
                <w:lang w:val="zh-CN" w:bidi="zh-CN"/>
              </w:rPr>
            </w:pPr>
            <w:r>
              <w:rPr>
                <w:bCs/>
                <w:color w:val="auto"/>
                <w:szCs w:val="21"/>
                <w:lang w:val="zh-CN" w:bidi="zh-CN"/>
              </w:rPr>
              <w:t>环境敏感目标</w:t>
            </w:r>
          </w:p>
        </w:tc>
      </w:tr>
      <w:tr w14:paraId="06AFF0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3208F153">
            <w:pPr>
              <w:ind w:right="120"/>
              <w:jc w:val="center"/>
              <w:rPr>
                <w:color w:val="auto"/>
                <w:szCs w:val="21"/>
                <w:lang w:val="zh-CN" w:bidi="zh-CN"/>
              </w:rPr>
            </w:pPr>
            <w:r>
              <w:rPr>
                <w:color w:val="auto"/>
                <w:szCs w:val="21"/>
                <w:lang w:val="zh-CN" w:bidi="zh-CN"/>
              </w:rPr>
              <w:t>S1</w:t>
            </w:r>
          </w:p>
        </w:tc>
        <w:tc>
          <w:tcPr>
            <w:tcW w:w="7891" w:type="dxa"/>
            <w:tcBorders>
              <w:tl2br w:val="nil"/>
              <w:tr2bl w:val="nil"/>
            </w:tcBorders>
            <w:vAlign w:val="center"/>
          </w:tcPr>
          <w:p w14:paraId="7C6389EA">
            <w:pPr>
              <w:ind w:left="105" w:right="7" w:firstLine="7"/>
              <w:jc w:val="center"/>
              <w:rPr>
                <w:color w:val="auto"/>
                <w:szCs w:val="21"/>
                <w:lang w:val="zh-CN" w:bidi="zh-CN"/>
              </w:rPr>
            </w:pPr>
            <w:r>
              <w:rPr>
                <w:color w:val="auto"/>
                <w:szCs w:val="21"/>
                <w:lang w:val="zh-CN" w:bidi="zh-CN"/>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5E1C31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1AFBD9B5">
            <w:pPr>
              <w:ind w:right="119"/>
              <w:jc w:val="center"/>
              <w:rPr>
                <w:color w:val="auto"/>
                <w:szCs w:val="21"/>
                <w:lang w:val="zh-CN" w:bidi="zh-CN"/>
              </w:rPr>
            </w:pPr>
            <w:r>
              <w:rPr>
                <w:color w:val="auto"/>
                <w:szCs w:val="21"/>
                <w:lang w:val="zh-CN" w:bidi="zh-CN"/>
              </w:rPr>
              <w:t>S2</w:t>
            </w:r>
          </w:p>
        </w:tc>
        <w:tc>
          <w:tcPr>
            <w:tcW w:w="7891" w:type="dxa"/>
            <w:tcBorders>
              <w:tl2br w:val="nil"/>
              <w:tr2bl w:val="nil"/>
            </w:tcBorders>
            <w:vAlign w:val="center"/>
          </w:tcPr>
          <w:p w14:paraId="0834C485">
            <w:pPr>
              <w:ind w:left="105" w:right="7" w:firstLine="7"/>
              <w:jc w:val="center"/>
              <w:rPr>
                <w:color w:val="auto"/>
                <w:szCs w:val="21"/>
                <w:lang w:val="zh-CN" w:bidi="zh-CN"/>
              </w:rPr>
            </w:pPr>
            <w:r>
              <w:rPr>
                <w:color w:val="auto"/>
                <w:szCs w:val="21"/>
                <w:lang w:val="zh-CN" w:bidi="zh-CN"/>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202E3D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29" w:type="dxa"/>
            <w:tcBorders>
              <w:tl2br w:val="nil"/>
              <w:tr2bl w:val="nil"/>
            </w:tcBorders>
            <w:vAlign w:val="center"/>
          </w:tcPr>
          <w:p w14:paraId="4937D5D5">
            <w:pPr>
              <w:spacing w:before="152"/>
              <w:ind w:left="128" w:right="120"/>
              <w:jc w:val="center"/>
              <w:rPr>
                <w:color w:val="auto"/>
                <w:szCs w:val="21"/>
                <w:lang w:val="zh-CN" w:bidi="zh-CN"/>
              </w:rPr>
            </w:pPr>
            <w:r>
              <w:rPr>
                <w:color w:val="auto"/>
                <w:szCs w:val="21"/>
                <w:lang w:val="zh-CN" w:bidi="zh-CN"/>
              </w:rPr>
              <w:t>S3</w:t>
            </w:r>
          </w:p>
        </w:tc>
        <w:tc>
          <w:tcPr>
            <w:tcW w:w="7891" w:type="dxa"/>
            <w:tcBorders>
              <w:tl2br w:val="nil"/>
              <w:tr2bl w:val="nil"/>
            </w:tcBorders>
            <w:vAlign w:val="center"/>
          </w:tcPr>
          <w:p w14:paraId="4A62B2F6">
            <w:pPr>
              <w:ind w:left="112"/>
              <w:jc w:val="center"/>
              <w:rPr>
                <w:color w:val="auto"/>
                <w:szCs w:val="21"/>
                <w:lang w:val="zh-CN" w:bidi="zh-CN"/>
              </w:rPr>
            </w:pPr>
            <w:r>
              <w:rPr>
                <w:color w:val="auto"/>
                <w:szCs w:val="21"/>
                <w:lang w:val="zh-CN" w:bidi="zh-CN"/>
              </w:rPr>
              <w:t>排放点下游（顺水流向）10km范围、近岸海域一个潮周期水质点可能达到的最大水平距离的两倍范围内无上述类型1和类型2包括的敏感保护目标。</w:t>
            </w:r>
          </w:p>
        </w:tc>
      </w:tr>
    </w:tbl>
    <w:p w14:paraId="6E5E3324">
      <w:pPr>
        <w:adjustRightInd w:val="0"/>
        <w:snapToGrid w:val="0"/>
        <w:spacing w:line="360" w:lineRule="auto"/>
        <w:ind w:firstLine="480" w:firstLineChars="200"/>
        <w:rPr>
          <w:color w:val="auto"/>
          <w:sz w:val="24"/>
        </w:rPr>
      </w:pPr>
      <w:r>
        <w:rPr>
          <w:rFonts w:hint="eastAsia"/>
          <w:color w:val="auto"/>
          <w:sz w:val="24"/>
        </w:rPr>
        <w:t>本项目位于黑龙江桦南县经济开发区，10km范围内地表水体为项目北侧八虎力河为三类水体，距</w:t>
      </w:r>
      <w:r>
        <w:rPr>
          <w:rFonts w:hint="eastAsia" w:ascii="Times New Roman" w:hAnsi="Times New Roman" w:eastAsia="宋体" w:cs="Times New Roman"/>
          <w:color w:val="auto"/>
          <w:sz w:val="24"/>
          <w:lang w:val="en-US" w:eastAsia="zh-CN"/>
        </w:rPr>
        <w:t>溶剂</w:t>
      </w:r>
      <w:r>
        <w:rPr>
          <w:rFonts w:hint="eastAsia" w:ascii="Times New Roman" w:hAnsi="Times New Roman" w:eastAsia="宋体" w:cs="Times New Roman"/>
          <w:color w:val="auto"/>
          <w:sz w:val="24"/>
        </w:rPr>
        <w:t>储存区距离为0.6公里，发生事故时事故废水</w:t>
      </w:r>
      <w:r>
        <w:rPr>
          <w:rFonts w:hint="eastAsia" w:ascii="Times New Roman" w:hAnsi="Times New Roman" w:eastAsia="宋体" w:cs="Times New Roman"/>
          <w:color w:val="auto"/>
          <w:sz w:val="24"/>
          <w:lang w:eastAsia="zh-CN"/>
        </w:rPr>
        <w:t>、正己烷等</w:t>
      </w:r>
      <w:r>
        <w:rPr>
          <w:rFonts w:hint="eastAsia" w:ascii="Times New Roman" w:hAnsi="Times New Roman" w:eastAsia="宋体" w:cs="Times New Roman"/>
          <w:color w:val="auto"/>
          <w:sz w:val="24"/>
        </w:rPr>
        <w:t>汇流至</w:t>
      </w:r>
      <w:r>
        <w:rPr>
          <w:rFonts w:hint="eastAsia" w:ascii="Times New Roman" w:hAnsi="Times New Roman" w:eastAsia="宋体" w:cs="Times New Roman"/>
          <w:color w:val="auto"/>
          <w:sz w:val="24"/>
          <w:lang w:eastAsia="zh-CN"/>
        </w:rPr>
        <w:t>事故池内</w:t>
      </w:r>
      <w:r>
        <w:rPr>
          <w:rFonts w:hint="eastAsia" w:ascii="Times New Roman" w:hAnsi="Times New Roman" w:eastAsia="宋体" w:cs="Times New Roman"/>
          <w:color w:val="auto"/>
          <w:sz w:val="24"/>
        </w:rPr>
        <w:t>，</w:t>
      </w:r>
      <w:r>
        <w:rPr>
          <w:rFonts w:hint="eastAsia" w:cs="Times New Roman"/>
          <w:color w:val="auto"/>
          <w:sz w:val="24"/>
          <w:lang w:val="en-US" w:eastAsia="zh-CN"/>
        </w:rPr>
        <w:t>厂区内雨污分流，雨水排入市政雨水管网，因为佳木斯地区少雨，因此不进行考虑，</w:t>
      </w:r>
      <w:r>
        <w:rPr>
          <w:rFonts w:hint="eastAsia" w:ascii="Times New Roman" w:hAnsi="Times New Roman" w:eastAsia="宋体" w:cs="Times New Roman"/>
          <w:color w:val="auto"/>
          <w:sz w:val="24"/>
          <w:lang w:val="zh-CN"/>
        </w:rPr>
        <w:t>消防</w:t>
      </w:r>
      <w:r>
        <w:rPr>
          <w:rFonts w:hint="eastAsia" w:cs="Times New Roman"/>
          <w:color w:val="auto"/>
          <w:sz w:val="24"/>
          <w:lang w:val="en-US" w:eastAsia="zh-CN"/>
        </w:rPr>
        <w:t>废水排入事故池中，</w:t>
      </w:r>
      <w:r>
        <w:rPr>
          <w:rFonts w:hint="eastAsia" w:ascii="Times New Roman" w:hAnsi="Times New Roman" w:eastAsia="宋体" w:cs="Times New Roman"/>
          <w:color w:val="auto"/>
          <w:sz w:val="24"/>
        </w:rPr>
        <w:t>因此本项目地表水环</w:t>
      </w:r>
      <w:r>
        <w:rPr>
          <w:rFonts w:hint="eastAsia"/>
          <w:color w:val="auto"/>
          <w:sz w:val="24"/>
        </w:rPr>
        <w:t>境敏感性为F</w:t>
      </w:r>
      <w:r>
        <w:rPr>
          <w:rFonts w:hint="eastAsia"/>
          <w:color w:val="auto"/>
          <w:sz w:val="24"/>
          <w:lang w:val="en-US" w:eastAsia="zh-CN"/>
        </w:rPr>
        <w:t>3</w:t>
      </w:r>
      <w:r>
        <w:rPr>
          <w:rFonts w:hint="eastAsia"/>
          <w:color w:val="auto"/>
          <w:sz w:val="24"/>
          <w:lang w:val="zh-CN"/>
        </w:rPr>
        <w:t>低敏感</w:t>
      </w:r>
      <w:r>
        <w:rPr>
          <w:rFonts w:hint="eastAsia"/>
          <w:color w:val="auto"/>
          <w:sz w:val="24"/>
        </w:rPr>
        <w:t>。</w:t>
      </w:r>
    </w:p>
    <w:p w14:paraId="7842808B">
      <w:pPr>
        <w:adjustRightInd w:val="0"/>
        <w:snapToGrid w:val="0"/>
        <w:spacing w:line="360" w:lineRule="auto"/>
        <w:ind w:firstLine="480" w:firstLineChars="200"/>
        <w:rPr>
          <w:color w:val="auto"/>
          <w:sz w:val="24"/>
        </w:rPr>
      </w:pPr>
      <w:r>
        <w:rPr>
          <w:rFonts w:hint="eastAsia"/>
          <w:color w:val="auto"/>
          <w:sz w:val="24"/>
        </w:rPr>
        <w:t>本项目地表水功能敏感性分区为</w:t>
      </w:r>
      <w:r>
        <w:rPr>
          <w:rFonts w:hint="eastAsia"/>
          <w:color w:val="auto"/>
          <w:sz w:val="24"/>
          <w:lang w:val="zh-CN"/>
        </w:rPr>
        <w:t>低敏感</w:t>
      </w:r>
      <w:r>
        <w:rPr>
          <w:rFonts w:hint="eastAsia"/>
          <w:color w:val="auto"/>
          <w:sz w:val="24"/>
        </w:rPr>
        <w:t>（F</w:t>
      </w:r>
      <w:r>
        <w:rPr>
          <w:rFonts w:hint="eastAsia"/>
          <w:color w:val="auto"/>
          <w:sz w:val="24"/>
          <w:lang w:val="en-US" w:eastAsia="zh-CN"/>
        </w:rPr>
        <w:t>3</w:t>
      </w:r>
      <w:r>
        <w:rPr>
          <w:rFonts w:hint="eastAsia"/>
          <w:color w:val="auto"/>
          <w:sz w:val="24"/>
        </w:rPr>
        <w:t>），环境敏感目标分级为S3。因此根据表3-5（a），本项目地表水环境敏感程度分级为环境低度敏感区（E</w:t>
      </w:r>
      <w:r>
        <w:rPr>
          <w:rFonts w:hint="eastAsia"/>
          <w:color w:val="auto"/>
          <w:sz w:val="24"/>
          <w:lang w:val="en-US" w:eastAsia="zh-CN"/>
        </w:rPr>
        <w:t>3</w:t>
      </w:r>
      <w:r>
        <w:rPr>
          <w:rFonts w:hint="eastAsia"/>
          <w:color w:val="auto"/>
          <w:sz w:val="24"/>
        </w:rPr>
        <w:t>）。</w:t>
      </w:r>
    </w:p>
    <w:p w14:paraId="5296CE38">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3.2.</w:t>
      </w:r>
      <w:r>
        <w:rPr>
          <w:rFonts w:ascii="Times New Roman" w:hAnsi="Times New Roman"/>
          <w:b/>
          <w:bCs/>
          <w:color w:val="auto"/>
          <w:sz w:val="24"/>
          <w:szCs w:val="24"/>
        </w:rPr>
        <w:t>3</w:t>
      </w:r>
      <w:r>
        <w:rPr>
          <w:rFonts w:hint="default" w:ascii="Times New Roman" w:hAnsi="Times New Roman"/>
          <w:b/>
          <w:bCs/>
          <w:color w:val="auto"/>
          <w:sz w:val="24"/>
          <w:szCs w:val="24"/>
        </w:rPr>
        <w:t xml:space="preserve"> 地下水环境</w:t>
      </w:r>
    </w:p>
    <w:p w14:paraId="09D4B2D7">
      <w:pPr>
        <w:spacing w:line="360" w:lineRule="auto"/>
        <w:ind w:firstLine="480" w:firstLineChars="200"/>
        <w:rPr>
          <w:color w:val="auto"/>
          <w:sz w:val="24"/>
        </w:rPr>
      </w:pPr>
      <w:r>
        <w:rPr>
          <w:color w:val="auto"/>
          <w:sz w:val="24"/>
        </w:rPr>
        <w:t>地下水功能敏感性分级见下表。</w:t>
      </w:r>
    </w:p>
    <w:p w14:paraId="4734F1EB">
      <w:pPr>
        <w:spacing w:line="360" w:lineRule="auto"/>
        <w:jc w:val="center"/>
        <w:rPr>
          <w:b/>
          <w:color w:val="auto"/>
          <w:sz w:val="24"/>
        </w:rPr>
      </w:pPr>
      <w:r>
        <w:rPr>
          <w:b/>
          <w:color w:val="auto"/>
          <w:sz w:val="24"/>
        </w:rPr>
        <w:t>表</w:t>
      </w:r>
      <w:r>
        <w:rPr>
          <w:b/>
          <w:bCs/>
          <w:color w:val="auto"/>
          <w:sz w:val="24"/>
        </w:rPr>
        <w:t>3-</w:t>
      </w:r>
      <w:r>
        <w:rPr>
          <w:rFonts w:hint="eastAsia"/>
          <w:b/>
          <w:bCs/>
          <w:color w:val="auto"/>
          <w:sz w:val="24"/>
        </w:rPr>
        <w:t>6</w:t>
      </w:r>
      <w:r>
        <w:rPr>
          <w:b/>
          <w:color w:val="auto"/>
          <w:sz w:val="24"/>
        </w:rPr>
        <w:t xml:space="preserve"> 地下水功能敏感性分级情况一览表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33"/>
        <w:gridCol w:w="8020"/>
      </w:tblGrid>
      <w:tr w14:paraId="0698C2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tcBorders>
              <w:tl2br w:val="nil"/>
              <w:tr2bl w:val="nil"/>
            </w:tcBorders>
            <w:vAlign w:val="center"/>
          </w:tcPr>
          <w:p w14:paraId="0F09637D">
            <w:pPr>
              <w:jc w:val="center"/>
              <w:rPr>
                <w:color w:val="auto"/>
                <w:szCs w:val="21"/>
              </w:rPr>
            </w:pPr>
            <w:r>
              <w:rPr>
                <w:color w:val="auto"/>
                <w:kern w:val="0"/>
                <w:szCs w:val="21"/>
              </w:rPr>
              <w:t>分级</w:t>
            </w:r>
          </w:p>
        </w:tc>
        <w:tc>
          <w:tcPr>
            <w:tcW w:w="4070" w:type="pct"/>
            <w:tcBorders>
              <w:tl2br w:val="nil"/>
              <w:tr2bl w:val="nil"/>
            </w:tcBorders>
            <w:vAlign w:val="center"/>
          </w:tcPr>
          <w:p w14:paraId="5DDBC404">
            <w:pPr>
              <w:jc w:val="center"/>
              <w:rPr>
                <w:color w:val="auto"/>
                <w:szCs w:val="21"/>
              </w:rPr>
            </w:pPr>
            <w:r>
              <w:rPr>
                <w:color w:val="auto"/>
                <w:kern w:val="0"/>
                <w:szCs w:val="21"/>
              </w:rPr>
              <w:t>分级依据</w:t>
            </w:r>
          </w:p>
        </w:tc>
      </w:tr>
      <w:tr w14:paraId="00BB7B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tcBorders>
              <w:tl2br w:val="nil"/>
              <w:tr2bl w:val="nil"/>
            </w:tcBorders>
            <w:vAlign w:val="center"/>
          </w:tcPr>
          <w:p w14:paraId="27485C14">
            <w:pPr>
              <w:jc w:val="center"/>
              <w:rPr>
                <w:color w:val="auto"/>
                <w:szCs w:val="21"/>
              </w:rPr>
            </w:pPr>
            <w:r>
              <w:rPr>
                <w:color w:val="auto"/>
                <w:kern w:val="0"/>
                <w:szCs w:val="21"/>
              </w:rPr>
              <w:t>敏感</w:t>
            </w:r>
          </w:p>
          <w:p w14:paraId="5163B83C">
            <w:pPr>
              <w:jc w:val="center"/>
              <w:rPr>
                <w:color w:val="auto"/>
                <w:szCs w:val="21"/>
              </w:rPr>
            </w:pPr>
            <w:r>
              <w:rPr>
                <w:color w:val="auto"/>
                <w:kern w:val="0"/>
                <w:szCs w:val="21"/>
              </w:rPr>
              <w:t>G1</w:t>
            </w:r>
          </w:p>
        </w:tc>
        <w:tc>
          <w:tcPr>
            <w:tcW w:w="4070" w:type="pct"/>
            <w:tcBorders>
              <w:tl2br w:val="nil"/>
              <w:tr2bl w:val="nil"/>
            </w:tcBorders>
            <w:vAlign w:val="center"/>
          </w:tcPr>
          <w:p w14:paraId="32301D29">
            <w:pPr>
              <w:jc w:val="center"/>
              <w:rPr>
                <w:color w:val="auto"/>
                <w:szCs w:val="21"/>
              </w:rPr>
            </w:pPr>
            <w:r>
              <w:rPr>
                <w:color w:val="auto"/>
                <w:kern w:val="0"/>
                <w:szCs w:val="21"/>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14:paraId="6DBF6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tcBorders>
              <w:tl2br w:val="nil"/>
              <w:tr2bl w:val="nil"/>
            </w:tcBorders>
            <w:vAlign w:val="center"/>
          </w:tcPr>
          <w:p w14:paraId="0DBDD6B7">
            <w:pPr>
              <w:jc w:val="center"/>
              <w:rPr>
                <w:color w:val="auto"/>
                <w:szCs w:val="21"/>
              </w:rPr>
            </w:pPr>
            <w:r>
              <w:rPr>
                <w:color w:val="auto"/>
                <w:kern w:val="0"/>
                <w:szCs w:val="21"/>
              </w:rPr>
              <w:t>较敏感</w:t>
            </w:r>
          </w:p>
          <w:p w14:paraId="1EE8DD2D">
            <w:pPr>
              <w:jc w:val="center"/>
              <w:rPr>
                <w:color w:val="auto"/>
                <w:szCs w:val="21"/>
              </w:rPr>
            </w:pPr>
            <w:r>
              <w:rPr>
                <w:color w:val="auto"/>
                <w:kern w:val="0"/>
                <w:szCs w:val="21"/>
              </w:rPr>
              <w:t>G2</w:t>
            </w:r>
          </w:p>
        </w:tc>
        <w:tc>
          <w:tcPr>
            <w:tcW w:w="4070" w:type="pct"/>
            <w:tcBorders>
              <w:tl2br w:val="nil"/>
              <w:tr2bl w:val="nil"/>
            </w:tcBorders>
            <w:vAlign w:val="center"/>
          </w:tcPr>
          <w:p w14:paraId="5BF97786">
            <w:pPr>
              <w:jc w:val="center"/>
              <w:rPr>
                <w:color w:val="auto"/>
                <w:szCs w:val="21"/>
              </w:rPr>
            </w:pPr>
            <w:r>
              <w:rPr>
                <w:color w:val="auto"/>
                <w:kern w:val="0"/>
                <w:szCs w:val="21"/>
              </w:rPr>
              <w:t>集中式饮用水水源地（包括已建成的在用、备用、应急水源地，在建和规划的水源地）准保护区以外的补给径流区；特殊地下水资源（如矿泉水、温泉等）保护区以外的分布区以及分散式居民饮用水水源等其它未列入上述敏感分级的环境敏感区。</w:t>
            </w:r>
          </w:p>
        </w:tc>
      </w:tr>
      <w:tr w14:paraId="6876C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0" w:type="pct"/>
            <w:tcBorders>
              <w:tl2br w:val="nil"/>
              <w:tr2bl w:val="nil"/>
            </w:tcBorders>
            <w:vAlign w:val="center"/>
          </w:tcPr>
          <w:p w14:paraId="6CDDA34B">
            <w:pPr>
              <w:jc w:val="center"/>
              <w:rPr>
                <w:color w:val="auto"/>
                <w:szCs w:val="21"/>
              </w:rPr>
            </w:pPr>
            <w:r>
              <w:rPr>
                <w:color w:val="auto"/>
                <w:kern w:val="0"/>
                <w:szCs w:val="21"/>
              </w:rPr>
              <w:t>不敏感</w:t>
            </w:r>
          </w:p>
          <w:p w14:paraId="20A88610">
            <w:pPr>
              <w:jc w:val="center"/>
              <w:rPr>
                <w:color w:val="auto"/>
                <w:szCs w:val="21"/>
              </w:rPr>
            </w:pPr>
            <w:r>
              <w:rPr>
                <w:color w:val="auto"/>
                <w:kern w:val="0"/>
                <w:szCs w:val="21"/>
              </w:rPr>
              <w:t>G3</w:t>
            </w:r>
          </w:p>
        </w:tc>
        <w:tc>
          <w:tcPr>
            <w:tcW w:w="4070" w:type="pct"/>
            <w:tcBorders>
              <w:tl2br w:val="nil"/>
              <w:tr2bl w:val="nil"/>
            </w:tcBorders>
            <w:vAlign w:val="center"/>
          </w:tcPr>
          <w:p w14:paraId="3040C871">
            <w:pPr>
              <w:jc w:val="center"/>
              <w:rPr>
                <w:color w:val="auto"/>
                <w:szCs w:val="21"/>
              </w:rPr>
            </w:pPr>
            <w:r>
              <w:rPr>
                <w:color w:val="auto"/>
                <w:kern w:val="0"/>
                <w:szCs w:val="21"/>
              </w:rPr>
              <w:t>上述地区之外的其它地区。</w:t>
            </w:r>
          </w:p>
        </w:tc>
      </w:tr>
    </w:tbl>
    <w:p w14:paraId="474748BE">
      <w:pPr>
        <w:spacing w:line="360" w:lineRule="auto"/>
        <w:ind w:firstLine="480" w:firstLineChars="200"/>
        <w:rPr>
          <w:color w:val="auto"/>
          <w:sz w:val="24"/>
        </w:rPr>
      </w:pPr>
      <w:r>
        <w:rPr>
          <w:color w:val="auto"/>
          <w:sz w:val="24"/>
        </w:rPr>
        <w:t>包气带防污性能分级见下表。</w:t>
      </w:r>
    </w:p>
    <w:p w14:paraId="40A3B7C0">
      <w:pPr>
        <w:spacing w:line="360" w:lineRule="auto"/>
        <w:jc w:val="center"/>
        <w:rPr>
          <w:b/>
          <w:color w:val="auto"/>
          <w:sz w:val="24"/>
        </w:rPr>
      </w:pPr>
      <w:r>
        <w:rPr>
          <w:b/>
          <w:color w:val="auto"/>
          <w:sz w:val="24"/>
        </w:rPr>
        <w:t>表</w:t>
      </w:r>
      <w:r>
        <w:rPr>
          <w:b/>
          <w:bCs/>
          <w:color w:val="auto"/>
          <w:sz w:val="24"/>
        </w:rPr>
        <w:t>3-</w:t>
      </w:r>
      <w:r>
        <w:rPr>
          <w:rFonts w:hint="eastAsia"/>
          <w:b/>
          <w:bCs/>
          <w:color w:val="auto"/>
          <w:sz w:val="24"/>
        </w:rPr>
        <w:t>7</w:t>
      </w:r>
      <w:r>
        <w:rPr>
          <w:b/>
          <w:color w:val="auto"/>
          <w:sz w:val="24"/>
        </w:rPr>
        <w:t xml:space="preserve">  包气带防污性能分级情况一览表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8318"/>
      </w:tblGrid>
      <w:tr w14:paraId="0454B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9" w:type="pct"/>
            <w:tcBorders>
              <w:tl2br w:val="nil"/>
              <w:tr2bl w:val="nil"/>
            </w:tcBorders>
            <w:vAlign w:val="center"/>
          </w:tcPr>
          <w:p w14:paraId="31300AFA">
            <w:pPr>
              <w:jc w:val="center"/>
              <w:rPr>
                <w:color w:val="auto"/>
                <w:szCs w:val="21"/>
              </w:rPr>
            </w:pPr>
            <w:r>
              <w:rPr>
                <w:color w:val="auto"/>
                <w:kern w:val="0"/>
                <w:szCs w:val="21"/>
              </w:rPr>
              <w:t>分级</w:t>
            </w:r>
          </w:p>
        </w:tc>
        <w:tc>
          <w:tcPr>
            <w:tcW w:w="4221" w:type="pct"/>
            <w:tcBorders>
              <w:tl2br w:val="nil"/>
              <w:tr2bl w:val="nil"/>
            </w:tcBorders>
            <w:vAlign w:val="center"/>
          </w:tcPr>
          <w:p w14:paraId="4DF14D3C">
            <w:pPr>
              <w:jc w:val="center"/>
              <w:rPr>
                <w:color w:val="auto"/>
                <w:szCs w:val="21"/>
              </w:rPr>
            </w:pPr>
            <w:r>
              <w:rPr>
                <w:color w:val="auto"/>
                <w:kern w:val="0"/>
                <w:szCs w:val="21"/>
              </w:rPr>
              <w:t>分级依据</w:t>
            </w:r>
          </w:p>
        </w:tc>
      </w:tr>
      <w:tr w14:paraId="04400D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9" w:type="pct"/>
            <w:tcBorders>
              <w:tl2br w:val="nil"/>
              <w:tr2bl w:val="nil"/>
            </w:tcBorders>
            <w:vAlign w:val="center"/>
          </w:tcPr>
          <w:p w14:paraId="0FE24136">
            <w:pPr>
              <w:jc w:val="center"/>
              <w:rPr>
                <w:color w:val="auto"/>
                <w:szCs w:val="21"/>
              </w:rPr>
            </w:pPr>
            <w:r>
              <w:rPr>
                <w:color w:val="auto"/>
                <w:kern w:val="0"/>
                <w:szCs w:val="21"/>
              </w:rPr>
              <w:t>D3</w:t>
            </w:r>
          </w:p>
        </w:tc>
        <w:tc>
          <w:tcPr>
            <w:tcW w:w="4221" w:type="pct"/>
            <w:tcBorders>
              <w:tl2br w:val="nil"/>
              <w:tr2bl w:val="nil"/>
            </w:tcBorders>
            <w:vAlign w:val="center"/>
          </w:tcPr>
          <w:p w14:paraId="59057220">
            <w:pPr>
              <w:jc w:val="center"/>
              <w:rPr>
                <w:color w:val="auto"/>
                <w:szCs w:val="21"/>
              </w:rPr>
            </w:pPr>
            <w:r>
              <w:rPr>
                <w:color w:val="auto"/>
                <w:kern w:val="0"/>
                <w:szCs w:val="21"/>
              </w:rPr>
              <w:t>岩（土）层单层厚度Mb≥1.0m，渗透系数K≤10</w:t>
            </w:r>
            <w:r>
              <w:rPr>
                <w:color w:val="auto"/>
                <w:kern w:val="0"/>
                <w:szCs w:val="21"/>
                <w:vertAlign w:val="superscript"/>
              </w:rPr>
              <w:t>-7</w:t>
            </w:r>
            <w:r>
              <w:rPr>
                <w:color w:val="auto"/>
                <w:kern w:val="0"/>
                <w:szCs w:val="21"/>
              </w:rPr>
              <w:t>cm/s，且分布连续、稳定。</w:t>
            </w:r>
          </w:p>
        </w:tc>
      </w:tr>
      <w:tr w14:paraId="71A9DA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9" w:type="pct"/>
            <w:tcBorders>
              <w:tl2br w:val="nil"/>
              <w:tr2bl w:val="nil"/>
            </w:tcBorders>
            <w:vAlign w:val="center"/>
          </w:tcPr>
          <w:p w14:paraId="3E7334F6">
            <w:pPr>
              <w:jc w:val="center"/>
              <w:rPr>
                <w:color w:val="auto"/>
                <w:szCs w:val="21"/>
              </w:rPr>
            </w:pPr>
            <w:r>
              <w:rPr>
                <w:color w:val="auto"/>
                <w:kern w:val="0"/>
                <w:szCs w:val="21"/>
              </w:rPr>
              <w:t>D2</w:t>
            </w:r>
          </w:p>
        </w:tc>
        <w:tc>
          <w:tcPr>
            <w:tcW w:w="4221" w:type="pct"/>
            <w:tcBorders>
              <w:tl2br w:val="nil"/>
              <w:tr2bl w:val="nil"/>
            </w:tcBorders>
            <w:vAlign w:val="center"/>
          </w:tcPr>
          <w:p w14:paraId="70C04FB3">
            <w:pPr>
              <w:jc w:val="center"/>
              <w:rPr>
                <w:color w:val="auto"/>
                <w:szCs w:val="21"/>
              </w:rPr>
            </w:pPr>
            <w:r>
              <w:rPr>
                <w:color w:val="auto"/>
                <w:kern w:val="0"/>
                <w:szCs w:val="21"/>
              </w:rPr>
              <w:t>岩（土）层单层厚度0.5m≤Mb&lt;1.0m，渗透系数K≤10</w:t>
            </w:r>
            <w:r>
              <w:rPr>
                <w:color w:val="auto"/>
                <w:kern w:val="0"/>
                <w:szCs w:val="21"/>
                <w:vertAlign w:val="superscript"/>
              </w:rPr>
              <w:t>-7</w:t>
            </w:r>
            <w:r>
              <w:rPr>
                <w:color w:val="auto"/>
                <w:kern w:val="0"/>
                <w:szCs w:val="21"/>
              </w:rPr>
              <w:t>cm/s，且分布连续、稳定。岩（土）层单层厚度Mb≥1.0m，渗透系数10</w:t>
            </w:r>
            <w:r>
              <w:rPr>
                <w:color w:val="auto"/>
                <w:kern w:val="0"/>
                <w:szCs w:val="21"/>
                <w:vertAlign w:val="superscript"/>
              </w:rPr>
              <w:t>-7</w:t>
            </w:r>
            <w:r>
              <w:rPr>
                <w:color w:val="auto"/>
                <w:kern w:val="0"/>
                <w:szCs w:val="21"/>
              </w:rPr>
              <w:t>cm/s&lt;K≤10</w:t>
            </w:r>
            <w:r>
              <w:rPr>
                <w:color w:val="auto"/>
                <w:kern w:val="0"/>
                <w:szCs w:val="21"/>
                <w:vertAlign w:val="superscript"/>
              </w:rPr>
              <w:t>-4</w:t>
            </w:r>
            <w:r>
              <w:rPr>
                <w:color w:val="auto"/>
                <w:kern w:val="0"/>
                <w:szCs w:val="21"/>
              </w:rPr>
              <w:t>cm/s，且分布连续、稳定。</w:t>
            </w:r>
          </w:p>
        </w:tc>
      </w:tr>
      <w:tr w14:paraId="60596C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9" w:type="pct"/>
            <w:tcBorders>
              <w:tl2br w:val="nil"/>
              <w:tr2bl w:val="nil"/>
            </w:tcBorders>
            <w:vAlign w:val="center"/>
          </w:tcPr>
          <w:p w14:paraId="66031C11">
            <w:pPr>
              <w:jc w:val="center"/>
              <w:rPr>
                <w:color w:val="auto"/>
                <w:szCs w:val="21"/>
              </w:rPr>
            </w:pPr>
            <w:r>
              <w:rPr>
                <w:color w:val="auto"/>
                <w:kern w:val="0"/>
                <w:szCs w:val="21"/>
              </w:rPr>
              <w:t>D1</w:t>
            </w:r>
          </w:p>
        </w:tc>
        <w:tc>
          <w:tcPr>
            <w:tcW w:w="4221" w:type="pct"/>
            <w:tcBorders>
              <w:tl2br w:val="nil"/>
              <w:tr2bl w:val="nil"/>
            </w:tcBorders>
            <w:vAlign w:val="center"/>
          </w:tcPr>
          <w:p w14:paraId="771E2C77">
            <w:pPr>
              <w:jc w:val="center"/>
              <w:rPr>
                <w:color w:val="auto"/>
                <w:szCs w:val="21"/>
              </w:rPr>
            </w:pPr>
            <w:r>
              <w:rPr>
                <w:color w:val="auto"/>
                <w:kern w:val="0"/>
                <w:szCs w:val="21"/>
              </w:rPr>
              <w:t>岩（土）层不满足上述“强”和“中”条件</w:t>
            </w:r>
          </w:p>
        </w:tc>
      </w:tr>
    </w:tbl>
    <w:p w14:paraId="6F4E803E">
      <w:pPr>
        <w:spacing w:line="360" w:lineRule="auto"/>
        <w:ind w:firstLine="480" w:firstLineChars="200"/>
        <w:rPr>
          <w:color w:val="auto"/>
          <w:sz w:val="24"/>
        </w:rPr>
      </w:pPr>
      <w:r>
        <w:rPr>
          <w:color w:val="auto"/>
          <w:sz w:val="24"/>
        </w:rPr>
        <w:t>根据地下水功能敏感性分级(G)和包气带防污性能(D)确定地下水环境敏感程度，具体见下表。</w:t>
      </w:r>
    </w:p>
    <w:p w14:paraId="3707409F">
      <w:pPr>
        <w:spacing w:line="360" w:lineRule="auto"/>
        <w:jc w:val="center"/>
        <w:rPr>
          <w:b/>
          <w:color w:val="auto"/>
          <w:sz w:val="24"/>
        </w:rPr>
      </w:pPr>
      <w:r>
        <w:rPr>
          <w:b/>
          <w:color w:val="auto"/>
          <w:sz w:val="24"/>
        </w:rPr>
        <w:t>表</w:t>
      </w:r>
      <w:r>
        <w:rPr>
          <w:b/>
          <w:bCs/>
          <w:color w:val="auto"/>
          <w:sz w:val="24"/>
        </w:rPr>
        <w:t>3-</w:t>
      </w:r>
      <w:r>
        <w:rPr>
          <w:rFonts w:hint="eastAsia"/>
          <w:b/>
          <w:bCs/>
          <w:color w:val="auto"/>
          <w:sz w:val="24"/>
        </w:rPr>
        <w:t>8</w:t>
      </w:r>
      <w:r>
        <w:rPr>
          <w:b/>
          <w:color w:val="auto"/>
          <w:sz w:val="24"/>
        </w:rPr>
        <w:t xml:space="preserve">  地下水环境敏感程度等级判断</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6"/>
        <w:gridCol w:w="2623"/>
        <w:gridCol w:w="2457"/>
        <w:gridCol w:w="2517"/>
      </w:tblGrid>
      <w:tr w14:paraId="6AD6F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5" w:type="pct"/>
            <w:vMerge w:val="restart"/>
            <w:tcBorders>
              <w:tl2br w:val="nil"/>
              <w:tr2bl w:val="nil"/>
            </w:tcBorders>
            <w:vAlign w:val="center"/>
          </w:tcPr>
          <w:p w14:paraId="68D2EEB2">
            <w:pPr>
              <w:jc w:val="center"/>
              <w:rPr>
                <w:color w:val="auto"/>
                <w:szCs w:val="21"/>
              </w:rPr>
            </w:pPr>
            <w:r>
              <w:rPr>
                <w:color w:val="auto"/>
                <w:kern w:val="0"/>
                <w:szCs w:val="21"/>
              </w:rPr>
              <w:t>包气带防污性能</w:t>
            </w:r>
          </w:p>
        </w:tc>
        <w:tc>
          <w:tcPr>
            <w:tcW w:w="3855" w:type="pct"/>
            <w:gridSpan w:val="3"/>
            <w:tcBorders>
              <w:tl2br w:val="nil"/>
              <w:tr2bl w:val="nil"/>
            </w:tcBorders>
            <w:vAlign w:val="center"/>
          </w:tcPr>
          <w:p w14:paraId="0524BEEA">
            <w:pPr>
              <w:jc w:val="center"/>
              <w:rPr>
                <w:color w:val="auto"/>
                <w:szCs w:val="21"/>
              </w:rPr>
            </w:pPr>
            <w:r>
              <w:rPr>
                <w:color w:val="auto"/>
                <w:kern w:val="0"/>
                <w:szCs w:val="21"/>
              </w:rPr>
              <w:t>地下水功能敏感性分级</w:t>
            </w:r>
          </w:p>
        </w:tc>
      </w:tr>
      <w:tr w14:paraId="79866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5" w:type="pct"/>
            <w:vMerge w:val="continue"/>
            <w:tcBorders>
              <w:tl2br w:val="nil"/>
              <w:tr2bl w:val="nil"/>
            </w:tcBorders>
            <w:vAlign w:val="center"/>
          </w:tcPr>
          <w:p w14:paraId="155914B6">
            <w:pPr>
              <w:jc w:val="center"/>
              <w:rPr>
                <w:color w:val="auto"/>
                <w:szCs w:val="21"/>
              </w:rPr>
            </w:pPr>
          </w:p>
        </w:tc>
        <w:tc>
          <w:tcPr>
            <w:tcW w:w="1331" w:type="pct"/>
            <w:tcBorders>
              <w:tl2br w:val="nil"/>
              <w:tr2bl w:val="nil"/>
            </w:tcBorders>
            <w:vAlign w:val="center"/>
          </w:tcPr>
          <w:p w14:paraId="02074398">
            <w:pPr>
              <w:jc w:val="center"/>
              <w:rPr>
                <w:color w:val="auto"/>
                <w:szCs w:val="21"/>
              </w:rPr>
            </w:pPr>
            <w:r>
              <w:rPr>
                <w:color w:val="auto"/>
                <w:kern w:val="0"/>
                <w:szCs w:val="21"/>
              </w:rPr>
              <w:t>G1</w:t>
            </w:r>
          </w:p>
        </w:tc>
        <w:tc>
          <w:tcPr>
            <w:tcW w:w="1247" w:type="pct"/>
            <w:tcBorders>
              <w:tl2br w:val="nil"/>
              <w:tr2bl w:val="nil"/>
            </w:tcBorders>
            <w:vAlign w:val="center"/>
          </w:tcPr>
          <w:p w14:paraId="23D9BB62">
            <w:pPr>
              <w:jc w:val="center"/>
              <w:rPr>
                <w:color w:val="auto"/>
                <w:szCs w:val="21"/>
              </w:rPr>
            </w:pPr>
            <w:r>
              <w:rPr>
                <w:color w:val="auto"/>
                <w:kern w:val="0"/>
                <w:szCs w:val="21"/>
              </w:rPr>
              <w:t>G2</w:t>
            </w:r>
          </w:p>
        </w:tc>
        <w:tc>
          <w:tcPr>
            <w:tcW w:w="1277" w:type="pct"/>
            <w:tcBorders>
              <w:tl2br w:val="nil"/>
              <w:tr2bl w:val="nil"/>
            </w:tcBorders>
            <w:vAlign w:val="center"/>
          </w:tcPr>
          <w:p w14:paraId="3C046C66">
            <w:pPr>
              <w:jc w:val="center"/>
              <w:rPr>
                <w:color w:val="auto"/>
                <w:szCs w:val="21"/>
              </w:rPr>
            </w:pPr>
            <w:r>
              <w:rPr>
                <w:color w:val="auto"/>
                <w:kern w:val="0"/>
                <w:szCs w:val="21"/>
              </w:rPr>
              <w:t>G3</w:t>
            </w:r>
          </w:p>
        </w:tc>
      </w:tr>
      <w:tr w14:paraId="6762D0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5" w:type="pct"/>
            <w:tcBorders>
              <w:tl2br w:val="nil"/>
              <w:tr2bl w:val="nil"/>
            </w:tcBorders>
            <w:vAlign w:val="center"/>
          </w:tcPr>
          <w:p w14:paraId="68CEB59A">
            <w:pPr>
              <w:jc w:val="center"/>
              <w:rPr>
                <w:color w:val="auto"/>
                <w:szCs w:val="21"/>
              </w:rPr>
            </w:pPr>
            <w:r>
              <w:rPr>
                <w:color w:val="auto"/>
                <w:kern w:val="0"/>
                <w:szCs w:val="21"/>
              </w:rPr>
              <w:t>D1</w:t>
            </w:r>
          </w:p>
        </w:tc>
        <w:tc>
          <w:tcPr>
            <w:tcW w:w="1331" w:type="pct"/>
            <w:tcBorders>
              <w:tl2br w:val="nil"/>
              <w:tr2bl w:val="nil"/>
            </w:tcBorders>
            <w:vAlign w:val="center"/>
          </w:tcPr>
          <w:p w14:paraId="1455634C">
            <w:pPr>
              <w:jc w:val="center"/>
              <w:rPr>
                <w:color w:val="auto"/>
                <w:szCs w:val="21"/>
              </w:rPr>
            </w:pPr>
            <w:r>
              <w:rPr>
                <w:color w:val="auto"/>
                <w:kern w:val="0"/>
                <w:szCs w:val="21"/>
              </w:rPr>
              <w:t>E1</w:t>
            </w:r>
          </w:p>
        </w:tc>
        <w:tc>
          <w:tcPr>
            <w:tcW w:w="1247" w:type="pct"/>
            <w:tcBorders>
              <w:tl2br w:val="nil"/>
              <w:tr2bl w:val="nil"/>
            </w:tcBorders>
            <w:vAlign w:val="center"/>
          </w:tcPr>
          <w:p w14:paraId="531A492C">
            <w:pPr>
              <w:jc w:val="center"/>
              <w:rPr>
                <w:color w:val="auto"/>
                <w:szCs w:val="21"/>
              </w:rPr>
            </w:pPr>
            <w:r>
              <w:rPr>
                <w:color w:val="auto"/>
                <w:kern w:val="0"/>
                <w:szCs w:val="21"/>
              </w:rPr>
              <w:t>E1</w:t>
            </w:r>
          </w:p>
        </w:tc>
        <w:tc>
          <w:tcPr>
            <w:tcW w:w="1277" w:type="pct"/>
            <w:tcBorders>
              <w:tl2br w:val="nil"/>
              <w:tr2bl w:val="nil"/>
            </w:tcBorders>
            <w:vAlign w:val="center"/>
          </w:tcPr>
          <w:p w14:paraId="57D11FE5">
            <w:pPr>
              <w:jc w:val="center"/>
              <w:rPr>
                <w:color w:val="auto"/>
                <w:szCs w:val="21"/>
              </w:rPr>
            </w:pPr>
            <w:r>
              <w:rPr>
                <w:color w:val="auto"/>
                <w:kern w:val="0"/>
                <w:szCs w:val="21"/>
              </w:rPr>
              <w:t>E2</w:t>
            </w:r>
          </w:p>
        </w:tc>
      </w:tr>
      <w:tr w14:paraId="206CA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5" w:type="pct"/>
            <w:tcBorders>
              <w:tl2br w:val="nil"/>
              <w:tr2bl w:val="nil"/>
            </w:tcBorders>
            <w:vAlign w:val="center"/>
          </w:tcPr>
          <w:p w14:paraId="1FD83A9B">
            <w:pPr>
              <w:jc w:val="center"/>
              <w:rPr>
                <w:color w:val="auto"/>
                <w:szCs w:val="21"/>
              </w:rPr>
            </w:pPr>
            <w:r>
              <w:rPr>
                <w:color w:val="auto"/>
                <w:kern w:val="0"/>
                <w:szCs w:val="21"/>
              </w:rPr>
              <w:t>D2</w:t>
            </w:r>
          </w:p>
        </w:tc>
        <w:tc>
          <w:tcPr>
            <w:tcW w:w="1331" w:type="pct"/>
            <w:tcBorders>
              <w:tl2br w:val="nil"/>
              <w:tr2bl w:val="nil"/>
            </w:tcBorders>
            <w:vAlign w:val="center"/>
          </w:tcPr>
          <w:p w14:paraId="54C36759">
            <w:pPr>
              <w:jc w:val="center"/>
              <w:rPr>
                <w:color w:val="auto"/>
                <w:szCs w:val="21"/>
              </w:rPr>
            </w:pPr>
            <w:r>
              <w:rPr>
                <w:color w:val="auto"/>
                <w:kern w:val="0"/>
                <w:szCs w:val="21"/>
              </w:rPr>
              <w:t>E1</w:t>
            </w:r>
          </w:p>
        </w:tc>
        <w:tc>
          <w:tcPr>
            <w:tcW w:w="1247" w:type="pct"/>
            <w:tcBorders>
              <w:tl2br w:val="nil"/>
              <w:tr2bl w:val="nil"/>
            </w:tcBorders>
            <w:vAlign w:val="center"/>
          </w:tcPr>
          <w:p w14:paraId="65E29D20">
            <w:pPr>
              <w:jc w:val="center"/>
              <w:rPr>
                <w:color w:val="auto"/>
                <w:szCs w:val="21"/>
              </w:rPr>
            </w:pPr>
            <w:r>
              <w:rPr>
                <w:color w:val="auto"/>
                <w:kern w:val="0"/>
                <w:szCs w:val="21"/>
              </w:rPr>
              <w:t>E2</w:t>
            </w:r>
          </w:p>
        </w:tc>
        <w:tc>
          <w:tcPr>
            <w:tcW w:w="1277" w:type="pct"/>
            <w:tcBorders>
              <w:tl2br w:val="nil"/>
              <w:tr2bl w:val="nil"/>
            </w:tcBorders>
            <w:vAlign w:val="center"/>
          </w:tcPr>
          <w:p w14:paraId="2658D0F6">
            <w:pPr>
              <w:jc w:val="center"/>
              <w:rPr>
                <w:color w:val="auto"/>
                <w:szCs w:val="21"/>
              </w:rPr>
            </w:pPr>
            <w:r>
              <w:rPr>
                <w:color w:val="auto"/>
                <w:kern w:val="0"/>
                <w:szCs w:val="21"/>
              </w:rPr>
              <w:t>E3</w:t>
            </w:r>
          </w:p>
        </w:tc>
      </w:tr>
      <w:tr w14:paraId="4F5065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45" w:type="pct"/>
            <w:tcBorders>
              <w:tl2br w:val="nil"/>
              <w:tr2bl w:val="nil"/>
            </w:tcBorders>
            <w:vAlign w:val="center"/>
          </w:tcPr>
          <w:p w14:paraId="18E638A8">
            <w:pPr>
              <w:jc w:val="center"/>
              <w:rPr>
                <w:color w:val="auto"/>
                <w:szCs w:val="21"/>
              </w:rPr>
            </w:pPr>
            <w:r>
              <w:rPr>
                <w:color w:val="auto"/>
                <w:kern w:val="0"/>
                <w:szCs w:val="21"/>
              </w:rPr>
              <w:t>D3</w:t>
            </w:r>
          </w:p>
        </w:tc>
        <w:tc>
          <w:tcPr>
            <w:tcW w:w="1331" w:type="pct"/>
            <w:tcBorders>
              <w:tl2br w:val="nil"/>
              <w:tr2bl w:val="nil"/>
            </w:tcBorders>
            <w:vAlign w:val="center"/>
          </w:tcPr>
          <w:p w14:paraId="64BB363C">
            <w:pPr>
              <w:jc w:val="center"/>
              <w:rPr>
                <w:color w:val="auto"/>
                <w:szCs w:val="21"/>
              </w:rPr>
            </w:pPr>
            <w:r>
              <w:rPr>
                <w:color w:val="auto"/>
                <w:kern w:val="0"/>
                <w:szCs w:val="21"/>
              </w:rPr>
              <w:t>E2</w:t>
            </w:r>
          </w:p>
        </w:tc>
        <w:tc>
          <w:tcPr>
            <w:tcW w:w="1247" w:type="pct"/>
            <w:tcBorders>
              <w:tl2br w:val="nil"/>
              <w:tr2bl w:val="nil"/>
            </w:tcBorders>
            <w:vAlign w:val="center"/>
          </w:tcPr>
          <w:p w14:paraId="6A6F8DAC">
            <w:pPr>
              <w:jc w:val="center"/>
              <w:rPr>
                <w:color w:val="auto"/>
                <w:szCs w:val="21"/>
              </w:rPr>
            </w:pPr>
            <w:r>
              <w:rPr>
                <w:color w:val="auto"/>
                <w:kern w:val="0"/>
                <w:szCs w:val="21"/>
              </w:rPr>
              <w:t>E3</w:t>
            </w:r>
          </w:p>
        </w:tc>
        <w:tc>
          <w:tcPr>
            <w:tcW w:w="1277" w:type="pct"/>
            <w:tcBorders>
              <w:tl2br w:val="nil"/>
              <w:tr2bl w:val="nil"/>
            </w:tcBorders>
            <w:vAlign w:val="center"/>
          </w:tcPr>
          <w:p w14:paraId="4C326F2B">
            <w:pPr>
              <w:jc w:val="center"/>
              <w:rPr>
                <w:color w:val="auto"/>
                <w:szCs w:val="21"/>
              </w:rPr>
            </w:pPr>
            <w:r>
              <w:rPr>
                <w:color w:val="auto"/>
                <w:kern w:val="0"/>
                <w:szCs w:val="21"/>
              </w:rPr>
              <w:t>E3</w:t>
            </w:r>
          </w:p>
        </w:tc>
      </w:tr>
    </w:tbl>
    <w:p w14:paraId="680BC481">
      <w:pPr>
        <w:spacing w:line="360" w:lineRule="auto"/>
        <w:ind w:firstLine="480" w:firstLineChars="200"/>
        <w:rPr>
          <w:color w:val="auto"/>
          <w:sz w:val="24"/>
        </w:rPr>
      </w:pPr>
      <w:r>
        <w:rPr>
          <w:color w:val="auto"/>
          <w:sz w:val="24"/>
        </w:rPr>
        <w:t>根据收集资料和现场实地调查，本项目</w:t>
      </w:r>
      <w:r>
        <w:rPr>
          <w:rFonts w:hint="eastAsia"/>
          <w:color w:val="auto"/>
          <w:sz w:val="24"/>
        </w:rPr>
        <w:t>评价范围内不包括</w:t>
      </w:r>
      <w:r>
        <w:rPr>
          <w:color w:val="auto"/>
          <w:sz w:val="24"/>
        </w:rPr>
        <w:t>集中式饮用水水源地（包括已建成的在用、备用、应急水源地，在建和规划的水源地）准保护区</w:t>
      </w:r>
      <w:r>
        <w:rPr>
          <w:rFonts w:hint="eastAsia"/>
          <w:color w:val="auto"/>
          <w:sz w:val="24"/>
        </w:rPr>
        <w:t>、</w:t>
      </w:r>
      <w:r>
        <w:rPr>
          <w:color w:val="auto"/>
          <w:sz w:val="24"/>
        </w:rPr>
        <w:t>热水、矿泉水、温泉等特殊地下水资源保护区</w:t>
      </w:r>
      <w:r>
        <w:rPr>
          <w:rFonts w:hint="eastAsia"/>
          <w:color w:val="auto"/>
          <w:sz w:val="24"/>
        </w:rPr>
        <w:t>、</w:t>
      </w:r>
      <w:r>
        <w:rPr>
          <w:color w:val="auto"/>
          <w:sz w:val="24"/>
        </w:rPr>
        <w:t>特殊地下水资源（如矿泉水、温泉等）保护区以外的分布区以及分散式居民饮用水水源等其它未列入上述敏感分级的环境敏感区。</w:t>
      </w:r>
      <w:r>
        <w:rPr>
          <w:rFonts w:hint="eastAsia"/>
          <w:color w:val="auto"/>
          <w:sz w:val="24"/>
        </w:rPr>
        <w:t>因此本项目</w:t>
      </w:r>
      <w:r>
        <w:rPr>
          <w:color w:val="auto"/>
          <w:sz w:val="24"/>
        </w:rPr>
        <w:t>地下水功能敏感性分区为不敏感G3，</w:t>
      </w:r>
      <w:r>
        <w:rPr>
          <w:rFonts w:hint="eastAsia"/>
          <w:color w:val="auto"/>
          <w:sz w:val="24"/>
        </w:rPr>
        <w:t>本项目所在地</w:t>
      </w:r>
      <w:r>
        <w:rPr>
          <w:color w:val="auto"/>
          <w:sz w:val="24"/>
        </w:rPr>
        <w:t>包气带防污性能分级为D</w:t>
      </w:r>
      <w:r>
        <w:rPr>
          <w:rFonts w:hint="eastAsia"/>
          <w:color w:val="auto"/>
          <w:sz w:val="24"/>
        </w:rPr>
        <w:t>3</w:t>
      </w:r>
      <w:r>
        <w:rPr>
          <w:color w:val="auto"/>
          <w:sz w:val="24"/>
        </w:rPr>
        <w:t>，确定本项目地下水环境敏感程度为环境低度敏感区E3。</w:t>
      </w:r>
    </w:p>
    <w:p w14:paraId="73B18AF6">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3.3环境风险评价等级的确定</w:t>
      </w:r>
    </w:p>
    <w:p w14:paraId="2DB3EDE7">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3.3.1环境风险潜势划分</w:t>
      </w:r>
    </w:p>
    <w:p w14:paraId="50A0B944">
      <w:pPr>
        <w:adjustRightInd w:val="0"/>
        <w:snapToGrid w:val="0"/>
        <w:spacing w:line="360" w:lineRule="auto"/>
        <w:ind w:firstLine="480" w:firstLineChars="200"/>
        <w:rPr>
          <w:color w:val="auto"/>
          <w:sz w:val="24"/>
        </w:rPr>
      </w:pPr>
      <w:r>
        <w:rPr>
          <w:rFonts w:hint="eastAsia"/>
          <w:color w:val="auto"/>
          <w:sz w:val="24"/>
        </w:rPr>
        <w:t>根据《建设项目环境风险评价技术导则》（HJ/T 169-2018）环境风险潜势划分依据见表 3-</w:t>
      </w:r>
      <w:r>
        <w:rPr>
          <w:rFonts w:hint="eastAsia"/>
          <w:color w:val="auto"/>
          <w:sz w:val="24"/>
          <w:lang w:val="en-US" w:eastAsia="zh-CN"/>
        </w:rPr>
        <w:t>9</w:t>
      </w:r>
      <w:r>
        <w:rPr>
          <w:rFonts w:hint="eastAsia"/>
          <w:color w:val="auto"/>
          <w:sz w:val="24"/>
        </w:rPr>
        <w:t>。</w:t>
      </w:r>
    </w:p>
    <w:p w14:paraId="1B22F47A">
      <w:pPr>
        <w:spacing w:line="360" w:lineRule="auto"/>
        <w:jc w:val="center"/>
        <w:rPr>
          <w:b/>
          <w:color w:val="auto"/>
          <w:sz w:val="24"/>
        </w:rPr>
      </w:pPr>
      <w:r>
        <w:rPr>
          <w:b/>
          <w:color w:val="auto"/>
          <w:sz w:val="24"/>
        </w:rPr>
        <w:t>表 3-</w:t>
      </w:r>
      <w:r>
        <w:rPr>
          <w:rFonts w:hint="eastAsia"/>
          <w:b/>
          <w:color w:val="auto"/>
          <w:sz w:val="24"/>
        </w:rPr>
        <w:t xml:space="preserve">9 </w:t>
      </w:r>
      <w:r>
        <w:rPr>
          <w:b/>
          <w:color w:val="auto"/>
          <w:sz w:val="24"/>
        </w:rPr>
        <w:t>建设项目环境风险潜势划分</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311"/>
        <w:gridCol w:w="1918"/>
        <w:gridCol w:w="1849"/>
        <w:gridCol w:w="1790"/>
        <w:gridCol w:w="1769"/>
      </w:tblGrid>
      <w:tr w14:paraId="5BD14D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vMerge w:val="restart"/>
            <w:tcBorders>
              <w:tl2br w:val="nil"/>
              <w:tr2bl w:val="nil"/>
            </w:tcBorders>
            <w:vAlign w:val="center"/>
          </w:tcPr>
          <w:p w14:paraId="1E83E721">
            <w:pPr>
              <w:jc w:val="center"/>
              <w:rPr>
                <w:color w:val="auto"/>
                <w:szCs w:val="21"/>
                <w:lang w:val="zh-CN" w:bidi="zh-CN"/>
              </w:rPr>
            </w:pPr>
            <w:r>
              <w:rPr>
                <w:color w:val="auto"/>
                <w:szCs w:val="21"/>
                <w:lang w:val="zh-CN" w:bidi="zh-CN"/>
              </w:rPr>
              <w:t>环境敏感程度（E）</w:t>
            </w:r>
          </w:p>
        </w:tc>
        <w:tc>
          <w:tcPr>
            <w:tcW w:w="7085" w:type="dxa"/>
            <w:gridSpan w:val="4"/>
            <w:tcBorders>
              <w:tl2br w:val="nil"/>
              <w:tr2bl w:val="nil"/>
            </w:tcBorders>
            <w:vAlign w:val="center"/>
          </w:tcPr>
          <w:p w14:paraId="37FE287F">
            <w:pPr>
              <w:jc w:val="center"/>
              <w:rPr>
                <w:color w:val="auto"/>
                <w:szCs w:val="21"/>
                <w:lang w:val="zh-CN" w:bidi="zh-CN"/>
              </w:rPr>
            </w:pPr>
            <w:r>
              <w:rPr>
                <w:color w:val="auto"/>
                <w:szCs w:val="21"/>
                <w:lang w:val="zh-CN" w:bidi="zh-CN"/>
              </w:rPr>
              <w:t>危险物质及工艺系统危险性（P）</w:t>
            </w:r>
          </w:p>
        </w:tc>
      </w:tr>
      <w:tr w14:paraId="1F13E9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vMerge w:val="continue"/>
            <w:tcBorders>
              <w:tl2br w:val="nil"/>
              <w:tr2bl w:val="nil"/>
            </w:tcBorders>
            <w:vAlign w:val="center"/>
          </w:tcPr>
          <w:p w14:paraId="62E7A578">
            <w:pPr>
              <w:jc w:val="center"/>
              <w:rPr>
                <w:color w:val="auto"/>
                <w:szCs w:val="21"/>
              </w:rPr>
            </w:pPr>
          </w:p>
        </w:tc>
        <w:tc>
          <w:tcPr>
            <w:tcW w:w="1855" w:type="dxa"/>
            <w:tcBorders>
              <w:tl2br w:val="nil"/>
              <w:tr2bl w:val="nil"/>
            </w:tcBorders>
            <w:vAlign w:val="center"/>
          </w:tcPr>
          <w:p w14:paraId="1280554A">
            <w:pPr>
              <w:jc w:val="center"/>
              <w:rPr>
                <w:color w:val="auto"/>
                <w:szCs w:val="21"/>
                <w:lang w:val="zh-CN" w:bidi="zh-CN"/>
              </w:rPr>
            </w:pPr>
            <w:r>
              <w:rPr>
                <w:color w:val="auto"/>
                <w:szCs w:val="21"/>
                <w:lang w:val="zh-CN" w:bidi="zh-CN"/>
              </w:rPr>
              <w:t>极高危害（P1）</w:t>
            </w:r>
          </w:p>
        </w:tc>
        <w:tc>
          <w:tcPr>
            <w:tcW w:w="1788" w:type="dxa"/>
            <w:tcBorders>
              <w:tl2br w:val="nil"/>
              <w:tr2bl w:val="nil"/>
            </w:tcBorders>
            <w:vAlign w:val="center"/>
          </w:tcPr>
          <w:p w14:paraId="288A8A34">
            <w:pPr>
              <w:jc w:val="center"/>
              <w:rPr>
                <w:color w:val="auto"/>
                <w:szCs w:val="21"/>
                <w:lang w:val="zh-CN" w:bidi="zh-CN"/>
              </w:rPr>
            </w:pPr>
            <w:r>
              <w:rPr>
                <w:color w:val="auto"/>
                <w:szCs w:val="21"/>
                <w:lang w:val="zh-CN" w:bidi="zh-CN"/>
              </w:rPr>
              <w:t>高度危害（P2）</w:t>
            </w:r>
          </w:p>
        </w:tc>
        <w:tc>
          <w:tcPr>
            <w:tcW w:w="1731" w:type="dxa"/>
            <w:tcBorders>
              <w:tl2br w:val="nil"/>
              <w:tr2bl w:val="nil"/>
            </w:tcBorders>
            <w:vAlign w:val="center"/>
          </w:tcPr>
          <w:p w14:paraId="19DF9AB0">
            <w:pPr>
              <w:jc w:val="center"/>
              <w:rPr>
                <w:color w:val="auto"/>
                <w:szCs w:val="21"/>
                <w:lang w:val="zh-CN" w:bidi="zh-CN"/>
              </w:rPr>
            </w:pPr>
            <w:r>
              <w:rPr>
                <w:color w:val="auto"/>
                <w:szCs w:val="21"/>
                <w:lang w:val="zh-CN" w:bidi="zh-CN"/>
              </w:rPr>
              <w:t>中度危害（P3）</w:t>
            </w:r>
          </w:p>
        </w:tc>
        <w:tc>
          <w:tcPr>
            <w:tcW w:w="1711" w:type="dxa"/>
            <w:tcBorders>
              <w:tl2br w:val="nil"/>
              <w:tr2bl w:val="nil"/>
            </w:tcBorders>
            <w:vAlign w:val="center"/>
          </w:tcPr>
          <w:p w14:paraId="3D119497">
            <w:pPr>
              <w:jc w:val="center"/>
              <w:rPr>
                <w:color w:val="auto"/>
                <w:szCs w:val="21"/>
                <w:lang w:val="zh-CN" w:bidi="zh-CN"/>
              </w:rPr>
            </w:pPr>
            <w:r>
              <w:rPr>
                <w:color w:val="auto"/>
                <w:szCs w:val="21"/>
                <w:lang w:val="zh-CN" w:bidi="zh-CN"/>
              </w:rPr>
              <w:t>轻度危害（P4）</w:t>
            </w:r>
          </w:p>
        </w:tc>
      </w:tr>
      <w:tr w14:paraId="3CF83B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tcBorders>
              <w:tl2br w:val="nil"/>
              <w:tr2bl w:val="nil"/>
            </w:tcBorders>
            <w:vAlign w:val="center"/>
          </w:tcPr>
          <w:p w14:paraId="667BF403">
            <w:pPr>
              <w:jc w:val="center"/>
              <w:rPr>
                <w:color w:val="auto"/>
                <w:szCs w:val="21"/>
                <w:lang w:val="zh-CN" w:bidi="zh-CN"/>
              </w:rPr>
            </w:pPr>
            <w:r>
              <w:rPr>
                <w:color w:val="auto"/>
                <w:szCs w:val="21"/>
                <w:lang w:val="zh-CN" w:bidi="zh-CN"/>
              </w:rPr>
              <w:t>环境高度敏感区（E1）</w:t>
            </w:r>
          </w:p>
        </w:tc>
        <w:tc>
          <w:tcPr>
            <w:tcW w:w="1855" w:type="dxa"/>
            <w:tcBorders>
              <w:tl2br w:val="nil"/>
              <w:tr2bl w:val="nil"/>
            </w:tcBorders>
            <w:vAlign w:val="center"/>
          </w:tcPr>
          <w:p w14:paraId="320A6FFC">
            <w:pPr>
              <w:jc w:val="center"/>
              <w:rPr>
                <w:color w:val="auto"/>
                <w:szCs w:val="21"/>
                <w:lang w:val="zh-CN" w:bidi="zh-CN"/>
              </w:rPr>
            </w:pPr>
            <w:r>
              <w:rPr>
                <w:color w:val="auto"/>
                <w:szCs w:val="21"/>
                <w:lang w:val="zh-CN" w:bidi="zh-CN"/>
              </w:rPr>
              <w:t>Ⅳ+</w:t>
            </w:r>
          </w:p>
        </w:tc>
        <w:tc>
          <w:tcPr>
            <w:tcW w:w="1788" w:type="dxa"/>
            <w:tcBorders>
              <w:tl2br w:val="nil"/>
              <w:tr2bl w:val="nil"/>
            </w:tcBorders>
            <w:vAlign w:val="center"/>
          </w:tcPr>
          <w:p w14:paraId="39FF9E5C">
            <w:pPr>
              <w:jc w:val="center"/>
              <w:rPr>
                <w:color w:val="auto"/>
                <w:szCs w:val="21"/>
                <w:lang w:val="zh-CN" w:bidi="zh-CN"/>
              </w:rPr>
            </w:pPr>
            <w:r>
              <w:rPr>
                <w:color w:val="auto"/>
                <w:szCs w:val="21"/>
                <w:lang w:val="zh-CN" w:bidi="zh-CN"/>
              </w:rPr>
              <w:t>Ⅳ</w:t>
            </w:r>
          </w:p>
        </w:tc>
        <w:tc>
          <w:tcPr>
            <w:tcW w:w="1731" w:type="dxa"/>
            <w:tcBorders>
              <w:tl2br w:val="nil"/>
              <w:tr2bl w:val="nil"/>
            </w:tcBorders>
            <w:vAlign w:val="center"/>
          </w:tcPr>
          <w:p w14:paraId="0AFB62F0">
            <w:pPr>
              <w:jc w:val="center"/>
              <w:rPr>
                <w:color w:val="auto"/>
                <w:szCs w:val="21"/>
                <w:lang w:val="zh-CN" w:bidi="zh-CN"/>
              </w:rPr>
            </w:pPr>
            <w:r>
              <w:rPr>
                <w:color w:val="auto"/>
                <w:szCs w:val="21"/>
                <w:lang w:val="zh-CN" w:bidi="zh-CN"/>
              </w:rPr>
              <w:t>Ⅲ</w:t>
            </w:r>
          </w:p>
        </w:tc>
        <w:tc>
          <w:tcPr>
            <w:tcW w:w="1711" w:type="dxa"/>
            <w:tcBorders>
              <w:tl2br w:val="nil"/>
              <w:tr2bl w:val="nil"/>
            </w:tcBorders>
            <w:vAlign w:val="center"/>
          </w:tcPr>
          <w:p w14:paraId="7DEBF72B">
            <w:pPr>
              <w:jc w:val="center"/>
              <w:rPr>
                <w:color w:val="auto"/>
                <w:szCs w:val="21"/>
                <w:lang w:val="zh-CN" w:bidi="zh-CN"/>
              </w:rPr>
            </w:pPr>
            <w:r>
              <w:rPr>
                <w:color w:val="auto"/>
                <w:szCs w:val="21"/>
                <w:lang w:val="zh-CN" w:bidi="zh-CN"/>
              </w:rPr>
              <w:t>Ⅲ</w:t>
            </w:r>
          </w:p>
        </w:tc>
      </w:tr>
      <w:tr w14:paraId="331323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tcBorders>
              <w:tl2br w:val="nil"/>
              <w:tr2bl w:val="nil"/>
            </w:tcBorders>
            <w:vAlign w:val="center"/>
          </w:tcPr>
          <w:p w14:paraId="709F0568">
            <w:pPr>
              <w:jc w:val="center"/>
              <w:rPr>
                <w:color w:val="auto"/>
                <w:szCs w:val="21"/>
                <w:lang w:val="zh-CN" w:bidi="zh-CN"/>
              </w:rPr>
            </w:pPr>
            <w:r>
              <w:rPr>
                <w:color w:val="auto"/>
                <w:szCs w:val="21"/>
                <w:lang w:val="zh-CN" w:bidi="zh-CN"/>
              </w:rPr>
              <w:t>环境中度敏感区（E2）</w:t>
            </w:r>
          </w:p>
        </w:tc>
        <w:tc>
          <w:tcPr>
            <w:tcW w:w="1855" w:type="dxa"/>
            <w:tcBorders>
              <w:tl2br w:val="nil"/>
              <w:tr2bl w:val="nil"/>
            </w:tcBorders>
            <w:vAlign w:val="center"/>
          </w:tcPr>
          <w:p w14:paraId="37A7A417">
            <w:pPr>
              <w:jc w:val="center"/>
              <w:rPr>
                <w:color w:val="auto"/>
                <w:szCs w:val="21"/>
                <w:lang w:val="zh-CN" w:bidi="zh-CN"/>
              </w:rPr>
            </w:pPr>
            <w:r>
              <w:rPr>
                <w:color w:val="auto"/>
                <w:szCs w:val="21"/>
                <w:lang w:val="zh-CN" w:bidi="zh-CN"/>
              </w:rPr>
              <w:t>Ⅳ</w:t>
            </w:r>
          </w:p>
        </w:tc>
        <w:tc>
          <w:tcPr>
            <w:tcW w:w="1788" w:type="dxa"/>
            <w:tcBorders>
              <w:tl2br w:val="nil"/>
              <w:tr2bl w:val="nil"/>
            </w:tcBorders>
            <w:vAlign w:val="center"/>
          </w:tcPr>
          <w:p w14:paraId="180817C4">
            <w:pPr>
              <w:jc w:val="center"/>
              <w:rPr>
                <w:color w:val="auto"/>
                <w:szCs w:val="21"/>
                <w:lang w:val="zh-CN" w:bidi="zh-CN"/>
              </w:rPr>
            </w:pPr>
            <w:r>
              <w:rPr>
                <w:color w:val="auto"/>
                <w:szCs w:val="21"/>
                <w:lang w:val="zh-CN" w:bidi="zh-CN"/>
              </w:rPr>
              <w:t>Ⅲ</w:t>
            </w:r>
          </w:p>
        </w:tc>
        <w:tc>
          <w:tcPr>
            <w:tcW w:w="1731" w:type="dxa"/>
            <w:tcBorders>
              <w:tl2br w:val="nil"/>
              <w:tr2bl w:val="nil"/>
            </w:tcBorders>
            <w:vAlign w:val="center"/>
          </w:tcPr>
          <w:p w14:paraId="622C98CA">
            <w:pPr>
              <w:jc w:val="center"/>
              <w:rPr>
                <w:color w:val="auto"/>
                <w:szCs w:val="21"/>
                <w:lang w:val="zh-CN" w:bidi="zh-CN"/>
              </w:rPr>
            </w:pPr>
            <w:r>
              <w:rPr>
                <w:color w:val="auto"/>
                <w:szCs w:val="21"/>
                <w:lang w:val="zh-CN" w:bidi="zh-CN"/>
              </w:rPr>
              <w:t>Ⅲ</w:t>
            </w:r>
          </w:p>
        </w:tc>
        <w:tc>
          <w:tcPr>
            <w:tcW w:w="1711" w:type="dxa"/>
            <w:tcBorders>
              <w:tl2br w:val="nil"/>
              <w:tr2bl w:val="nil"/>
            </w:tcBorders>
            <w:vAlign w:val="center"/>
          </w:tcPr>
          <w:p w14:paraId="7FDFCE4B">
            <w:pPr>
              <w:jc w:val="center"/>
              <w:rPr>
                <w:color w:val="auto"/>
                <w:szCs w:val="21"/>
                <w:lang w:val="zh-CN" w:bidi="zh-CN"/>
              </w:rPr>
            </w:pPr>
            <w:r>
              <w:rPr>
                <w:color w:val="auto"/>
                <w:szCs w:val="21"/>
                <w:lang w:val="zh-CN" w:bidi="zh-CN"/>
              </w:rPr>
              <w:t>Ⅱ</w:t>
            </w:r>
          </w:p>
        </w:tc>
      </w:tr>
      <w:tr w14:paraId="268BE7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tcBorders>
              <w:tl2br w:val="nil"/>
              <w:tr2bl w:val="nil"/>
            </w:tcBorders>
            <w:vAlign w:val="center"/>
          </w:tcPr>
          <w:p w14:paraId="6D5C79F8">
            <w:pPr>
              <w:jc w:val="center"/>
              <w:rPr>
                <w:color w:val="auto"/>
                <w:szCs w:val="21"/>
                <w:lang w:val="zh-CN" w:bidi="zh-CN"/>
              </w:rPr>
            </w:pPr>
            <w:r>
              <w:rPr>
                <w:color w:val="auto"/>
                <w:szCs w:val="21"/>
                <w:lang w:val="zh-CN" w:bidi="zh-CN"/>
              </w:rPr>
              <w:t>环境低度敏感区（E3）</w:t>
            </w:r>
          </w:p>
        </w:tc>
        <w:tc>
          <w:tcPr>
            <w:tcW w:w="1855" w:type="dxa"/>
            <w:tcBorders>
              <w:tl2br w:val="nil"/>
              <w:tr2bl w:val="nil"/>
            </w:tcBorders>
            <w:vAlign w:val="center"/>
          </w:tcPr>
          <w:p w14:paraId="6BFA9994">
            <w:pPr>
              <w:jc w:val="center"/>
              <w:rPr>
                <w:color w:val="auto"/>
                <w:szCs w:val="21"/>
                <w:lang w:val="zh-CN" w:bidi="zh-CN"/>
              </w:rPr>
            </w:pPr>
            <w:r>
              <w:rPr>
                <w:color w:val="auto"/>
                <w:szCs w:val="21"/>
                <w:lang w:val="zh-CN" w:bidi="zh-CN"/>
              </w:rPr>
              <w:t>Ⅲ</w:t>
            </w:r>
          </w:p>
        </w:tc>
        <w:tc>
          <w:tcPr>
            <w:tcW w:w="1788" w:type="dxa"/>
            <w:tcBorders>
              <w:tl2br w:val="nil"/>
              <w:tr2bl w:val="nil"/>
            </w:tcBorders>
            <w:vAlign w:val="center"/>
          </w:tcPr>
          <w:p w14:paraId="4D9CB1F5">
            <w:pPr>
              <w:jc w:val="center"/>
              <w:rPr>
                <w:color w:val="auto"/>
                <w:szCs w:val="21"/>
                <w:lang w:val="zh-CN" w:bidi="zh-CN"/>
              </w:rPr>
            </w:pPr>
            <w:r>
              <w:rPr>
                <w:color w:val="auto"/>
                <w:szCs w:val="21"/>
                <w:lang w:val="zh-CN" w:bidi="zh-CN"/>
              </w:rPr>
              <w:t>Ⅲ</w:t>
            </w:r>
          </w:p>
        </w:tc>
        <w:tc>
          <w:tcPr>
            <w:tcW w:w="1731" w:type="dxa"/>
            <w:tcBorders>
              <w:tl2br w:val="nil"/>
              <w:tr2bl w:val="nil"/>
            </w:tcBorders>
            <w:vAlign w:val="center"/>
          </w:tcPr>
          <w:p w14:paraId="513EE776">
            <w:pPr>
              <w:jc w:val="center"/>
              <w:rPr>
                <w:color w:val="auto"/>
                <w:szCs w:val="21"/>
                <w:lang w:val="zh-CN" w:bidi="zh-CN"/>
              </w:rPr>
            </w:pPr>
            <w:r>
              <w:rPr>
                <w:color w:val="auto"/>
                <w:szCs w:val="21"/>
                <w:lang w:val="zh-CN" w:bidi="zh-CN"/>
              </w:rPr>
              <w:t>Ⅱ</w:t>
            </w:r>
          </w:p>
        </w:tc>
        <w:tc>
          <w:tcPr>
            <w:tcW w:w="1711" w:type="dxa"/>
            <w:tcBorders>
              <w:tl2br w:val="nil"/>
              <w:tr2bl w:val="nil"/>
            </w:tcBorders>
            <w:vAlign w:val="center"/>
          </w:tcPr>
          <w:p w14:paraId="79D089F9">
            <w:pPr>
              <w:jc w:val="center"/>
              <w:rPr>
                <w:color w:val="auto"/>
                <w:szCs w:val="21"/>
                <w:lang w:val="zh-CN" w:bidi="zh-CN"/>
              </w:rPr>
            </w:pPr>
            <w:r>
              <w:rPr>
                <w:color w:val="auto"/>
                <w:szCs w:val="21"/>
                <w:lang w:val="zh-CN" w:bidi="zh-CN"/>
              </w:rPr>
              <w:t>Ⅰ</w:t>
            </w:r>
          </w:p>
        </w:tc>
      </w:tr>
      <w:tr w14:paraId="677706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9320" w:type="dxa"/>
            <w:gridSpan w:val="5"/>
            <w:tcBorders>
              <w:tl2br w:val="nil"/>
              <w:tr2bl w:val="nil"/>
            </w:tcBorders>
            <w:vAlign w:val="center"/>
          </w:tcPr>
          <w:p w14:paraId="54F63A43">
            <w:pPr>
              <w:jc w:val="center"/>
              <w:rPr>
                <w:color w:val="auto"/>
                <w:szCs w:val="21"/>
                <w:lang w:val="zh-CN" w:bidi="zh-CN"/>
              </w:rPr>
            </w:pPr>
            <w:r>
              <w:rPr>
                <w:color w:val="auto"/>
                <w:szCs w:val="21"/>
                <w:lang w:val="zh-CN" w:bidi="zh-CN"/>
              </w:rPr>
              <w:t>注：Ⅳ</w:t>
            </w:r>
            <w:r>
              <w:rPr>
                <w:color w:val="auto"/>
                <w:szCs w:val="21"/>
                <w:vertAlign w:val="superscript"/>
                <w:lang w:val="zh-CN" w:bidi="zh-CN"/>
              </w:rPr>
              <w:t>+</w:t>
            </w:r>
            <w:r>
              <w:rPr>
                <w:color w:val="auto"/>
                <w:szCs w:val="21"/>
                <w:lang w:val="zh-CN" w:bidi="zh-CN"/>
              </w:rPr>
              <w:t>为极高环境风险</w:t>
            </w:r>
          </w:p>
        </w:tc>
      </w:tr>
    </w:tbl>
    <w:p w14:paraId="2AF2A6CB">
      <w:pPr>
        <w:adjustRightInd w:val="0"/>
        <w:snapToGrid w:val="0"/>
        <w:spacing w:line="360" w:lineRule="auto"/>
        <w:ind w:firstLine="480" w:firstLineChars="200"/>
        <w:rPr>
          <w:color w:val="auto"/>
          <w:sz w:val="24"/>
        </w:rPr>
      </w:pPr>
      <w:r>
        <w:rPr>
          <w:rFonts w:hint="eastAsia"/>
          <w:color w:val="auto"/>
          <w:sz w:val="24"/>
        </w:rPr>
        <w:t>根据表3-</w:t>
      </w:r>
      <w:r>
        <w:rPr>
          <w:rFonts w:hint="eastAsia"/>
          <w:color w:val="auto"/>
          <w:sz w:val="24"/>
          <w:lang w:val="en-US" w:eastAsia="zh-CN"/>
        </w:rPr>
        <w:t>8</w:t>
      </w:r>
      <w:r>
        <w:rPr>
          <w:rFonts w:hint="eastAsia"/>
          <w:color w:val="auto"/>
          <w:sz w:val="24"/>
        </w:rPr>
        <w:t>本项目大气环境环境的风险潜势均为Ⅱ，地表水</w:t>
      </w:r>
      <w:r>
        <w:rPr>
          <w:rFonts w:hint="eastAsia"/>
          <w:color w:val="auto"/>
          <w:sz w:val="24"/>
          <w:lang w:eastAsia="zh-CN"/>
        </w:rPr>
        <w:t>、</w:t>
      </w:r>
      <w:r>
        <w:rPr>
          <w:rFonts w:hint="eastAsia"/>
          <w:color w:val="auto"/>
          <w:sz w:val="24"/>
        </w:rPr>
        <w:t>地下水的风险潜势</w:t>
      </w:r>
      <w:r>
        <w:rPr>
          <w:rFonts w:hint="eastAsia"/>
          <w:color w:val="auto"/>
          <w:sz w:val="24"/>
          <w:lang w:eastAsia="zh-CN"/>
        </w:rPr>
        <w:t>均为</w:t>
      </w:r>
      <w:r>
        <w:rPr>
          <w:rFonts w:hint="eastAsia"/>
          <w:color w:val="auto"/>
          <w:sz w:val="24"/>
        </w:rPr>
        <w:t>Ⅰ，因此本项目环境风险潜势综合等级为Ⅱ。</w:t>
      </w:r>
    </w:p>
    <w:p w14:paraId="0916AA4B">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3.3.2环境风险评价等级的确定</w:t>
      </w:r>
    </w:p>
    <w:p w14:paraId="7C3DE320">
      <w:pPr>
        <w:adjustRightInd w:val="0"/>
        <w:snapToGrid w:val="0"/>
        <w:spacing w:line="360" w:lineRule="auto"/>
        <w:ind w:firstLine="480" w:firstLineChars="200"/>
        <w:rPr>
          <w:color w:val="auto"/>
          <w:sz w:val="24"/>
        </w:rPr>
      </w:pPr>
      <w:r>
        <w:rPr>
          <w:rFonts w:hint="eastAsia"/>
          <w:color w:val="auto"/>
          <w:sz w:val="24"/>
        </w:rPr>
        <w:t>《建设项目环境风险评价技术导则》（HJ/T169-2018）给出的评价工作等级确定原则见3-</w:t>
      </w:r>
      <w:r>
        <w:rPr>
          <w:rFonts w:hint="eastAsia"/>
          <w:color w:val="auto"/>
          <w:sz w:val="24"/>
          <w:lang w:val="en-US" w:eastAsia="zh-CN"/>
        </w:rPr>
        <w:t>10</w:t>
      </w:r>
      <w:r>
        <w:rPr>
          <w:rFonts w:hint="eastAsia"/>
          <w:color w:val="auto"/>
          <w:sz w:val="24"/>
        </w:rPr>
        <w:t>。</w:t>
      </w:r>
    </w:p>
    <w:p w14:paraId="6A334A5C">
      <w:pPr>
        <w:spacing w:line="360" w:lineRule="auto"/>
        <w:jc w:val="center"/>
        <w:rPr>
          <w:b/>
          <w:color w:val="auto"/>
          <w:sz w:val="24"/>
        </w:rPr>
      </w:pPr>
      <w:r>
        <w:rPr>
          <w:b/>
          <w:color w:val="auto"/>
          <w:sz w:val="24"/>
        </w:rPr>
        <w:t>表3-</w:t>
      </w:r>
      <w:r>
        <w:rPr>
          <w:rFonts w:hint="eastAsia"/>
          <w:b/>
          <w:color w:val="auto"/>
          <w:sz w:val="24"/>
        </w:rPr>
        <w:t xml:space="preserve">10 </w:t>
      </w:r>
      <w:r>
        <w:rPr>
          <w:b/>
          <w:color w:val="auto"/>
          <w:sz w:val="24"/>
        </w:rPr>
        <w:t>环境风险评价工作等级划分</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311"/>
        <w:gridCol w:w="1918"/>
        <w:gridCol w:w="1849"/>
        <w:gridCol w:w="1790"/>
        <w:gridCol w:w="1769"/>
      </w:tblGrid>
      <w:tr w14:paraId="78D8E6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tcBorders>
              <w:tl2br w:val="nil"/>
              <w:tr2bl w:val="nil"/>
            </w:tcBorders>
            <w:vAlign w:val="center"/>
          </w:tcPr>
          <w:p w14:paraId="5800F67E">
            <w:pPr>
              <w:jc w:val="center"/>
              <w:rPr>
                <w:bCs/>
                <w:color w:val="auto"/>
                <w:szCs w:val="21"/>
                <w:lang w:val="zh-CN" w:bidi="zh-CN"/>
              </w:rPr>
            </w:pPr>
            <w:r>
              <w:rPr>
                <w:bCs/>
                <w:color w:val="auto"/>
                <w:szCs w:val="21"/>
                <w:lang w:val="zh-CN" w:bidi="zh-CN"/>
              </w:rPr>
              <w:t>环境风险潜势</w:t>
            </w:r>
          </w:p>
        </w:tc>
        <w:tc>
          <w:tcPr>
            <w:tcW w:w="1855" w:type="dxa"/>
            <w:tcBorders>
              <w:tl2br w:val="nil"/>
              <w:tr2bl w:val="nil"/>
            </w:tcBorders>
            <w:vAlign w:val="center"/>
          </w:tcPr>
          <w:p w14:paraId="67A429E4">
            <w:pPr>
              <w:jc w:val="center"/>
              <w:rPr>
                <w:color w:val="auto"/>
                <w:szCs w:val="21"/>
                <w:lang w:val="zh-CN" w:bidi="zh-CN"/>
              </w:rPr>
            </w:pPr>
            <w:r>
              <w:rPr>
                <w:color w:val="auto"/>
                <w:szCs w:val="21"/>
                <w:lang w:val="zh-CN" w:bidi="zh-CN"/>
              </w:rPr>
              <w:t>Ⅳ</w:t>
            </w:r>
            <w:r>
              <w:rPr>
                <w:color w:val="auto"/>
                <w:szCs w:val="21"/>
                <w:vertAlign w:val="superscript"/>
                <w:lang w:val="zh-CN" w:bidi="zh-CN"/>
              </w:rPr>
              <w:t>+</w:t>
            </w:r>
            <w:r>
              <w:rPr>
                <w:color w:val="auto"/>
                <w:szCs w:val="21"/>
                <w:lang w:val="zh-CN" w:bidi="zh-CN"/>
              </w:rPr>
              <w:t>、Ⅳ</w:t>
            </w:r>
          </w:p>
        </w:tc>
        <w:tc>
          <w:tcPr>
            <w:tcW w:w="1788" w:type="dxa"/>
            <w:tcBorders>
              <w:tl2br w:val="nil"/>
              <w:tr2bl w:val="nil"/>
            </w:tcBorders>
            <w:vAlign w:val="center"/>
          </w:tcPr>
          <w:p w14:paraId="1C7FDDC4">
            <w:pPr>
              <w:jc w:val="center"/>
              <w:rPr>
                <w:color w:val="auto"/>
                <w:szCs w:val="21"/>
                <w:lang w:val="zh-CN" w:bidi="zh-CN"/>
              </w:rPr>
            </w:pPr>
            <w:r>
              <w:rPr>
                <w:color w:val="auto"/>
                <w:szCs w:val="21"/>
                <w:lang w:val="zh-CN" w:bidi="zh-CN"/>
              </w:rPr>
              <w:t>Ⅲ</w:t>
            </w:r>
          </w:p>
        </w:tc>
        <w:tc>
          <w:tcPr>
            <w:tcW w:w="1731" w:type="dxa"/>
            <w:tcBorders>
              <w:tl2br w:val="nil"/>
              <w:tr2bl w:val="nil"/>
            </w:tcBorders>
            <w:vAlign w:val="center"/>
          </w:tcPr>
          <w:p w14:paraId="31800A8E">
            <w:pPr>
              <w:jc w:val="center"/>
              <w:rPr>
                <w:color w:val="auto"/>
                <w:szCs w:val="21"/>
                <w:lang w:val="zh-CN" w:bidi="zh-CN"/>
              </w:rPr>
            </w:pPr>
            <w:r>
              <w:rPr>
                <w:color w:val="auto"/>
                <w:szCs w:val="21"/>
                <w:lang w:val="zh-CN" w:bidi="zh-CN"/>
              </w:rPr>
              <w:t>Ⅱ</w:t>
            </w:r>
          </w:p>
        </w:tc>
        <w:tc>
          <w:tcPr>
            <w:tcW w:w="1711" w:type="dxa"/>
            <w:tcBorders>
              <w:tl2br w:val="nil"/>
              <w:tr2bl w:val="nil"/>
            </w:tcBorders>
            <w:vAlign w:val="center"/>
          </w:tcPr>
          <w:p w14:paraId="3C8D9419">
            <w:pPr>
              <w:jc w:val="center"/>
              <w:rPr>
                <w:color w:val="auto"/>
                <w:szCs w:val="21"/>
                <w:lang w:val="zh-CN" w:bidi="zh-CN"/>
              </w:rPr>
            </w:pPr>
            <w:r>
              <w:rPr>
                <w:color w:val="auto"/>
                <w:szCs w:val="21"/>
                <w:lang w:val="zh-CN" w:bidi="zh-CN"/>
              </w:rPr>
              <w:t>Ⅰ</w:t>
            </w:r>
          </w:p>
        </w:tc>
      </w:tr>
      <w:tr w14:paraId="2B789B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35" w:type="dxa"/>
            <w:tcBorders>
              <w:tl2br w:val="nil"/>
              <w:tr2bl w:val="nil"/>
            </w:tcBorders>
            <w:vAlign w:val="center"/>
          </w:tcPr>
          <w:p w14:paraId="7106B3B6">
            <w:pPr>
              <w:jc w:val="center"/>
              <w:rPr>
                <w:bCs/>
                <w:color w:val="auto"/>
                <w:szCs w:val="21"/>
                <w:lang w:val="zh-CN" w:bidi="zh-CN"/>
              </w:rPr>
            </w:pPr>
            <w:r>
              <w:rPr>
                <w:bCs/>
                <w:color w:val="auto"/>
                <w:szCs w:val="21"/>
                <w:lang w:val="zh-CN" w:bidi="zh-CN"/>
              </w:rPr>
              <w:t>评价工作等级</w:t>
            </w:r>
          </w:p>
        </w:tc>
        <w:tc>
          <w:tcPr>
            <w:tcW w:w="1855" w:type="dxa"/>
            <w:tcBorders>
              <w:tl2br w:val="nil"/>
              <w:tr2bl w:val="nil"/>
            </w:tcBorders>
            <w:vAlign w:val="center"/>
          </w:tcPr>
          <w:p w14:paraId="5796B337">
            <w:pPr>
              <w:jc w:val="center"/>
              <w:rPr>
                <w:color w:val="auto"/>
                <w:szCs w:val="21"/>
                <w:lang w:val="zh-CN" w:bidi="zh-CN"/>
              </w:rPr>
            </w:pPr>
            <w:r>
              <w:rPr>
                <w:color w:val="auto"/>
                <w:szCs w:val="21"/>
                <w:lang w:val="zh-CN" w:bidi="zh-CN"/>
              </w:rPr>
              <w:t>一</w:t>
            </w:r>
          </w:p>
        </w:tc>
        <w:tc>
          <w:tcPr>
            <w:tcW w:w="1788" w:type="dxa"/>
            <w:tcBorders>
              <w:tl2br w:val="nil"/>
              <w:tr2bl w:val="nil"/>
            </w:tcBorders>
            <w:vAlign w:val="center"/>
          </w:tcPr>
          <w:p w14:paraId="1F29B12B">
            <w:pPr>
              <w:jc w:val="center"/>
              <w:rPr>
                <w:color w:val="auto"/>
                <w:szCs w:val="21"/>
                <w:lang w:val="zh-CN" w:bidi="zh-CN"/>
              </w:rPr>
            </w:pPr>
            <w:r>
              <w:rPr>
                <w:color w:val="auto"/>
                <w:szCs w:val="21"/>
                <w:lang w:val="zh-CN" w:bidi="zh-CN"/>
              </w:rPr>
              <w:t>二</w:t>
            </w:r>
          </w:p>
        </w:tc>
        <w:tc>
          <w:tcPr>
            <w:tcW w:w="1731" w:type="dxa"/>
            <w:tcBorders>
              <w:tl2br w:val="nil"/>
              <w:tr2bl w:val="nil"/>
            </w:tcBorders>
            <w:vAlign w:val="center"/>
          </w:tcPr>
          <w:p w14:paraId="2779182C">
            <w:pPr>
              <w:jc w:val="center"/>
              <w:rPr>
                <w:color w:val="auto"/>
                <w:szCs w:val="21"/>
                <w:lang w:val="zh-CN" w:bidi="zh-CN"/>
              </w:rPr>
            </w:pPr>
            <w:r>
              <w:rPr>
                <w:color w:val="auto"/>
                <w:szCs w:val="21"/>
                <w:lang w:val="zh-CN" w:bidi="zh-CN"/>
              </w:rPr>
              <w:t>三</w:t>
            </w:r>
          </w:p>
        </w:tc>
        <w:tc>
          <w:tcPr>
            <w:tcW w:w="1711" w:type="dxa"/>
            <w:tcBorders>
              <w:tl2br w:val="nil"/>
              <w:tr2bl w:val="nil"/>
            </w:tcBorders>
            <w:vAlign w:val="center"/>
          </w:tcPr>
          <w:p w14:paraId="15762126">
            <w:pPr>
              <w:jc w:val="center"/>
              <w:rPr>
                <w:color w:val="auto"/>
                <w:szCs w:val="21"/>
                <w:lang w:val="zh-CN" w:bidi="zh-CN"/>
              </w:rPr>
            </w:pPr>
            <w:r>
              <w:rPr>
                <w:color w:val="auto"/>
                <w:szCs w:val="21"/>
                <w:lang w:val="zh-CN" w:bidi="zh-CN"/>
              </w:rPr>
              <w:t>简单分析</w:t>
            </w:r>
          </w:p>
        </w:tc>
      </w:tr>
    </w:tbl>
    <w:p w14:paraId="7D429801">
      <w:pPr>
        <w:adjustRightInd w:val="0"/>
        <w:snapToGrid w:val="0"/>
        <w:spacing w:line="360" w:lineRule="auto"/>
        <w:ind w:firstLine="480" w:firstLineChars="200"/>
        <w:rPr>
          <w:color w:val="auto"/>
          <w:sz w:val="24"/>
        </w:rPr>
      </w:pPr>
      <w:r>
        <w:rPr>
          <w:rFonts w:hint="eastAsia"/>
          <w:color w:val="auto"/>
          <w:sz w:val="24"/>
        </w:rPr>
        <w:t>根据《建设项目环境风险评价技术导则》（HJ169-2018）的规定，确定本项目环境风险评价等级为三级。</w:t>
      </w:r>
    </w:p>
    <w:p w14:paraId="55F8FA6C">
      <w:pPr>
        <w:pStyle w:val="2"/>
        <w:pageBreakBefore/>
        <w:spacing w:before="323" w:beforeLines="100" w:after="323" w:afterLines="100" w:line="480" w:lineRule="exact"/>
        <w:ind w:left="0"/>
        <w:rPr>
          <w:color w:val="auto"/>
          <w:sz w:val="32"/>
          <w:szCs w:val="32"/>
        </w:rPr>
      </w:pPr>
      <w:bookmarkStart w:id="116" w:name="_Toc8834"/>
      <w:bookmarkStart w:id="117" w:name="_Toc7050"/>
      <w:bookmarkStart w:id="118" w:name="_Toc24404"/>
      <w:bookmarkStart w:id="119" w:name="_Toc25652"/>
      <w:r>
        <w:rPr>
          <w:color w:val="auto"/>
          <w:sz w:val="32"/>
          <w:szCs w:val="32"/>
        </w:rPr>
        <w:t>4环境风险识别</w:t>
      </w:r>
      <w:bookmarkEnd w:id="116"/>
      <w:bookmarkEnd w:id="117"/>
      <w:bookmarkEnd w:id="118"/>
      <w:bookmarkEnd w:id="119"/>
    </w:p>
    <w:p w14:paraId="75ACE7D7">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4.1物质危险性识别</w:t>
      </w:r>
    </w:p>
    <w:p w14:paraId="3951CCFC">
      <w:pPr>
        <w:pStyle w:val="18"/>
        <w:spacing w:line="360" w:lineRule="auto"/>
        <w:rPr>
          <w:rFonts w:hint="default" w:ascii="Times New Roman" w:hAnsi="Times New Roman"/>
          <w:b/>
          <w:bCs/>
          <w:color w:val="auto"/>
          <w:sz w:val="24"/>
          <w:szCs w:val="24"/>
        </w:rPr>
      </w:pPr>
      <w:bookmarkStart w:id="120" w:name="_Toc128486819"/>
      <w:bookmarkStart w:id="121" w:name="_Toc126660541"/>
      <w:bookmarkStart w:id="122" w:name="_Toc117113804"/>
      <w:r>
        <w:rPr>
          <w:rFonts w:ascii="Times New Roman" w:hAnsi="Times New Roman"/>
          <w:b/>
          <w:bCs/>
          <w:color w:val="auto"/>
          <w:sz w:val="24"/>
          <w:szCs w:val="24"/>
        </w:rPr>
        <w:t>4</w:t>
      </w:r>
      <w:r>
        <w:rPr>
          <w:rFonts w:hint="default" w:ascii="Times New Roman" w:hAnsi="Times New Roman"/>
          <w:b/>
          <w:bCs/>
          <w:color w:val="auto"/>
          <w:sz w:val="24"/>
          <w:szCs w:val="24"/>
        </w:rPr>
        <w:t>.1.1</w:t>
      </w:r>
      <w:r>
        <w:rPr>
          <w:rFonts w:ascii="Times New Roman" w:hAnsi="Times New Roman"/>
          <w:b/>
          <w:bCs/>
          <w:color w:val="auto"/>
          <w:sz w:val="24"/>
          <w:szCs w:val="24"/>
        </w:rPr>
        <w:t>风险物质识别</w:t>
      </w:r>
      <w:bookmarkEnd w:id="120"/>
      <w:bookmarkEnd w:id="121"/>
      <w:bookmarkEnd w:id="122"/>
    </w:p>
    <w:p w14:paraId="32B6DEFA">
      <w:pPr>
        <w:adjustRightInd w:val="0"/>
        <w:snapToGrid w:val="0"/>
        <w:spacing w:line="360" w:lineRule="auto"/>
        <w:ind w:firstLine="480" w:firstLineChars="200"/>
        <w:rPr>
          <w:color w:val="auto"/>
          <w:sz w:val="24"/>
        </w:rPr>
      </w:pPr>
      <w:r>
        <w:rPr>
          <w:rFonts w:hint="eastAsia"/>
          <w:color w:val="auto"/>
          <w:sz w:val="24"/>
        </w:rPr>
        <w:t>物质危险性识别范围包括：主要原辅材料、燃料、中间产品、副产品、最终产品、污染物、火灾和爆炸伴生/次生物等。根据《危险化学品目录》（2015版）和《建设项目环境风险评价技术导则》（HJ169-2018），本项目危险物质为正己烷。环境风险物质理化性质及危险特性见表4-1。</w:t>
      </w:r>
    </w:p>
    <w:p w14:paraId="404FA6AA">
      <w:pPr>
        <w:spacing w:line="360" w:lineRule="auto"/>
        <w:jc w:val="center"/>
        <w:rPr>
          <w:b/>
          <w:color w:val="auto"/>
          <w:sz w:val="24"/>
        </w:rPr>
      </w:pPr>
      <w:r>
        <w:rPr>
          <w:b/>
          <w:color w:val="auto"/>
          <w:sz w:val="24"/>
        </w:rPr>
        <w:t>表4-1</w:t>
      </w:r>
      <w:r>
        <w:rPr>
          <w:rFonts w:hint="eastAsia"/>
          <w:b/>
          <w:color w:val="auto"/>
          <w:sz w:val="24"/>
        </w:rPr>
        <w:t xml:space="preserve"> 正己烷</w:t>
      </w:r>
      <w:r>
        <w:rPr>
          <w:b/>
          <w:color w:val="auto"/>
          <w:sz w:val="24"/>
        </w:rPr>
        <w:t>的理化性质及危险特性</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565"/>
        <w:gridCol w:w="1790"/>
        <w:gridCol w:w="1171"/>
        <w:gridCol w:w="229"/>
        <w:gridCol w:w="338"/>
        <w:gridCol w:w="1107"/>
        <w:gridCol w:w="292"/>
        <w:gridCol w:w="798"/>
        <w:gridCol w:w="241"/>
        <w:gridCol w:w="1382"/>
        <w:gridCol w:w="697"/>
        <w:gridCol w:w="1027"/>
      </w:tblGrid>
      <w:tr w14:paraId="645EFE4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restart"/>
            <w:tcBorders>
              <w:tl2br w:val="nil"/>
              <w:tr2bl w:val="nil"/>
            </w:tcBorders>
            <w:vAlign w:val="center"/>
          </w:tcPr>
          <w:p w14:paraId="774F4B0D">
            <w:pPr>
              <w:ind w:left="138" w:right="143"/>
              <w:jc w:val="center"/>
              <w:rPr>
                <w:color w:val="auto"/>
                <w:szCs w:val="21"/>
                <w:lang w:val="zh-CN" w:bidi="zh-CN"/>
              </w:rPr>
            </w:pPr>
            <w:r>
              <w:rPr>
                <w:color w:val="auto"/>
                <w:szCs w:val="21"/>
                <w:lang w:val="zh-CN" w:bidi="zh-CN"/>
              </w:rPr>
              <w:t>标识</w:t>
            </w:r>
          </w:p>
        </w:tc>
        <w:tc>
          <w:tcPr>
            <w:tcW w:w="5819" w:type="dxa"/>
            <w:gridSpan w:val="8"/>
            <w:tcBorders>
              <w:tl2br w:val="nil"/>
              <w:tr2bl w:val="nil"/>
            </w:tcBorders>
            <w:vAlign w:val="center"/>
          </w:tcPr>
          <w:p w14:paraId="653BDBA4">
            <w:pPr>
              <w:ind w:left="107"/>
              <w:rPr>
                <w:color w:val="auto"/>
                <w:szCs w:val="21"/>
                <w:lang w:val="zh-CN" w:bidi="zh-CN"/>
              </w:rPr>
            </w:pPr>
            <w:r>
              <w:rPr>
                <w:color w:val="auto"/>
                <w:szCs w:val="21"/>
                <w:lang w:val="zh-CN" w:bidi="zh-CN"/>
              </w:rPr>
              <w:t>中文名：</w:t>
            </w:r>
            <w:r>
              <w:rPr>
                <w:rFonts w:hint="eastAsia"/>
                <w:color w:val="auto"/>
                <w:szCs w:val="21"/>
                <w:lang w:bidi="zh-CN"/>
              </w:rPr>
              <w:t>正己烷</w:t>
            </w:r>
            <w:r>
              <w:rPr>
                <w:color w:val="auto"/>
                <w:szCs w:val="21"/>
                <w:lang w:val="zh-CN" w:bidi="zh-CN"/>
              </w:rPr>
              <w:t>；</w:t>
            </w:r>
            <w:r>
              <w:rPr>
                <w:rFonts w:hint="eastAsia"/>
                <w:color w:val="auto"/>
                <w:szCs w:val="21"/>
                <w:lang w:val="zh-CN" w:bidi="zh-CN"/>
              </w:rPr>
              <w:t>己烷</w:t>
            </w:r>
          </w:p>
        </w:tc>
        <w:tc>
          <w:tcPr>
            <w:tcW w:w="3030" w:type="dxa"/>
            <w:gridSpan w:val="3"/>
            <w:tcBorders>
              <w:tl2br w:val="nil"/>
              <w:tr2bl w:val="nil"/>
            </w:tcBorders>
            <w:vAlign w:val="center"/>
          </w:tcPr>
          <w:p w14:paraId="3EB381F7">
            <w:pPr>
              <w:ind w:left="111"/>
              <w:rPr>
                <w:color w:val="auto"/>
                <w:szCs w:val="21"/>
                <w:lang w:bidi="zh-CN"/>
              </w:rPr>
            </w:pPr>
            <w:r>
              <w:rPr>
                <w:color w:val="auto"/>
                <w:szCs w:val="21"/>
                <w:lang w:val="zh-CN" w:bidi="zh-CN"/>
              </w:rPr>
              <w:t>危险货物编号：3</w:t>
            </w:r>
            <w:r>
              <w:rPr>
                <w:rFonts w:hint="eastAsia"/>
                <w:color w:val="auto"/>
                <w:szCs w:val="21"/>
                <w:lang w:bidi="zh-CN"/>
              </w:rPr>
              <w:t>1005</w:t>
            </w:r>
          </w:p>
        </w:tc>
      </w:tr>
      <w:tr w14:paraId="390C976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49E1E617">
            <w:pPr>
              <w:jc w:val="center"/>
              <w:rPr>
                <w:color w:val="auto"/>
                <w:szCs w:val="21"/>
              </w:rPr>
            </w:pPr>
          </w:p>
        </w:tc>
        <w:tc>
          <w:tcPr>
            <w:tcW w:w="5819" w:type="dxa"/>
            <w:gridSpan w:val="8"/>
            <w:tcBorders>
              <w:tl2br w:val="nil"/>
              <w:tr2bl w:val="nil"/>
            </w:tcBorders>
            <w:vAlign w:val="center"/>
          </w:tcPr>
          <w:p w14:paraId="229AB181">
            <w:pPr>
              <w:ind w:left="107"/>
              <w:rPr>
                <w:color w:val="auto"/>
                <w:szCs w:val="21"/>
                <w:lang w:bidi="zh-CN"/>
              </w:rPr>
            </w:pPr>
            <w:r>
              <w:rPr>
                <w:color w:val="auto"/>
                <w:szCs w:val="21"/>
                <w:lang w:val="zh-CN" w:bidi="zh-CN"/>
              </w:rPr>
              <w:t>英文名</w:t>
            </w:r>
            <w:r>
              <w:rPr>
                <w:color w:val="auto"/>
                <w:szCs w:val="21"/>
                <w:lang w:bidi="zh-CN"/>
              </w:rPr>
              <w:t>：</w:t>
            </w:r>
            <w:r>
              <w:rPr>
                <w:rFonts w:hint="eastAsia"/>
                <w:color w:val="auto"/>
                <w:szCs w:val="21"/>
                <w:lang w:bidi="zh-CN"/>
              </w:rPr>
              <w:t>n-Hexane;Hexyl hydride</w:t>
            </w:r>
          </w:p>
        </w:tc>
        <w:tc>
          <w:tcPr>
            <w:tcW w:w="3030" w:type="dxa"/>
            <w:gridSpan w:val="3"/>
            <w:tcBorders>
              <w:tl2br w:val="nil"/>
              <w:tr2bl w:val="nil"/>
            </w:tcBorders>
            <w:vAlign w:val="center"/>
          </w:tcPr>
          <w:p w14:paraId="75758B12">
            <w:pPr>
              <w:ind w:left="111"/>
              <w:rPr>
                <w:color w:val="auto"/>
                <w:szCs w:val="21"/>
                <w:lang w:bidi="zh-CN"/>
              </w:rPr>
            </w:pPr>
            <w:r>
              <w:rPr>
                <w:color w:val="auto"/>
                <w:szCs w:val="21"/>
                <w:lang w:val="zh-CN" w:bidi="zh-CN"/>
              </w:rPr>
              <w:t>UN编号：12</w:t>
            </w:r>
            <w:r>
              <w:rPr>
                <w:rFonts w:hint="eastAsia"/>
                <w:color w:val="auto"/>
                <w:szCs w:val="21"/>
                <w:lang w:bidi="zh-CN"/>
              </w:rPr>
              <w:t>08</w:t>
            </w:r>
          </w:p>
        </w:tc>
      </w:tr>
      <w:tr w14:paraId="15109FB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2D0B026F">
            <w:pPr>
              <w:jc w:val="center"/>
              <w:rPr>
                <w:color w:val="auto"/>
                <w:szCs w:val="21"/>
              </w:rPr>
            </w:pPr>
          </w:p>
        </w:tc>
        <w:tc>
          <w:tcPr>
            <w:tcW w:w="3111" w:type="dxa"/>
            <w:gridSpan w:val="3"/>
            <w:tcBorders>
              <w:tl2br w:val="nil"/>
              <w:tr2bl w:val="nil"/>
            </w:tcBorders>
            <w:vAlign w:val="center"/>
          </w:tcPr>
          <w:p w14:paraId="46AF3F3E">
            <w:pPr>
              <w:ind w:left="107"/>
              <w:rPr>
                <w:color w:val="auto"/>
                <w:szCs w:val="21"/>
                <w:lang w:val="zh-CN" w:bidi="zh-CN"/>
              </w:rPr>
            </w:pPr>
            <w:r>
              <w:rPr>
                <w:color w:val="auto"/>
                <w:szCs w:val="21"/>
                <w:lang w:val="zh-CN" w:bidi="zh-CN"/>
              </w:rPr>
              <w:t>分子式：</w:t>
            </w:r>
            <w:r>
              <w:rPr>
                <w:rFonts w:hint="eastAsia"/>
                <w:color w:val="auto"/>
                <w:szCs w:val="21"/>
                <w:lang w:val="zh-CN" w:bidi="zh-CN"/>
              </w:rPr>
              <w:t>C</w:t>
            </w:r>
            <w:r>
              <w:rPr>
                <w:rFonts w:hint="eastAsia"/>
                <w:color w:val="auto"/>
                <w:szCs w:val="21"/>
                <w:vertAlign w:val="subscript"/>
                <w:lang w:val="zh-CN" w:bidi="zh-CN"/>
              </w:rPr>
              <w:t>6</w:t>
            </w:r>
            <w:r>
              <w:rPr>
                <w:rFonts w:hint="eastAsia"/>
                <w:color w:val="auto"/>
                <w:szCs w:val="21"/>
                <w:lang w:val="zh-CN" w:bidi="zh-CN"/>
              </w:rPr>
              <w:t>H</w:t>
            </w:r>
            <w:r>
              <w:rPr>
                <w:rFonts w:hint="eastAsia"/>
                <w:color w:val="auto"/>
                <w:szCs w:val="21"/>
                <w:vertAlign w:val="subscript"/>
                <w:lang w:val="zh-CN" w:bidi="zh-CN"/>
              </w:rPr>
              <w:t>14</w:t>
            </w:r>
          </w:p>
        </w:tc>
        <w:tc>
          <w:tcPr>
            <w:tcW w:w="2708" w:type="dxa"/>
            <w:gridSpan w:val="5"/>
            <w:tcBorders>
              <w:tl2br w:val="nil"/>
              <w:tr2bl w:val="nil"/>
            </w:tcBorders>
            <w:vAlign w:val="center"/>
          </w:tcPr>
          <w:p w14:paraId="534C436C">
            <w:pPr>
              <w:ind w:left="107"/>
              <w:rPr>
                <w:color w:val="auto"/>
                <w:szCs w:val="21"/>
                <w:lang w:bidi="zh-CN"/>
              </w:rPr>
            </w:pPr>
            <w:r>
              <w:rPr>
                <w:color w:val="auto"/>
                <w:szCs w:val="21"/>
                <w:lang w:val="zh-CN" w:bidi="zh-CN"/>
              </w:rPr>
              <w:t>分子量：</w:t>
            </w:r>
            <w:r>
              <w:rPr>
                <w:rFonts w:hint="eastAsia"/>
                <w:color w:val="auto"/>
                <w:szCs w:val="21"/>
                <w:lang w:bidi="zh-CN"/>
              </w:rPr>
              <w:t>86.18</w:t>
            </w:r>
          </w:p>
        </w:tc>
        <w:tc>
          <w:tcPr>
            <w:tcW w:w="3030" w:type="dxa"/>
            <w:gridSpan w:val="3"/>
            <w:tcBorders>
              <w:tl2br w:val="nil"/>
              <w:tr2bl w:val="nil"/>
            </w:tcBorders>
            <w:vAlign w:val="center"/>
          </w:tcPr>
          <w:p w14:paraId="7D11E5CC">
            <w:pPr>
              <w:ind w:left="111"/>
              <w:rPr>
                <w:color w:val="auto"/>
                <w:szCs w:val="21"/>
                <w:lang w:val="zh-CN" w:bidi="zh-CN"/>
              </w:rPr>
            </w:pPr>
            <w:r>
              <w:rPr>
                <w:color w:val="auto"/>
                <w:szCs w:val="21"/>
                <w:lang w:val="zh-CN" w:bidi="zh-CN"/>
              </w:rPr>
              <w:t>CAS号：</w:t>
            </w:r>
            <w:r>
              <w:rPr>
                <w:rFonts w:hint="eastAsia"/>
                <w:color w:val="auto"/>
                <w:szCs w:val="21"/>
                <w:lang w:val="zh-CN" w:bidi="zh-CN"/>
              </w:rPr>
              <w:t>110-54-3</w:t>
            </w:r>
          </w:p>
        </w:tc>
      </w:tr>
      <w:tr w14:paraId="78A4E39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restart"/>
            <w:tcBorders>
              <w:tl2br w:val="nil"/>
              <w:tr2bl w:val="nil"/>
            </w:tcBorders>
            <w:vAlign w:val="center"/>
          </w:tcPr>
          <w:p w14:paraId="6448852B">
            <w:pPr>
              <w:spacing w:before="1"/>
              <w:ind w:left="138" w:right="143"/>
              <w:jc w:val="center"/>
              <w:rPr>
                <w:color w:val="auto"/>
                <w:szCs w:val="21"/>
                <w:lang w:val="zh-CN" w:bidi="zh-CN"/>
              </w:rPr>
            </w:pPr>
            <w:r>
              <w:rPr>
                <w:color w:val="auto"/>
                <w:szCs w:val="21"/>
                <w:lang w:val="zh-CN" w:bidi="zh-CN"/>
              </w:rPr>
              <w:t>理化性质</w:t>
            </w:r>
          </w:p>
        </w:tc>
        <w:tc>
          <w:tcPr>
            <w:tcW w:w="1746" w:type="dxa"/>
            <w:tcBorders>
              <w:tl2br w:val="nil"/>
              <w:tr2bl w:val="nil"/>
            </w:tcBorders>
            <w:vAlign w:val="center"/>
          </w:tcPr>
          <w:p w14:paraId="20C6034E">
            <w:pPr>
              <w:ind w:left="185" w:right="83" w:hanging="184" w:hangingChars="88"/>
              <w:jc w:val="center"/>
              <w:rPr>
                <w:color w:val="auto"/>
                <w:szCs w:val="21"/>
                <w:lang w:val="zh-CN" w:bidi="zh-CN"/>
              </w:rPr>
            </w:pPr>
            <w:r>
              <w:rPr>
                <w:color w:val="auto"/>
                <w:szCs w:val="21"/>
                <w:lang w:val="zh-CN" w:bidi="zh-CN"/>
              </w:rPr>
              <w:t>外观与性状</w:t>
            </w:r>
          </w:p>
        </w:tc>
        <w:tc>
          <w:tcPr>
            <w:tcW w:w="7103" w:type="dxa"/>
            <w:gridSpan w:val="10"/>
            <w:tcBorders>
              <w:tl2br w:val="nil"/>
              <w:tr2bl w:val="nil"/>
            </w:tcBorders>
            <w:vAlign w:val="center"/>
          </w:tcPr>
          <w:p w14:paraId="7A77A16C">
            <w:pPr>
              <w:ind w:left="109"/>
              <w:rPr>
                <w:color w:val="auto"/>
                <w:szCs w:val="21"/>
                <w:lang w:val="zh-CN" w:bidi="zh-CN"/>
              </w:rPr>
            </w:pPr>
            <w:r>
              <w:rPr>
                <w:rFonts w:hint="eastAsia"/>
                <w:color w:val="auto"/>
                <w:szCs w:val="21"/>
                <w:lang w:val="zh-CN" w:bidi="zh-CN"/>
              </w:rPr>
              <w:t>无色具汽油味，有挥发性的液体</w:t>
            </w:r>
          </w:p>
        </w:tc>
      </w:tr>
      <w:tr w14:paraId="0B24086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1C632937">
            <w:pPr>
              <w:jc w:val="center"/>
              <w:rPr>
                <w:color w:val="auto"/>
                <w:szCs w:val="21"/>
              </w:rPr>
            </w:pPr>
          </w:p>
        </w:tc>
        <w:tc>
          <w:tcPr>
            <w:tcW w:w="1746" w:type="dxa"/>
            <w:tcBorders>
              <w:tl2br w:val="nil"/>
              <w:tr2bl w:val="nil"/>
            </w:tcBorders>
            <w:vAlign w:val="center"/>
          </w:tcPr>
          <w:p w14:paraId="393669EE">
            <w:pPr>
              <w:ind w:left="185" w:right="83" w:hanging="184" w:hangingChars="88"/>
              <w:jc w:val="center"/>
              <w:rPr>
                <w:color w:val="auto"/>
                <w:szCs w:val="21"/>
                <w:lang w:val="zh-CN" w:bidi="zh-CN"/>
              </w:rPr>
            </w:pPr>
            <w:r>
              <w:rPr>
                <w:color w:val="auto"/>
                <w:szCs w:val="21"/>
                <w:lang w:val="zh-CN" w:bidi="zh-CN"/>
              </w:rPr>
              <w:t>熔点（℃）</w:t>
            </w:r>
          </w:p>
        </w:tc>
        <w:tc>
          <w:tcPr>
            <w:tcW w:w="1142" w:type="dxa"/>
            <w:tcBorders>
              <w:tl2br w:val="nil"/>
              <w:tr2bl w:val="nil"/>
            </w:tcBorders>
            <w:vAlign w:val="center"/>
          </w:tcPr>
          <w:p w14:paraId="0230FCDA">
            <w:pPr>
              <w:ind w:right="75" w:rightChars="36"/>
              <w:jc w:val="center"/>
              <w:rPr>
                <w:color w:val="auto"/>
                <w:szCs w:val="21"/>
                <w:lang w:val="zh-CN" w:bidi="zh-CN"/>
              </w:rPr>
            </w:pPr>
            <w:r>
              <w:rPr>
                <w:color w:val="auto"/>
                <w:szCs w:val="21"/>
                <w:lang w:val="zh-CN" w:bidi="zh-CN"/>
              </w:rPr>
              <w:t>-9</w:t>
            </w:r>
            <w:r>
              <w:rPr>
                <w:rFonts w:hint="eastAsia"/>
                <w:color w:val="auto"/>
                <w:szCs w:val="21"/>
                <w:lang w:bidi="zh-CN"/>
              </w:rPr>
              <w:t>5</w:t>
            </w:r>
          </w:p>
        </w:tc>
        <w:tc>
          <w:tcPr>
            <w:tcW w:w="1918" w:type="dxa"/>
            <w:gridSpan w:val="4"/>
            <w:tcBorders>
              <w:tl2br w:val="nil"/>
              <w:tr2bl w:val="nil"/>
            </w:tcBorders>
            <w:vAlign w:val="center"/>
          </w:tcPr>
          <w:p w14:paraId="7F3ECE17">
            <w:pPr>
              <w:ind w:right="75" w:rightChars="36"/>
              <w:jc w:val="center"/>
              <w:rPr>
                <w:color w:val="auto"/>
                <w:szCs w:val="21"/>
                <w:lang w:val="zh-CN" w:bidi="zh-CN"/>
              </w:rPr>
            </w:pPr>
            <w:r>
              <w:rPr>
                <w:color w:val="auto"/>
                <w:szCs w:val="21"/>
                <w:lang w:val="zh-CN" w:bidi="zh-CN"/>
              </w:rPr>
              <w:t>相对密度(水=1)</w:t>
            </w:r>
          </w:p>
        </w:tc>
        <w:tc>
          <w:tcPr>
            <w:tcW w:w="1013" w:type="dxa"/>
            <w:gridSpan w:val="2"/>
            <w:tcBorders>
              <w:tl2br w:val="nil"/>
              <w:tr2bl w:val="nil"/>
            </w:tcBorders>
            <w:vAlign w:val="center"/>
          </w:tcPr>
          <w:p w14:paraId="4AD6F1DE">
            <w:pPr>
              <w:ind w:right="90" w:rightChars="43"/>
              <w:jc w:val="center"/>
              <w:rPr>
                <w:color w:val="auto"/>
                <w:szCs w:val="21"/>
                <w:lang w:bidi="zh-CN"/>
              </w:rPr>
            </w:pPr>
            <w:r>
              <w:rPr>
                <w:color w:val="auto"/>
                <w:szCs w:val="21"/>
                <w:lang w:val="zh-CN" w:bidi="zh-CN"/>
              </w:rPr>
              <w:t>0.</w:t>
            </w:r>
            <w:r>
              <w:rPr>
                <w:rFonts w:hint="eastAsia"/>
                <w:color w:val="auto"/>
                <w:szCs w:val="21"/>
                <w:lang w:bidi="zh-CN"/>
              </w:rPr>
              <w:t>659</w:t>
            </w:r>
          </w:p>
        </w:tc>
        <w:tc>
          <w:tcPr>
            <w:tcW w:w="2028" w:type="dxa"/>
            <w:gridSpan w:val="2"/>
            <w:tcBorders>
              <w:tl2br w:val="nil"/>
              <w:tr2bl w:val="nil"/>
            </w:tcBorders>
            <w:vAlign w:val="center"/>
          </w:tcPr>
          <w:p w14:paraId="296F54D2">
            <w:pPr>
              <w:ind w:left="302" w:right="56" w:hanging="302" w:hangingChars="144"/>
              <w:jc w:val="center"/>
              <w:rPr>
                <w:color w:val="auto"/>
                <w:szCs w:val="21"/>
                <w:lang w:val="zh-CN" w:bidi="zh-CN"/>
              </w:rPr>
            </w:pPr>
            <w:r>
              <w:rPr>
                <w:color w:val="auto"/>
                <w:szCs w:val="21"/>
                <w:lang w:val="zh-CN" w:bidi="zh-CN"/>
              </w:rPr>
              <w:t>相对密度(空气=1)</w:t>
            </w:r>
          </w:p>
        </w:tc>
        <w:tc>
          <w:tcPr>
            <w:tcW w:w="1002" w:type="dxa"/>
            <w:tcBorders>
              <w:tl2br w:val="nil"/>
              <w:tr2bl w:val="nil"/>
            </w:tcBorders>
            <w:vAlign w:val="center"/>
          </w:tcPr>
          <w:p w14:paraId="11BCA790">
            <w:pPr>
              <w:ind w:right="75" w:rightChars="36"/>
              <w:jc w:val="center"/>
              <w:rPr>
                <w:color w:val="auto"/>
                <w:szCs w:val="21"/>
                <w:lang w:bidi="zh-CN"/>
              </w:rPr>
            </w:pPr>
            <w:r>
              <w:rPr>
                <w:rFonts w:hint="eastAsia"/>
                <w:color w:val="auto"/>
                <w:szCs w:val="21"/>
                <w:lang w:bidi="zh-CN"/>
              </w:rPr>
              <w:t>2.97</w:t>
            </w:r>
          </w:p>
        </w:tc>
      </w:tr>
      <w:tr w14:paraId="1C65299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6D2D5E6F">
            <w:pPr>
              <w:jc w:val="center"/>
              <w:rPr>
                <w:color w:val="auto"/>
                <w:szCs w:val="21"/>
              </w:rPr>
            </w:pPr>
          </w:p>
        </w:tc>
        <w:tc>
          <w:tcPr>
            <w:tcW w:w="1746" w:type="dxa"/>
            <w:tcBorders>
              <w:tl2br w:val="nil"/>
              <w:tr2bl w:val="nil"/>
            </w:tcBorders>
            <w:vAlign w:val="center"/>
          </w:tcPr>
          <w:p w14:paraId="1DFE21E4">
            <w:pPr>
              <w:ind w:left="185" w:right="83" w:hanging="184" w:hangingChars="88"/>
              <w:jc w:val="center"/>
              <w:rPr>
                <w:color w:val="auto"/>
                <w:szCs w:val="21"/>
                <w:lang w:val="zh-CN" w:bidi="zh-CN"/>
              </w:rPr>
            </w:pPr>
            <w:r>
              <w:rPr>
                <w:color w:val="auto"/>
                <w:szCs w:val="21"/>
                <w:lang w:val="zh-CN" w:bidi="zh-CN"/>
              </w:rPr>
              <w:t>沸点（℃）</w:t>
            </w:r>
          </w:p>
        </w:tc>
        <w:tc>
          <w:tcPr>
            <w:tcW w:w="1142" w:type="dxa"/>
            <w:tcBorders>
              <w:tl2br w:val="nil"/>
              <w:tr2bl w:val="nil"/>
            </w:tcBorders>
            <w:vAlign w:val="center"/>
          </w:tcPr>
          <w:p w14:paraId="05FA926A">
            <w:pPr>
              <w:ind w:right="75" w:rightChars="36"/>
              <w:jc w:val="center"/>
              <w:rPr>
                <w:color w:val="auto"/>
                <w:szCs w:val="21"/>
                <w:lang w:bidi="zh-CN"/>
              </w:rPr>
            </w:pPr>
            <w:r>
              <w:rPr>
                <w:color w:val="auto"/>
                <w:szCs w:val="21"/>
                <w:lang w:val="zh-CN" w:bidi="zh-CN"/>
              </w:rPr>
              <w:t>6</w:t>
            </w:r>
            <w:r>
              <w:rPr>
                <w:rFonts w:hint="eastAsia"/>
                <w:color w:val="auto"/>
                <w:szCs w:val="21"/>
                <w:lang w:bidi="zh-CN"/>
              </w:rPr>
              <w:t>8.95</w:t>
            </w:r>
          </w:p>
        </w:tc>
        <w:tc>
          <w:tcPr>
            <w:tcW w:w="2931" w:type="dxa"/>
            <w:gridSpan w:val="6"/>
            <w:tcBorders>
              <w:tl2br w:val="nil"/>
              <w:tr2bl w:val="nil"/>
            </w:tcBorders>
            <w:vAlign w:val="center"/>
          </w:tcPr>
          <w:p w14:paraId="3EDBFC52">
            <w:pPr>
              <w:jc w:val="center"/>
              <w:rPr>
                <w:color w:val="auto"/>
                <w:szCs w:val="21"/>
                <w:lang w:val="zh-CN" w:bidi="zh-CN"/>
              </w:rPr>
            </w:pPr>
            <w:r>
              <w:rPr>
                <w:color w:val="auto"/>
                <w:szCs w:val="21"/>
                <w:lang w:val="zh-CN" w:bidi="zh-CN"/>
              </w:rPr>
              <w:t>饱和蒸气压（</w:t>
            </w:r>
            <w:r>
              <w:rPr>
                <w:rFonts w:hint="eastAsia"/>
                <w:color w:val="auto"/>
                <w:szCs w:val="21"/>
                <w:lang w:val="zh-CN" w:bidi="zh-CN"/>
              </w:rPr>
              <w:t>mm Hg</w:t>
            </w:r>
            <w:r>
              <w:rPr>
                <w:color w:val="auto"/>
                <w:szCs w:val="21"/>
                <w:lang w:val="zh-CN" w:bidi="zh-CN"/>
              </w:rPr>
              <w:t>）</w:t>
            </w:r>
          </w:p>
        </w:tc>
        <w:tc>
          <w:tcPr>
            <w:tcW w:w="3030" w:type="dxa"/>
            <w:gridSpan w:val="3"/>
            <w:tcBorders>
              <w:tl2br w:val="nil"/>
              <w:tr2bl w:val="nil"/>
            </w:tcBorders>
            <w:vAlign w:val="center"/>
          </w:tcPr>
          <w:p w14:paraId="128BF1C7">
            <w:pPr>
              <w:jc w:val="center"/>
              <w:rPr>
                <w:color w:val="auto"/>
                <w:szCs w:val="21"/>
                <w:lang w:val="zh-CN" w:bidi="zh-CN"/>
              </w:rPr>
            </w:pPr>
            <w:r>
              <w:rPr>
                <w:rFonts w:hint="eastAsia"/>
                <w:color w:val="auto"/>
                <w:szCs w:val="21"/>
                <w:lang w:bidi="zh-CN"/>
              </w:rPr>
              <w:t>40</w:t>
            </w:r>
            <w:r>
              <w:rPr>
                <w:color w:val="auto"/>
                <w:szCs w:val="21"/>
                <w:lang w:val="zh-CN" w:bidi="zh-CN"/>
              </w:rPr>
              <w:t>/2</w:t>
            </w:r>
            <w:r>
              <w:rPr>
                <w:rFonts w:hint="eastAsia"/>
                <w:color w:val="auto"/>
                <w:szCs w:val="21"/>
                <w:lang w:bidi="zh-CN"/>
              </w:rPr>
              <w:t>0</w:t>
            </w:r>
            <w:r>
              <w:rPr>
                <w:color w:val="auto"/>
                <w:szCs w:val="21"/>
                <w:lang w:val="zh-CN" w:bidi="zh-CN"/>
              </w:rPr>
              <w:t>℃</w:t>
            </w:r>
          </w:p>
        </w:tc>
      </w:tr>
      <w:tr w14:paraId="6E00076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687DC58D">
            <w:pPr>
              <w:jc w:val="center"/>
              <w:rPr>
                <w:color w:val="auto"/>
                <w:szCs w:val="21"/>
              </w:rPr>
            </w:pPr>
          </w:p>
        </w:tc>
        <w:tc>
          <w:tcPr>
            <w:tcW w:w="1746" w:type="dxa"/>
            <w:tcBorders>
              <w:tl2br w:val="nil"/>
              <w:tr2bl w:val="nil"/>
            </w:tcBorders>
            <w:vAlign w:val="center"/>
          </w:tcPr>
          <w:p w14:paraId="42419351">
            <w:pPr>
              <w:ind w:left="185" w:right="83" w:hanging="184" w:hangingChars="88"/>
              <w:jc w:val="center"/>
              <w:rPr>
                <w:color w:val="auto"/>
                <w:szCs w:val="21"/>
                <w:lang w:val="zh-CN" w:bidi="zh-CN"/>
              </w:rPr>
            </w:pPr>
            <w:r>
              <w:rPr>
                <w:color w:val="auto"/>
                <w:szCs w:val="21"/>
                <w:lang w:val="zh-CN" w:bidi="zh-CN"/>
              </w:rPr>
              <w:t>溶解性</w:t>
            </w:r>
          </w:p>
        </w:tc>
        <w:tc>
          <w:tcPr>
            <w:tcW w:w="7103" w:type="dxa"/>
            <w:gridSpan w:val="10"/>
            <w:tcBorders>
              <w:tl2br w:val="nil"/>
              <w:tr2bl w:val="nil"/>
            </w:tcBorders>
            <w:vAlign w:val="center"/>
          </w:tcPr>
          <w:p w14:paraId="35A4A3EE">
            <w:pPr>
              <w:ind w:left="109"/>
              <w:rPr>
                <w:color w:val="auto"/>
                <w:szCs w:val="21"/>
                <w:lang w:val="zh-CN" w:bidi="zh-CN"/>
              </w:rPr>
            </w:pPr>
            <w:r>
              <w:rPr>
                <w:rFonts w:hint="eastAsia"/>
                <w:color w:val="auto"/>
                <w:szCs w:val="21"/>
                <w:lang w:val="zh-CN" w:bidi="zh-CN"/>
              </w:rPr>
              <w:t>几乎不溶于水，易溶于氯仿、乙醚、乙醇</w:t>
            </w:r>
          </w:p>
        </w:tc>
      </w:tr>
      <w:tr w14:paraId="27895EE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restart"/>
            <w:tcBorders>
              <w:tl2br w:val="nil"/>
              <w:tr2bl w:val="nil"/>
            </w:tcBorders>
            <w:vAlign w:val="center"/>
          </w:tcPr>
          <w:p w14:paraId="4DE074E6">
            <w:pPr>
              <w:ind w:left="138" w:right="143"/>
              <w:jc w:val="center"/>
              <w:rPr>
                <w:color w:val="auto"/>
                <w:szCs w:val="21"/>
                <w:lang w:val="zh-CN" w:bidi="zh-CN"/>
              </w:rPr>
            </w:pPr>
            <w:r>
              <w:rPr>
                <w:color w:val="auto"/>
                <w:szCs w:val="21"/>
                <w:lang w:val="zh-CN" w:bidi="zh-CN"/>
              </w:rPr>
              <w:t>毒性及健康危害</w:t>
            </w:r>
          </w:p>
        </w:tc>
        <w:tc>
          <w:tcPr>
            <w:tcW w:w="1746" w:type="dxa"/>
            <w:tcBorders>
              <w:tl2br w:val="nil"/>
              <w:tr2bl w:val="nil"/>
            </w:tcBorders>
            <w:vAlign w:val="center"/>
          </w:tcPr>
          <w:p w14:paraId="26D38277">
            <w:pPr>
              <w:ind w:right="83"/>
              <w:jc w:val="center"/>
              <w:rPr>
                <w:color w:val="auto"/>
                <w:szCs w:val="21"/>
                <w:lang w:val="zh-CN" w:bidi="zh-CN"/>
              </w:rPr>
            </w:pPr>
            <w:r>
              <w:rPr>
                <w:color w:val="auto"/>
                <w:szCs w:val="21"/>
                <w:lang w:val="zh-CN" w:bidi="zh-CN"/>
              </w:rPr>
              <w:t>侵入途径</w:t>
            </w:r>
          </w:p>
        </w:tc>
        <w:tc>
          <w:tcPr>
            <w:tcW w:w="7103" w:type="dxa"/>
            <w:gridSpan w:val="10"/>
            <w:tcBorders>
              <w:tl2br w:val="nil"/>
              <w:tr2bl w:val="nil"/>
            </w:tcBorders>
            <w:vAlign w:val="center"/>
          </w:tcPr>
          <w:p w14:paraId="017B5917">
            <w:pPr>
              <w:ind w:right="76"/>
              <w:rPr>
                <w:color w:val="auto"/>
                <w:szCs w:val="21"/>
                <w:lang w:val="zh-CN" w:bidi="zh-CN"/>
              </w:rPr>
            </w:pPr>
            <w:r>
              <w:rPr>
                <w:color w:val="auto"/>
                <w:szCs w:val="21"/>
                <w:lang w:val="zh-CN" w:bidi="zh-CN"/>
              </w:rPr>
              <w:t>吸入、食入、经皮吸收。</w:t>
            </w:r>
          </w:p>
        </w:tc>
      </w:tr>
      <w:tr w14:paraId="3462343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0B433D22">
            <w:pPr>
              <w:jc w:val="center"/>
              <w:rPr>
                <w:color w:val="auto"/>
                <w:szCs w:val="21"/>
              </w:rPr>
            </w:pPr>
          </w:p>
        </w:tc>
        <w:tc>
          <w:tcPr>
            <w:tcW w:w="1746" w:type="dxa"/>
            <w:tcBorders>
              <w:tl2br w:val="nil"/>
              <w:tr2bl w:val="nil"/>
            </w:tcBorders>
            <w:vAlign w:val="center"/>
          </w:tcPr>
          <w:p w14:paraId="292DAE73">
            <w:pPr>
              <w:jc w:val="center"/>
              <w:rPr>
                <w:color w:val="auto"/>
                <w:szCs w:val="21"/>
                <w:lang w:val="zh-CN" w:bidi="zh-CN"/>
              </w:rPr>
            </w:pPr>
            <w:r>
              <w:rPr>
                <w:color w:val="auto"/>
                <w:szCs w:val="21"/>
                <w:lang w:val="zh-CN" w:bidi="zh-CN"/>
              </w:rPr>
              <w:t>毒性</w:t>
            </w:r>
          </w:p>
        </w:tc>
        <w:tc>
          <w:tcPr>
            <w:tcW w:w="7103" w:type="dxa"/>
            <w:gridSpan w:val="10"/>
            <w:tcBorders>
              <w:tl2br w:val="nil"/>
              <w:tr2bl w:val="nil"/>
            </w:tcBorders>
          </w:tcPr>
          <w:p w14:paraId="3222331C">
            <w:pPr>
              <w:ind w:right="76"/>
              <w:rPr>
                <w:color w:val="auto"/>
                <w:szCs w:val="21"/>
                <w:lang w:val="zh-CN" w:bidi="zh-CN"/>
              </w:rPr>
            </w:pPr>
            <w:r>
              <w:rPr>
                <w:rFonts w:hint="eastAsia"/>
                <w:color w:val="auto"/>
                <w:szCs w:val="21"/>
                <w:lang w:val="zh-CN" w:bidi="zh-CN"/>
              </w:rPr>
              <w:t>LD</w:t>
            </w:r>
            <w:r>
              <w:rPr>
                <w:rFonts w:hint="eastAsia"/>
                <w:color w:val="auto"/>
                <w:szCs w:val="21"/>
                <w:vertAlign w:val="subscript"/>
                <w:lang w:val="zh-CN" w:bidi="zh-CN"/>
              </w:rPr>
              <w:t>50</w:t>
            </w:r>
            <w:r>
              <w:rPr>
                <w:rFonts w:hint="eastAsia"/>
                <w:color w:val="auto"/>
                <w:szCs w:val="21"/>
                <w:lang w:val="zh-CN" w:bidi="zh-CN"/>
              </w:rPr>
              <w:t>：28710mg/kg(大鼠经口)；人吸入12.5g/m</w:t>
            </w:r>
            <w:r>
              <w:rPr>
                <w:rFonts w:hint="eastAsia"/>
                <w:color w:val="auto"/>
                <w:szCs w:val="21"/>
                <w:vertAlign w:val="superscript"/>
                <w:lang w:val="zh-CN" w:bidi="zh-CN"/>
              </w:rPr>
              <w:t>3</w:t>
            </w:r>
            <w:r>
              <w:rPr>
                <w:rFonts w:hint="eastAsia"/>
                <w:color w:val="auto"/>
                <w:szCs w:val="21"/>
                <w:lang w:val="zh-CN" w:bidi="zh-CN"/>
              </w:rPr>
              <w:t>，轻度中毒、头痛、恶心、眼和呼吸刺激症状。</w:t>
            </w:r>
          </w:p>
        </w:tc>
      </w:tr>
      <w:tr w14:paraId="25AFBFA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0689CABB">
            <w:pPr>
              <w:jc w:val="center"/>
              <w:rPr>
                <w:color w:val="auto"/>
                <w:szCs w:val="21"/>
              </w:rPr>
            </w:pPr>
          </w:p>
        </w:tc>
        <w:tc>
          <w:tcPr>
            <w:tcW w:w="1746" w:type="dxa"/>
            <w:tcBorders>
              <w:tl2br w:val="nil"/>
              <w:tr2bl w:val="nil"/>
            </w:tcBorders>
            <w:vAlign w:val="center"/>
          </w:tcPr>
          <w:p w14:paraId="21CC9373">
            <w:pPr>
              <w:ind w:right="68"/>
              <w:jc w:val="center"/>
              <w:rPr>
                <w:color w:val="auto"/>
                <w:szCs w:val="21"/>
                <w:lang w:val="zh-CN" w:bidi="zh-CN"/>
              </w:rPr>
            </w:pPr>
            <w:r>
              <w:rPr>
                <w:color w:val="auto"/>
                <w:szCs w:val="21"/>
                <w:lang w:val="zh-CN" w:bidi="zh-CN"/>
              </w:rPr>
              <w:t>健康危害</w:t>
            </w:r>
          </w:p>
        </w:tc>
        <w:tc>
          <w:tcPr>
            <w:tcW w:w="7103" w:type="dxa"/>
            <w:gridSpan w:val="10"/>
            <w:tcBorders>
              <w:tl2br w:val="nil"/>
              <w:tr2bl w:val="nil"/>
            </w:tcBorders>
          </w:tcPr>
          <w:p w14:paraId="0D7029D9">
            <w:pPr>
              <w:spacing w:before="4"/>
              <w:ind w:right="76"/>
              <w:rPr>
                <w:color w:val="auto"/>
                <w:szCs w:val="21"/>
                <w:lang w:val="zh-CN" w:bidi="zh-CN"/>
              </w:rPr>
            </w:pPr>
            <w:r>
              <w:rPr>
                <w:rFonts w:hint="eastAsia"/>
                <w:color w:val="auto"/>
                <w:szCs w:val="21"/>
                <w:lang w:val="zh-CN" w:bidi="zh-CN"/>
              </w:rPr>
              <w:t>吸入或暴露超过500mg/kg可引起头痛。急性腹泻、脸发烧、手指和脚趾麻木与虚弱。暴露超过1300mg/kg还可引起恶心、鼻炎及咽喉炎。暴露超过Chemicalbook1500mg/kg除可引起上述症状外，还引起视力模糊、食欲减退和降低体重。如果停止暴露则大多数症状在几个月内消失。液体正己烷吸到肺部可引起肺炎。</w:t>
            </w:r>
          </w:p>
        </w:tc>
      </w:tr>
      <w:tr w14:paraId="5261ED0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vAlign w:val="center"/>
          </w:tcPr>
          <w:p w14:paraId="525F8126">
            <w:pPr>
              <w:jc w:val="center"/>
              <w:rPr>
                <w:color w:val="auto"/>
                <w:szCs w:val="21"/>
              </w:rPr>
            </w:pPr>
          </w:p>
        </w:tc>
        <w:tc>
          <w:tcPr>
            <w:tcW w:w="1746" w:type="dxa"/>
            <w:tcBorders>
              <w:tl2br w:val="nil"/>
              <w:tr2bl w:val="nil"/>
            </w:tcBorders>
            <w:vAlign w:val="center"/>
          </w:tcPr>
          <w:p w14:paraId="2E54EFA1">
            <w:pPr>
              <w:spacing w:before="1"/>
              <w:ind w:right="68"/>
              <w:jc w:val="center"/>
              <w:rPr>
                <w:color w:val="auto"/>
                <w:szCs w:val="21"/>
                <w:lang w:val="zh-CN" w:bidi="zh-CN"/>
              </w:rPr>
            </w:pPr>
            <w:r>
              <w:rPr>
                <w:color w:val="auto"/>
                <w:szCs w:val="21"/>
                <w:lang w:val="zh-CN" w:bidi="zh-CN"/>
              </w:rPr>
              <w:t>急救方法</w:t>
            </w:r>
          </w:p>
        </w:tc>
        <w:tc>
          <w:tcPr>
            <w:tcW w:w="7103" w:type="dxa"/>
            <w:gridSpan w:val="10"/>
            <w:tcBorders>
              <w:tl2br w:val="nil"/>
              <w:tr2bl w:val="nil"/>
            </w:tcBorders>
          </w:tcPr>
          <w:p w14:paraId="643E0F25">
            <w:pPr>
              <w:spacing w:before="7"/>
              <w:ind w:right="76"/>
              <w:rPr>
                <w:color w:val="auto"/>
                <w:szCs w:val="21"/>
                <w:lang w:val="zh-CN" w:bidi="zh-CN"/>
              </w:rPr>
            </w:pPr>
            <w:r>
              <w:rPr>
                <w:rFonts w:hint="eastAsia"/>
                <w:color w:val="auto"/>
                <w:szCs w:val="21"/>
                <w:lang w:val="zh-CN" w:bidi="zh-CN"/>
              </w:rPr>
              <w:t>皮肤接触：脱去被污染的衣着，用肥皂水和清水彻底冲洗皮肤。</w:t>
            </w:r>
          </w:p>
          <w:p w14:paraId="34570769">
            <w:pPr>
              <w:spacing w:before="7"/>
              <w:ind w:right="76"/>
              <w:rPr>
                <w:color w:val="auto"/>
                <w:szCs w:val="21"/>
                <w:lang w:val="zh-CN" w:bidi="zh-CN"/>
              </w:rPr>
            </w:pPr>
            <w:r>
              <w:rPr>
                <w:rFonts w:hint="eastAsia"/>
                <w:color w:val="auto"/>
                <w:szCs w:val="21"/>
                <w:lang w:val="zh-CN" w:bidi="zh-CN"/>
              </w:rPr>
              <w:t>眼睛接触：提起眼睑，用流动清水或生理盐水冲洗。就医。</w:t>
            </w:r>
          </w:p>
          <w:p w14:paraId="3F46EBC8">
            <w:pPr>
              <w:spacing w:before="7"/>
              <w:ind w:right="76"/>
              <w:rPr>
                <w:color w:val="auto"/>
                <w:szCs w:val="21"/>
                <w:lang w:val="zh-CN" w:bidi="zh-CN"/>
              </w:rPr>
            </w:pPr>
            <w:r>
              <w:rPr>
                <w:rFonts w:hint="eastAsia"/>
                <w:color w:val="auto"/>
                <w:szCs w:val="21"/>
                <w:lang w:val="zh-CN" w:bidi="zh-CN"/>
              </w:rPr>
              <w:t>吸入：迅速脱离现场至空气新鲜处。保持呼吸道通畅。如呼吸困难，给输氧。如呼吸停止，立即进行人工呼吸。就医。</w:t>
            </w:r>
          </w:p>
          <w:p w14:paraId="383B3D75">
            <w:pPr>
              <w:spacing w:before="7"/>
              <w:ind w:right="76"/>
              <w:rPr>
                <w:color w:val="auto"/>
                <w:szCs w:val="21"/>
                <w:lang w:val="zh-CN" w:bidi="zh-CN"/>
              </w:rPr>
            </w:pPr>
            <w:r>
              <w:rPr>
                <w:rFonts w:hint="eastAsia"/>
                <w:color w:val="auto"/>
                <w:szCs w:val="21"/>
                <w:lang w:val="zh-CN" w:bidi="zh-CN"/>
              </w:rPr>
              <w:t>食入：饮足量温水，催吐，就医。</w:t>
            </w:r>
          </w:p>
        </w:tc>
      </w:tr>
      <w:tr w14:paraId="36C3E40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restart"/>
            <w:tcBorders>
              <w:tl2br w:val="nil"/>
              <w:tr2bl w:val="nil"/>
            </w:tcBorders>
            <w:vAlign w:val="center"/>
          </w:tcPr>
          <w:p w14:paraId="5AECBA93">
            <w:pPr>
              <w:spacing w:before="97"/>
              <w:ind w:left="138" w:right="143"/>
              <w:jc w:val="center"/>
              <w:rPr>
                <w:color w:val="auto"/>
                <w:szCs w:val="21"/>
                <w:lang w:val="zh-CN" w:bidi="zh-CN"/>
              </w:rPr>
            </w:pPr>
            <w:r>
              <w:rPr>
                <w:color w:val="auto"/>
                <w:szCs w:val="21"/>
                <w:lang w:val="zh-CN" w:bidi="zh-CN"/>
              </w:rPr>
              <w:t>燃烧爆炸危险性</w:t>
            </w:r>
          </w:p>
        </w:tc>
        <w:tc>
          <w:tcPr>
            <w:tcW w:w="1746" w:type="dxa"/>
            <w:tcBorders>
              <w:tl2br w:val="nil"/>
              <w:tr2bl w:val="nil"/>
            </w:tcBorders>
            <w:vAlign w:val="center"/>
          </w:tcPr>
          <w:p w14:paraId="70510A43">
            <w:pPr>
              <w:ind w:left="158" w:right="143"/>
              <w:jc w:val="center"/>
              <w:rPr>
                <w:color w:val="auto"/>
                <w:szCs w:val="21"/>
                <w:lang w:val="zh-CN" w:bidi="zh-CN"/>
              </w:rPr>
            </w:pPr>
            <w:r>
              <w:rPr>
                <w:color w:val="auto"/>
                <w:szCs w:val="21"/>
                <w:lang w:val="zh-CN" w:bidi="zh-CN"/>
              </w:rPr>
              <w:t>燃烧性</w:t>
            </w:r>
          </w:p>
        </w:tc>
        <w:tc>
          <w:tcPr>
            <w:tcW w:w="1695" w:type="dxa"/>
            <w:gridSpan w:val="3"/>
            <w:tcBorders>
              <w:tl2br w:val="nil"/>
              <w:tr2bl w:val="nil"/>
            </w:tcBorders>
            <w:vAlign w:val="center"/>
          </w:tcPr>
          <w:p w14:paraId="500946F2">
            <w:pPr>
              <w:ind w:left="474" w:right="458"/>
              <w:jc w:val="center"/>
              <w:rPr>
                <w:color w:val="auto"/>
                <w:szCs w:val="21"/>
                <w:lang w:val="zh-CN" w:bidi="zh-CN"/>
              </w:rPr>
            </w:pPr>
            <w:r>
              <w:rPr>
                <w:rFonts w:hint="eastAsia"/>
                <w:color w:val="auto"/>
                <w:szCs w:val="21"/>
                <w:lang w:val="zh-CN" w:bidi="zh-CN"/>
              </w:rPr>
              <w:t>极易燃</w:t>
            </w:r>
          </w:p>
        </w:tc>
        <w:tc>
          <w:tcPr>
            <w:tcW w:w="2143" w:type="dxa"/>
            <w:gridSpan w:val="3"/>
            <w:tcBorders>
              <w:tl2br w:val="nil"/>
              <w:tr2bl w:val="nil"/>
            </w:tcBorders>
            <w:vAlign w:val="center"/>
          </w:tcPr>
          <w:p w14:paraId="16971B67">
            <w:pPr>
              <w:ind w:right="60"/>
              <w:jc w:val="center"/>
              <w:rPr>
                <w:color w:val="auto"/>
                <w:szCs w:val="21"/>
                <w:lang w:val="zh-CN" w:bidi="zh-CN"/>
              </w:rPr>
            </w:pPr>
            <w:r>
              <w:rPr>
                <w:color w:val="auto"/>
                <w:szCs w:val="21"/>
                <w:lang w:val="zh-CN" w:bidi="zh-CN"/>
              </w:rPr>
              <w:t>燃烧分解物</w:t>
            </w:r>
          </w:p>
        </w:tc>
        <w:tc>
          <w:tcPr>
            <w:tcW w:w="3265" w:type="dxa"/>
            <w:gridSpan w:val="4"/>
            <w:tcBorders>
              <w:tl2br w:val="nil"/>
              <w:tr2bl w:val="nil"/>
            </w:tcBorders>
            <w:vAlign w:val="center"/>
          </w:tcPr>
          <w:p w14:paraId="4EF04A37">
            <w:pPr>
              <w:ind w:right="60"/>
              <w:jc w:val="center"/>
              <w:rPr>
                <w:color w:val="auto"/>
                <w:szCs w:val="21"/>
                <w:lang w:val="zh-CN" w:bidi="zh-CN"/>
              </w:rPr>
            </w:pPr>
            <w:r>
              <w:rPr>
                <w:color w:val="auto"/>
                <w:szCs w:val="21"/>
                <w:lang w:val="zh-CN" w:bidi="zh-CN"/>
              </w:rPr>
              <w:t>一氧化碳、二氧化碳。</w:t>
            </w:r>
          </w:p>
        </w:tc>
      </w:tr>
      <w:tr w14:paraId="5364E1F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04FFCB92">
            <w:pPr>
              <w:rPr>
                <w:color w:val="auto"/>
                <w:szCs w:val="21"/>
              </w:rPr>
            </w:pPr>
          </w:p>
        </w:tc>
        <w:tc>
          <w:tcPr>
            <w:tcW w:w="1746" w:type="dxa"/>
            <w:tcBorders>
              <w:tl2br w:val="nil"/>
              <w:tr2bl w:val="nil"/>
            </w:tcBorders>
            <w:vAlign w:val="center"/>
          </w:tcPr>
          <w:p w14:paraId="434413EF">
            <w:pPr>
              <w:ind w:left="149" w:right="143"/>
              <w:jc w:val="center"/>
              <w:rPr>
                <w:color w:val="auto"/>
                <w:szCs w:val="21"/>
                <w:lang w:val="zh-CN" w:bidi="zh-CN"/>
              </w:rPr>
            </w:pPr>
            <w:r>
              <w:rPr>
                <w:color w:val="auto"/>
                <w:szCs w:val="21"/>
                <w:lang w:val="zh-CN" w:bidi="zh-CN"/>
              </w:rPr>
              <w:t>闪点(℃)</w:t>
            </w:r>
          </w:p>
        </w:tc>
        <w:tc>
          <w:tcPr>
            <w:tcW w:w="1695" w:type="dxa"/>
            <w:gridSpan w:val="3"/>
            <w:tcBorders>
              <w:tl2br w:val="nil"/>
              <w:tr2bl w:val="nil"/>
            </w:tcBorders>
            <w:vAlign w:val="center"/>
          </w:tcPr>
          <w:p w14:paraId="5CF5BFF7">
            <w:pPr>
              <w:ind w:left="469" w:right="458"/>
              <w:jc w:val="center"/>
              <w:rPr>
                <w:color w:val="auto"/>
                <w:szCs w:val="21"/>
                <w:lang w:bidi="zh-CN"/>
              </w:rPr>
            </w:pPr>
            <w:r>
              <w:rPr>
                <w:rFonts w:hint="eastAsia"/>
                <w:color w:val="auto"/>
                <w:szCs w:val="21"/>
                <w:lang w:bidi="zh-CN"/>
              </w:rPr>
              <w:t>-22</w:t>
            </w:r>
          </w:p>
        </w:tc>
        <w:tc>
          <w:tcPr>
            <w:tcW w:w="2143" w:type="dxa"/>
            <w:gridSpan w:val="3"/>
            <w:tcBorders>
              <w:tl2br w:val="nil"/>
              <w:tr2bl w:val="nil"/>
            </w:tcBorders>
            <w:vAlign w:val="center"/>
          </w:tcPr>
          <w:p w14:paraId="5DF03001">
            <w:pPr>
              <w:ind w:right="60"/>
              <w:jc w:val="center"/>
              <w:rPr>
                <w:color w:val="auto"/>
                <w:szCs w:val="21"/>
                <w:lang w:val="zh-CN" w:bidi="zh-CN"/>
              </w:rPr>
            </w:pPr>
            <w:r>
              <w:rPr>
                <w:color w:val="auto"/>
                <w:szCs w:val="21"/>
                <w:lang w:val="zh-CN" w:bidi="zh-CN"/>
              </w:rPr>
              <w:t>爆炸上限（v%）</w:t>
            </w:r>
          </w:p>
        </w:tc>
        <w:tc>
          <w:tcPr>
            <w:tcW w:w="3265" w:type="dxa"/>
            <w:gridSpan w:val="4"/>
            <w:tcBorders>
              <w:tl2br w:val="nil"/>
              <w:tr2bl w:val="nil"/>
            </w:tcBorders>
            <w:vAlign w:val="center"/>
          </w:tcPr>
          <w:p w14:paraId="6D34C95D">
            <w:pPr>
              <w:ind w:right="60"/>
              <w:jc w:val="center"/>
              <w:rPr>
                <w:color w:val="auto"/>
                <w:szCs w:val="21"/>
                <w:lang w:bidi="zh-CN"/>
              </w:rPr>
            </w:pPr>
            <w:r>
              <w:rPr>
                <w:rFonts w:hint="eastAsia"/>
                <w:color w:val="auto"/>
                <w:szCs w:val="21"/>
                <w:lang w:bidi="zh-CN"/>
              </w:rPr>
              <w:t>7.5</w:t>
            </w:r>
          </w:p>
        </w:tc>
      </w:tr>
      <w:tr w14:paraId="6A98086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715968C5">
            <w:pPr>
              <w:rPr>
                <w:color w:val="auto"/>
                <w:szCs w:val="21"/>
              </w:rPr>
            </w:pPr>
          </w:p>
        </w:tc>
        <w:tc>
          <w:tcPr>
            <w:tcW w:w="1746" w:type="dxa"/>
            <w:tcBorders>
              <w:tl2br w:val="nil"/>
              <w:tr2bl w:val="nil"/>
            </w:tcBorders>
            <w:vAlign w:val="center"/>
          </w:tcPr>
          <w:p w14:paraId="773545A2">
            <w:pPr>
              <w:ind w:left="149" w:right="143"/>
              <w:jc w:val="center"/>
              <w:rPr>
                <w:color w:val="auto"/>
                <w:szCs w:val="21"/>
                <w:lang w:val="zh-CN" w:bidi="zh-CN"/>
              </w:rPr>
            </w:pPr>
            <w:r>
              <w:rPr>
                <w:color w:val="auto"/>
                <w:szCs w:val="21"/>
                <w:lang w:val="zh-CN" w:bidi="zh-CN"/>
              </w:rPr>
              <w:t>引燃温度(℃)</w:t>
            </w:r>
          </w:p>
        </w:tc>
        <w:tc>
          <w:tcPr>
            <w:tcW w:w="1695" w:type="dxa"/>
            <w:gridSpan w:val="3"/>
            <w:tcBorders>
              <w:tl2br w:val="nil"/>
              <w:tr2bl w:val="nil"/>
            </w:tcBorders>
            <w:vAlign w:val="center"/>
          </w:tcPr>
          <w:p w14:paraId="274EEBED">
            <w:pPr>
              <w:ind w:left="474" w:right="458"/>
              <w:jc w:val="center"/>
              <w:rPr>
                <w:color w:val="auto"/>
                <w:szCs w:val="21"/>
                <w:lang w:bidi="zh-CN"/>
              </w:rPr>
            </w:pPr>
            <w:r>
              <w:rPr>
                <w:rFonts w:hint="eastAsia"/>
                <w:color w:val="auto"/>
                <w:szCs w:val="21"/>
                <w:lang w:bidi="zh-CN"/>
              </w:rPr>
              <w:t>225</w:t>
            </w:r>
          </w:p>
        </w:tc>
        <w:tc>
          <w:tcPr>
            <w:tcW w:w="2143" w:type="dxa"/>
            <w:gridSpan w:val="3"/>
            <w:tcBorders>
              <w:tl2br w:val="nil"/>
              <w:tr2bl w:val="nil"/>
            </w:tcBorders>
            <w:vAlign w:val="center"/>
          </w:tcPr>
          <w:p w14:paraId="428A5844">
            <w:pPr>
              <w:ind w:right="60"/>
              <w:jc w:val="center"/>
              <w:rPr>
                <w:color w:val="auto"/>
                <w:szCs w:val="21"/>
                <w:lang w:val="zh-CN" w:bidi="zh-CN"/>
              </w:rPr>
            </w:pPr>
            <w:r>
              <w:rPr>
                <w:color w:val="auto"/>
                <w:szCs w:val="21"/>
                <w:lang w:val="zh-CN" w:bidi="zh-CN"/>
              </w:rPr>
              <w:t>爆炸下限（v%）</w:t>
            </w:r>
          </w:p>
        </w:tc>
        <w:tc>
          <w:tcPr>
            <w:tcW w:w="3265" w:type="dxa"/>
            <w:gridSpan w:val="4"/>
            <w:tcBorders>
              <w:tl2br w:val="nil"/>
              <w:tr2bl w:val="nil"/>
            </w:tcBorders>
            <w:vAlign w:val="center"/>
          </w:tcPr>
          <w:p w14:paraId="437384A1">
            <w:pPr>
              <w:ind w:right="60"/>
              <w:jc w:val="center"/>
              <w:rPr>
                <w:color w:val="auto"/>
                <w:szCs w:val="21"/>
                <w:lang w:bidi="zh-CN"/>
              </w:rPr>
            </w:pPr>
            <w:r>
              <w:rPr>
                <w:rFonts w:hint="eastAsia"/>
                <w:color w:val="auto"/>
                <w:szCs w:val="21"/>
                <w:lang w:bidi="zh-CN"/>
              </w:rPr>
              <w:t>1.1</w:t>
            </w:r>
          </w:p>
        </w:tc>
      </w:tr>
      <w:tr w14:paraId="536EF23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48C280A0">
            <w:pPr>
              <w:rPr>
                <w:color w:val="auto"/>
                <w:szCs w:val="21"/>
              </w:rPr>
            </w:pPr>
          </w:p>
        </w:tc>
        <w:tc>
          <w:tcPr>
            <w:tcW w:w="1746" w:type="dxa"/>
            <w:tcBorders>
              <w:tl2br w:val="nil"/>
              <w:tr2bl w:val="nil"/>
            </w:tcBorders>
            <w:vAlign w:val="center"/>
          </w:tcPr>
          <w:p w14:paraId="676AC24C">
            <w:pPr>
              <w:ind w:left="158" w:right="143"/>
              <w:jc w:val="center"/>
              <w:rPr>
                <w:color w:val="auto"/>
                <w:szCs w:val="21"/>
                <w:lang w:val="zh-CN" w:bidi="zh-CN"/>
              </w:rPr>
            </w:pPr>
            <w:r>
              <w:rPr>
                <w:color w:val="auto"/>
                <w:szCs w:val="21"/>
                <w:lang w:val="zh-CN" w:bidi="zh-CN"/>
              </w:rPr>
              <w:t>建规火险分级</w:t>
            </w:r>
          </w:p>
        </w:tc>
        <w:tc>
          <w:tcPr>
            <w:tcW w:w="1695" w:type="dxa"/>
            <w:gridSpan w:val="3"/>
            <w:tcBorders>
              <w:tl2br w:val="nil"/>
              <w:tr2bl w:val="nil"/>
            </w:tcBorders>
            <w:vAlign w:val="center"/>
          </w:tcPr>
          <w:p w14:paraId="6DAA6BD0">
            <w:pPr>
              <w:jc w:val="center"/>
              <w:rPr>
                <w:color w:val="auto"/>
                <w:szCs w:val="21"/>
                <w:lang w:val="zh-CN" w:bidi="zh-CN"/>
              </w:rPr>
            </w:pPr>
            <w:r>
              <w:rPr>
                <w:color w:val="auto"/>
                <w:szCs w:val="21"/>
                <w:lang w:val="zh-CN" w:bidi="zh-CN"/>
              </w:rPr>
              <w:t>甲</w:t>
            </w:r>
          </w:p>
        </w:tc>
        <w:tc>
          <w:tcPr>
            <w:tcW w:w="1080" w:type="dxa"/>
            <w:tcBorders>
              <w:tl2br w:val="nil"/>
              <w:tr2bl w:val="nil"/>
            </w:tcBorders>
            <w:vAlign w:val="center"/>
          </w:tcPr>
          <w:p w14:paraId="08EA72C6">
            <w:pPr>
              <w:ind w:left="510" w:hanging="510" w:hangingChars="243"/>
              <w:jc w:val="center"/>
              <w:rPr>
                <w:color w:val="auto"/>
                <w:szCs w:val="21"/>
                <w:lang w:val="zh-CN" w:bidi="zh-CN"/>
              </w:rPr>
            </w:pPr>
            <w:r>
              <w:rPr>
                <w:color w:val="auto"/>
                <w:szCs w:val="21"/>
                <w:lang w:val="zh-CN" w:bidi="zh-CN"/>
              </w:rPr>
              <w:t>稳定性</w:t>
            </w:r>
          </w:p>
        </w:tc>
        <w:tc>
          <w:tcPr>
            <w:tcW w:w="1063" w:type="dxa"/>
            <w:gridSpan w:val="2"/>
            <w:tcBorders>
              <w:tl2br w:val="nil"/>
              <w:tr2bl w:val="nil"/>
            </w:tcBorders>
            <w:vAlign w:val="center"/>
          </w:tcPr>
          <w:p w14:paraId="5B3ADA31">
            <w:pPr>
              <w:ind w:left="510" w:hanging="510" w:hangingChars="243"/>
              <w:jc w:val="center"/>
              <w:rPr>
                <w:color w:val="auto"/>
                <w:szCs w:val="21"/>
                <w:lang w:val="zh-CN" w:bidi="zh-CN"/>
              </w:rPr>
            </w:pPr>
            <w:r>
              <w:rPr>
                <w:color w:val="auto"/>
                <w:szCs w:val="21"/>
                <w:lang w:val="zh-CN" w:bidi="zh-CN"/>
              </w:rPr>
              <w:t>稳定</w:t>
            </w:r>
          </w:p>
        </w:tc>
        <w:tc>
          <w:tcPr>
            <w:tcW w:w="1583" w:type="dxa"/>
            <w:gridSpan w:val="2"/>
            <w:tcBorders>
              <w:tl2br w:val="nil"/>
              <w:tr2bl w:val="nil"/>
            </w:tcBorders>
            <w:vAlign w:val="center"/>
          </w:tcPr>
          <w:p w14:paraId="28FB4035">
            <w:pPr>
              <w:ind w:left="510" w:hanging="510" w:hangingChars="243"/>
              <w:jc w:val="center"/>
              <w:rPr>
                <w:color w:val="auto"/>
                <w:szCs w:val="21"/>
                <w:lang w:val="zh-CN" w:bidi="zh-CN"/>
              </w:rPr>
            </w:pPr>
            <w:r>
              <w:rPr>
                <w:color w:val="auto"/>
                <w:szCs w:val="21"/>
                <w:lang w:val="zh-CN" w:bidi="zh-CN"/>
              </w:rPr>
              <w:t>聚合危害</w:t>
            </w:r>
          </w:p>
        </w:tc>
        <w:tc>
          <w:tcPr>
            <w:tcW w:w="1682" w:type="dxa"/>
            <w:gridSpan w:val="2"/>
            <w:tcBorders>
              <w:tl2br w:val="nil"/>
              <w:tr2bl w:val="nil"/>
            </w:tcBorders>
            <w:vAlign w:val="center"/>
          </w:tcPr>
          <w:p w14:paraId="106EC1F3">
            <w:pPr>
              <w:ind w:left="510" w:hanging="510" w:hangingChars="243"/>
              <w:jc w:val="center"/>
              <w:rPr>
                <w:color w:val="auto"/>
                <w:szCs w:val="21"/>
                <w:lang w:val="zh-CN" w:bidi="zh-CN"/>
              </w:rPr>
            </w:pPr>
            <w:r>
              <w:rPr>
                <w:color w:val="auto"/>
                <w:szCs w:val="21"/>
                <w:lang w:val="zh-CN" w:bidi="zh-CN"/>
              </w:rPr>
              <w:t>不聚合</w:t>
            </w:r>
          </w:p>
        </w:tc>
      </w:tr>
      <w:tr w14:paraId="1E74386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27B859EA">
            <w:pPr>
              <w:rPr>
                <w:color w:val="auto"/>
                <w:szCs w:val="21"/>
              </w:rPr>
            </w:pPr>
          </w:p>
        </w:tc>
        <w:tc>
          <w:tcPr>
            <w:tcW w:w="1746" w:type="dxa"/>
            <w:tcBorders>
              <w:tl2br w:val="nil"/>
              <w:tr2bl w:val="nil"/>
            </w:tcBorders>
            <w:vAlign w:val="center"/>
          </w:tcPr>
          <w:p w14:paraId="7924C8E8">
            <w:pPr>
              <w:jc w:val="center"/>
              <w:rPr>
                <w:color w:val="auto"/>
                <w:szCs w:val="21"/>
                <w:lang w:val="zh-CN" w:bidi="zh-CN"/>
              </w:rPr>
            </w:pPr>
            <w:r>
              <w:rPr>
                <w:color w:val="auto"/>
                <w:szCs w:val="21"/>
                <w:lang w:val="zh-CN" w:bidi="zh-CN"/>
              </w:rPr>
              <w:t>禁忌物</w:t>
            </w:r>
          </w:p>
        </w:tc>
        <w:tc>
          <w:tcPr>
            <w:tcW w:w="7103" w:type="dxa"/>
            <w:gridSpan w:val="10"/>
            <w:tcBorders>
              <w:tl2br w:val="nil"/>
              <w:tr2bl w:val="nil"/>
            </w:tcBorders>
            <w:vAlign w:val="center"/>
          </w:tcPr>
          <w:p w14:paraId="3057C958">
            <w:pPr>
              <w:rPr>
                <w:color w:val="auto"/>
                <w:szCs w:val="21"/>
                <w:lang w:val="zh-CN" w:bidi="zh-CN"/>
              </w:rPr>
            </w:pPr>
            <w:r>
              <w:rPr>
                <w:rFonts w:hint="eastAsia"/>
                <w:color w:val="auto"/>
                <w:szCs w:val="21"/>
                <w:lang w:val="zh-CN" w:bidi="zh-CN"/>
              </w:rPr>
              <w:t>强氧化剂、强酸、强碱、卤素</w:t>
            </w:r>
          </w:p>
        </w:tc>
      </w:tr>
      <w:tr w14:paraId="33FDE14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7C6D5C59">
            <w:pPr>
              <w:rPr>
                <w:color w:val="auto"/>
                <w:szCs w:val="21"/>
              </w:rPr>
            </w:pPr>
          </w:p>
        </w:tc>
        <w:tc>
          <w:tcPr>
            <w:tcW w:w="1746" w:type="dxa"/>
            <w:tcBorders>
              <w:tl2br w:val="nil"/>
              <w:tr2bl w:val="nil"/>
            </w:tcBorders>
            <w:vAlign w:val="center"/>
          </w:tcPr>
          <w:p w14:paraId="75B81A53">
            <w:pPr>
              <w:jc w:val="center"/>
              <w:rPr>
                <w:color w:val="auto"/>
                <w:szCs w:val="21"/>
                <w:lang w:val="zh-CN" w:bidi="zh-CN"/>
              </w:rPr>
            </w:pPr>
            <w:r>
              <w:rPr>
                <w:color w:val="auto"/>
                <w:szCs w:val="21"/>
                <w:lang w:val="zh-CN" w:bidi="zh-CN"/>
              </w:rPr>
              <w:t>危险特性</w:t>
            </w:r>
          </w:p>
        </w:tc>
        <w:tc>
          <w:tcPr>
            <w:tcW w:w="7103" w:type="dxa"/>
            <w:gridSpan w:val="10"/>
            <w:tcBorders>
              <w:tl2br w:val="nil"/>
              <w:tr2bl w:val="nil"/>
            </w:tcBorders>
            <w:vAlign w:val="center"/>
          </w:tcPr>
          <w:p w14:paraId="6AF20D52">
            <w:pPr>
              <w:rPr>
                <w:color w:val="auto"/>
                <w:szCs w:val="21"/>
                <w:lang w:val="zh-CN" w:bidi="zh-CN"/>
              </w:rPr>
            </w:pPr>
            <w:r>
              <w:rPr>
                <w:rFonts w:hint="eastAsia"/>
                <w:color w:val="auto"/>
                <w:szCs w:val="21"/>
                <w:lang w:val="zh-CN" w:bidi="zh-CN"/>
              </w:rPr>
              <w:t>极易燃，其蒸气与空气可形成爆炸性混合物。遇明火、高热极易燃烧爆炸。与氧化剂接触发生强烈反应，甚至引起燃烧。在火场中，受热的容器有爆炸危险。其蒸气比空气重，能在较低处扩散到相当远的地方，遇明火会引着回燃。</w:t>
            </w:r>
          </w:p>
        </w:tc>
      </w:tr>
      <w:tr w14:paraId="65D4F81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7F43C543">
            <w:pPr>
              <w:rPr>
                <w:color w:val="auto"/>
                <w:szCs w:val="21"/>
              </w:rPr>
            </w:pPr>
          </w:p>
        </w:tc>
        <w:tc>
          <w:tcPr>
            <w:tcW w:w="1746" w:type="dxa"/>
            <w:tcBorders>
              <w:tl2br w:val="nil"/>
              <w:tr2bl w:val="nil"/>
            </w:tcBorders>
            <w:vAlign w:val="center"/>
          </w:tcPr>
          <w:p w14:paraId="5A298821">
            <w:pPr>
              <w:ind w:firstLine="115"/>
              <w:jc w:val="center"/>
              <w:rPr>
                <w:color w:val="auto"/>
                <w:szCs w:val="21"/>
                <w:lang w:val="zh-CN" w:bidi="zh-CN"/>
              </w:rPr>
            </w:pPr>
            <w:r>
              <w:rPr>
                <w:color w:val="auto"/>
                <w:szCs w:val="21"/>
                <w:lang w:val="zh-CN" w:bidi="zh-CN"/>
              </w:rPr>
              <w:t>储运条件与泄漏处理</w:t>
            </w:r>
          </w:p>
        </w:tc>
        <w:tc>
          <w:tcPr>
            <w:tcW w:w="7103" w:type="dxa"/>
            <w:gridSpan w:val="10"/>
            <w:tcBorders>
              <w:tl2br w:val="nil"/>
              <w:tr2bl w:val="nil"/>
            </w:tcBorders>
            <w:vAlign w:val="center"/>
          </w:tcPr>
          <w:p w14:paraId="56D10911">
            <w:pPr>
              <w:rPr>
                <w:color w:val="auto"/>
                <w:szCs w:val="21"/>
                <w:lang w:val="zh-CN" w:bidi="zh-CN"/>
              </w:rPr>
            </w:pPr>
            <w:r>
              <w:rPr>
                <w:b/>
                <w:color w:val="auto"/>
                <w:szCs w:val="21"/>
                <w:lang w:val="zh-CN" w:bidi="zh-CN"/>
              </w:rPr>
              <w:t>储运条件</w:t>
            </w:r>
            <w:r>
              <w:rPr>
                <w:color w:val="auto"/>
                <w:szCs w:val="21"/>
                <w:lang w:val="zh-CN" w:bidi="zh-CN"/>
              </w:rPr>
              <w:t>：</w:t>
            </w:r>
            <w:r>
              <w:rPr>
                <w:rFonts w:hint="eastAsia"/>
                <w:color w:val="auto"/>
                <w:szCs w:val="21"/>
                <w:lang w:val="zh-CN" w:bidi="zh-CN"/>
              </w:rPr>
              <w:t>储存于阴凉、通风仓间内。远离火种、热源。仓温不宜超过30℃。防止阳光直射保持容器密封。应与氧化剂分开存放。储存间内的照明、通风等设施应采用防爆型，开关设在仓外。配备相应品种和数量的消防器材。桶装堆垛不可过大，应留墙距顶距、柱距及必要的防火裣查走道。若是储罐存放，储罐区域要有禁火标志和防火</w:t>
            </w:r>
            <w:r>
              <w:rPr>
                <w:rFonts w:hint="eastAsia"/>
                <w:color w:val="auto"/>
                <w:szCs w:val="21"/>
                <w:lang w:bidi="zh-CN"/>
              </w:rPr>
              <w:t>防爆技术措施。禁止使用易产生火花的</w:t>
            </w:r>
            <w:r>
              <w:rPr>
                <w:rFonts w:hint="eastAsia"/>
                <w:color w:val="auto"/>
                <w:szCs w:val="21"/>
                <w:lang w:val="zh-CN" w:bidi="zh-CN"/>
              </w:rPr>
              <w:t>设备和工具，灌装时应注流速（不超过3m/s）</w:t>
            </w:r>
            <w:r>
              <w:rPr>
                <w:rFonts w:hint="eastAsia"/>
                <w:color w:val="auto"/>
                <w:szCs w:val="21"/>
                <w:lang w:bidi="zh-CN"/>
              </w:rPr>
              <w:t>且</w:t>
            </w:r>
            <w:r>
              <w:rPr>
                <w:rFonts w:hint="eastAsia"/>
                <w:color w:val="auto"/>
                <w:szCs w:val="21"/>
                <w:lang w:val="zh-CN" w:bidi="zh-CN"/>
              </w:rPr>
              <w:t>有接地装置，防止静电积聚。</w:t>
            </w:r>
          </w:p>
          <w:p w14:paraId="184FEE86">
            <w:pPr>
              <w:rPr>
                <w:color w:val="auto"/>
                <w:szCs w:val="21"/>
                <w:lang w:val="zh-CN" w:bidi="zh-CN"/>
              </w:rPr>
            </w:pPr>
            <w:r>
              <w:rPr>
                <w:b/>
                <w:color w:val="auto"/>
                <w:szCs w:val="21"/>
                <w:lang w:val="zh-CN" w:bidi="zh-CN"/>
              </w:rPr>
              <w:t>泄漏处理</w:t>
            </w:r>
            <w:r>
              <w:rPr>
                <w:color w:val="auto"/>
                <w:szCs w:val="21"/>
                <w:lang w:val="zh-CN" w:bidi="zh-CN"/>
              </w:rPr>
              <w:t>：</w:t>
            </w:r>
            <w:r>
              <w:rPr>
                <w:rFonts w:hint="eastAsia"/>
                <w:color w:val="auto"/>
                <w:szCs w:val="21"/>
                <w:lang w:val="zh-CN" w:bidi="zh-CN"/>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不燃性分散剂制成的乳液刷洗，洗液稀释后放入废水系统。大量泄漏：构筑围堤或挖坑收容；用泡沫覆盖，降低蒸气灾害。用防爆泵转移至槽车或专用收集器内，回收或运至废物处理场所处置。</w:t>
            </w:r>
          </w:p>
        </w:tc>
      </w:tr>
      <w:tr w14:paraId="07EA985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52" w:type="dxa"/>
            <w:vMerge w:val="continue"/>
            <w:tcBorders>
              <w:tl2br w:val="nil"/>
              <w:tr2bl w:val="nil"/>
            </w:tcBorders>
          </w:tcPr>
          <w:p w14:paraId="501F7BB3">
            <w:pPr>
              <w:rPr>
                <w:color w:val="auto"/>
                <w:szCs w:val="21"/>
              </w:rPr>
            </w:pPr>
          </w:p>
        </w:tc>
        <w:tc>
          <w:tcPr>
            <w:tcW w:w="1746" w:type="dxa"/>
            <w:tcBorders>
              <w:tl2br w:val="nil"/>
              <w:tr2bl w:val="nil"/>
            </w:tcBorders>
            <w:vAlign w:val="center"/>
          </w:tcPr>
          <w:p w14:paraId="104325B6">
            <w:pPr>
              <w:jc w:val="center"/>
              <w:rPr>
                <w:color w:val="auto"/>
                <w:szCs w:val="21"/>
                <w:lang w:val="zh-CN" w:bidi="zh-CN"/>
              </w:rPr>
            </w:pPr>
            <w:r>
              <w:rPr>
                <w:color w:val="auto"/>
                <w:szCs w:val="21"/>
                <w:lang w:val="zh-CN" w:bidi="zh-CN"/>
              </w:rPr>
              <w:t>灭火方法</w:t>
            </w:r>
          </w:p>
        </w:tc>
        <w:tc>
          <w:tcPr>
            <w:tcW w:w="7103" w:type="dxa"/>
            <w:gridSpan w:val="10"/>
            <w:tcBorders>
              <w:tl2br w:val="nil"/>
              <w:tr2bl w:val="nil"/>
            </w:tcBorders>
            <w:vAlign w:val="center"/>
          </w:tcPr>
          <w:p w14:paraId="5D649563">
            <w:pPr>
              <w:rPr>
                <w:color w:val="auto"/>
                <w:szCs w:val="21"/>
                <w:lang w:val="zh-CN" w:bidi="zh-CN"/>
              </w:rPr>
            </w:pPr>
            <w:r>
              <w:rPr>
                <w:rFonts w:hint="eastAsia"/>
                <w:color w:val="auto"/>
                <w:szCs w:val="21"/>
                <w:lang w:val="zh-CN" w:bidi="zh-CN"/>
              </w:rPr>
              <w:t>喷水冷却容器，可能的话将容器从火场移至空旷处。处在火场中的容器若已变色或从安全泄压装置中产生声音，必须马上撤离。灭火剂：泡沫、干粉、二氧化碳、砂土。用水灭火无效。</w:t>
            </w:r>
          </w:p>
        </w:tc>
      </w:tr>
    </w:tbl>
    <w:p w14:paraId="262AC629">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4.</w:t>
      </w:r>
      <w:r>
        <w:rPr>
          <w:rFonts w:ascii="Times New Roman" w:hAnsi="Times New Roman"/>
          <w:b/>
          <w:bCs/>
          <w:color w:val="auto"/>
          <w:sz w:val="24"/>
          <w:szCs w:val="24"/>
        </w:rPr>
        <w:t>1.</w:t>
      </w:r>
      <w:r>
        <w:rPr>
          <w:rFonts w:hint="default" w:ascii="Times New Roman" w:hAnsi="Times New Roman"/>
          <w:b/>
          <w:bCs/>
          <w:color w:val="auto"/>
          <w:sz w:val="24"/>
          <w:szCs w:val="24"/>
        </w:rPr>
        <w:t>2生产系统危险性识别</w:t>
      </w:r>
    </w:p>
    <w:p w14:paraId="72C46011">
      <w:pPr>
        <w:adjustRightInd w:val="0"/>
        <w:snapToGrid w:val="0"/>
        <w:spacing w:line="360" w:lineRule="auto"/>
        <w:ind w:firstLine="480" w:firstLineChars="200"/>
        <w:rPr>
          <w:color w:val="auto"/>
          <w:sz w:val="24"/>
        </w:rPr>
      </w:pPr>
      <w:r>
        <w:rPr>
          <w:rFonts w:hint="eastAsia"/>
          <w:color w:val="auto"/>
          <w:sz w:val="24"/>
        </w:rPr>
        <w:t>根据本项目工艺流程和总平面布置功能区划，结合物质危险性识别，对生产系统危险性进行识别，结果见表4-2所示。</w:t>
      </w:r>
    </w:p>
    <w:p w14:paraId="568B0080">
      <w:pPr>
        <w:spacing w:line="360" w:lineRule="auto"/>
        <w:jc w:val="center"/>
        <w:rPr>
          <w:b/>
          <w:color w:val="auto"/>
          <w:sz w:val="24"/>
        </w:rPr>
      </w:pPr>
      <w:r>
        <w:rPr>
          <w:b/>
          <w:color w:val="auto"/>
          <w:sz w:val="24"/>
        </w:rPr>
        <w:t>表 4-2生产系统危险性识别</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42"/>
        <w:gridCol w:w="1232"/>
        <w:gridCol w:w="1277"/>
        <w:gridCol w:w="2507"/>
        <w:gridCol w:w="2193"/>
        <w:gridCol w:w="1686"/>
      </w:tblGrid>
      <w:tr w14:paraId="50E453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54" w:hRule="atLeast"/>
          <w:jc w:val="center"/>
        </w:trPr>
        <w:tc>
          <w:tcPr>
            <w:tcW w:w="718" w:type="dxa"/>
            <w:tcBorders>
              <w:tl2br w:val="nil"/>
              <w:tr2bl w:val="nil"/>
            </w:tcBorders>
            <w:vAlign w:val="center"/>
          </w:tcPr>
          <w:p w14:paraId="21213C0C">
            <w:pPr>
              <w:jc w:val="center"/>
              <w:rPr>
                <w:color w:val="auto"/>
                <w:szCs w:val="21"/>
                <w:lang w:val="zh-CN" w:bidi="zh-CN"/>
              </w:rPr>
            </w:pPr>
            <w:r>
              <w:rPr>
                <w:color w:val="auto"/>
                <w:szCs w:val="21"/>
                <w:lang w:val="zh-CN" w:bidi="zh-CN"/>
              </w:rPr>
              <w:t>序号</w:t>
            </w:r>
          </w:p>
        </w:tc>
        <w:tc>
          <w:tcPr>
            <w:tcW w:w="1193" w:type="dxa"/>
            <w:tcBorders>
              <w:tl2br w:val="nil"/>
              <w:tr2bl w:val="nil"/>
            </w:tcBorders>
            <w:vAlign w:val="center"/>
          </w:tcPr>
          <w:p w14:paraId="212C5945">
            <w:pPr>
              <w:jc w:val="center"/>
              <w:rPr>
                <w:color w:val="auto"/>
                <w:szCs w:val="21"/>
                <w:lang w:val="zh-CN" w:bidi="zh-CN"/>
              </w:rPr>
            </w:pPr>
            <w:r>
              <w:rPr>
                <w:color w:val="auto"/>
                <w:szCs w:val="21"/>
                <w:lang w:val="zh-CN" w:bidi="zh-CN"/>
              </w:rPr>
              <w:t>危险</w:t>
            </w:r>
          </w:p>
          <w:p w14:paraId="2D44BFA7">
            <w:pPr>
              <w:jc w:val="center"/>
              <w:rPr>
                <w:color w:val="auto"/>
                <w:szCs w:val="21"/>
                <w:lang w:val="zh-CN" w:bidi="zh-CN"/>
              </w:rPr>
            </w:pPr>
            <w:r>
              <w:rPr>
                <w:color w:val="auto"/>
                <w:szCs w:val="21"/>
                <w:lang w:val="zh-CN" w:bidi="zh-CN"/>
              </w:rPr>
              <w:t>单元</w:t>
            </w:r>
          </w:p>
        </w:tc>
        <w:tc>
          <w:tcPr>
            <w:tcW w:w="1236" w:type="dxa"/>
            <w:tcBorders>
              <w:tl2br w:val="nil"/>
              <w:tr2bl w:val="nil"/>
            </w:tcBorders>
            <w:vAlign w:val="center"/>
          </w:tcPr>
          <w:p w14:paraId="19DCAC05">
            <w:pPr>
              <w:jc w:val="center"/>
              <w:rPr>
                <w:color w:val="auto"/>
                <w:szCs w:val="21"/>
                <w:lang w:val="zh-CN" w:bidi="zh-CN"/>
              </w:rPr>
            </w:pPr>
            <w:r>
              <w:rPr>
                <w:color w:val="auto"/>
                <w:szCs w:val="21"/>
                <w:lang w:val="zh-CN" w:bidi="zh-CN"/>
              </w:rPr>
              <w:t>主要危</w:t>
            </w:r>
          </w:p>
          <w:p w14:paraId="610AA2A1">
            <w:pPr>
              <w:jc w:val="center"/>
              <w:rPr>
                <w:color w:val="auto"/>
                <w:szCs w:val="21"/>
                <w:lang w:val="zh-CN" w:bidi="zh-CN"/>
              </w:rPr>
            </w:pPr>
            <w:r>
              <w:rPr>
                <w:color w:val="auto"/>
                <w:szCs w:val="21"/>
                <w:lang w:val="zh-CN" w:bidi="zh-CN"/>
              </w:rPr>
              <w:t>险物质</w:t>
            </w:r>
          </w:p>
        </w:tc>
        <w:tc>
          <w:tcPr>
            <w:tcW w:w="2427" w:type="dxa"/>
            <w:tcBorders>
              <w:tl2br w:val="nil"/>
              <w:tr2bl w:val="nil"/>
            </w:tcBorders>
            <w:vAlign w:val="center"/>
          </w:tcPr>
          <w:p w14:paraId="0C919C71">
            <w:pPr>
              <w:jc w:val="center"/>
              <w:rPr>
                <w:color w:val="auto"/>
                <w:szCs w:val="21"/>
                <w:lang w:val="zh-CN" w:bidi="zh-CN"/>
              </w:rPr>
            </w:pPr>
            <w:r>
              <w:rPr>
                <w:color w:val="auto"/>
                <w:szCs w:val="21"/>
                <w:lang w:val="zh-CN" w:bidi="zh-CN"/>
              </w:rPr>
              <w:t>触发因素</w:t>
            </w:r>
          </w:p>
        </w:tc>
        <w:tc>
          <w:tcPr>
            <w:tcW w:w="2123" w:type="dxa"/>
            <w:tcBorders>
              <w:tl2br w:val="nil"/>
              <w:tr2bl w:val="nil"/>
            </w:tcBorders>
            <w:vAlign w:val="center"/>
          </w:tcPr>
          <w:p w14:paraId="3EAAF627">
            <w:pPr>
              <w:jc w:val="center"/>
              <w:rPr>
                <w:color w:val="auto"/>
                <w:szCs w:val="21"/>
                <w:lang w:val="zh-CN" w:bidi="zh-CN"/>
              </w:rPr>
            </w:pPr>
            <w:r>
              <w:rPr>
                <w:color w:val="auto"/>
                <w:szCs w:val="21"/>
                <w:lang w:val="zh-CN" w:bidi="zh-CN"/>
              </w:rPr>
              <w:t>环境风险类型</w:t>
            </w:r>
          </w:p>
        </w:tc>
        <w:tc>
          <w:tcPr>
            <w:tcW w:w="1632" w:type="dxa"/>
            <w:tcBorders>
              <w:tl2br w:val="nil"/>
              <w:tr2bl w:val="nil"/>
            </w:tcBorders>
            <w:vAlign w:val="center"/>
          </w:tcPr>
          <w:p w14:paraId="01DC5F46">
            <w:pPr>
              <w:jc w:val="center"/>
              <w:rPr>
                <w:color w:val="auto"/>
                <w:szCs w:val="21"/>
                <w:lang w:val="zh-CN" w:bidi="zh-CN"/>
              </w:rPr>
            </w:pPr>
            <w:r>
              <w:rPr>
                <w:color w:val="auto"/>
                <w:szCs w:val="21"/>
                <w:lang w:val="zh-CN" w:bidi="zh-CN"/>
              </w:rPr>
              <w:t>环境影响途经</w:t>
            </w:r>
          </w:p>
        </w:tc>
      </w:tr>
      <w:tr w14:paraId="7695B3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18" w:type="dxa"/>
            <w:tcBorders>
              <w:tl2br w:val="nil"/>
              <w:tr2bl w:val="nil"/>
            </w:tcBorders>
            <w:vAlign w:val="center"/>
          </w:tcPr>
          <w:p w14:paraId="1700D5BD">
            <w:pPr>
              <w:jc w:val="center"/>
              <w:rPr>
                <w:color w:val="auto"/>
                <w:szCs w:val="21"/>
                <w:lang w:val="zh-CN" w:bidi="zh-CN"/>
              </w:rPr>
            </w:pPr>
            <w:r>
              <w:rPr>
                <w:color w:val="auto"/>
                <w:szCs w:val="21"/>
                <w:lang w:val="zh-CN" w:bidi="zh-CN"/>
              </w:rPr>
              <w:t>1</w:t>
            </w:r>
          </w:p>
        </w:tc>
        <w:tc>
          <w:tcPr>
            <w:tcW w:w="1193" w:type="dxa"/>
            <w:tcBorders>
              <w:tl2br w:val="nil"/>
              <w:tr2bl w:val="nil"/>
            </w:tcBorders>
            <w:vAlign w:val="center"/>
          </w:tcPr>
          <w:p w14:paraId="051DCE5F">
            <w:pPr>
              <w:jc w:val="center"/>
              <w:rPr>
                <w:color w:val="auto"/>
                <w:szCs w:val="21"/>
                <w:lang w:val="zh-CN" w:bidi="zh-CN"/>
              </w:rPr>
            </w:pPr>
            <w:r>
              <w:rPr>
                <w:color w:val="auto"/>
                <w:szCs w:val="21"/>
                <w:lang w:val="zh-CN" w:bidi="zh-CN"/>
              </w:rPr>
              <w:t>罐区</w:t>
            </w:r>
          </w:p>
        </w:tc>
        <w:tc>
          <w:tcPr>
            <w:tcW w:w="1236" w:type="dxa"/>
            <w:tcBorders>
              <w:tl2br w:val="nil"/>
              <w:tr2bl w:val="nil"/>
            </w:tcBorders>
            <w:vAlign w:val="center"/>
          </w:tcPr>
          <w:p w14:paraId="1A295868">
            <w:pPr>
              <w:jc w:val="center"/>
              <w:rPr>
                <w:color w:val="auto"/>
                <w:szCs w:val="21"/>
                <w:lang w:val="zh-CN" w:bidi="zh-CN"/>
              </w:rPr>
            </w:pPr>
            <w:r>
              <w:rPr>
                <w:rFonts w:hint="eastAsia"/>
                <w:color w:val="auto"/>
                <w:szCs w:val="21"/>
                <w:lang w:bidi="zh-CN"/>
              </w:rPr>
              <w:t>正己烷</w:t>
            </w:r>
          </w:p>
        </w:tc>
        <w:tc>
          <w:tcPr>
            <w:tcW w:w="2427" w:type="dxa"/>
            <w:tcBorders>
              <w:tl2br w:val="nil"/>
              <w:tr2bl w:val="nil"/>
            </w:tcBorders>
            <w:vAlign w:val="center"/>
          </w:tcPr>
          <w:p w14:paraId="3EDE105D">
            <w:pPr>
              <w:jc w:val="center"/>
              <w:rPr>
                <w:color w:val="auto"/>
                <w:szCs w:val="21"/>
                <w:lang w:val="zh-CN" w:bidi="zh-CN"/>
              </w:rPr>
            </w:pPr>
            <w:r>
              <w:rPr>
                <w:color w:val="auto"/>
                <w:szCs w:val="21"/>
                <w:lang w:val="zh-CN" w:bidi="zh-CN"/>
              </w:rPr>
              <w:t>储罐、管道阀门等泄漏</w:t>
            </w:r>
          </w:p>
        </w:tc>
        <w:tc>
          <w:tcPr>
            <w:tcW w:w="2123" w:type="dxa"/>
            <w:tcBorders>
              <w:tl2br w:val="nil"/>
              <w:tr2bl w:val="nil"/>
            </w:tcBorders>
            <w:vAlign w:val="center"/>
          </w:tcPr>
          <w:p w14:paraId="751D72E0">
            <w:pPr>
              <w:jc w:val="center"/>
              <w:rPr>
                <w:color w:val="auto"/>
                <w:szCs w:val="21"/>
                <w:lang w:val="zh-CN" w:bidi="zh-CN"/>
              </w:rPr>
            </w:pPr>
            <w:r>
              <w:rPr>
                <w:color w:val="auto"/>
                <w:szCs w:val="21"/>
                <w:lang w:val="zh-CN" w:bidi="zh-CN"/>
              </w:rPr>
              <w:t>泄漏、火灾引发伴生/次生污染物排放</w:t>
            </w:r>
          </w:p>
        </w:tc>
        <w:tc>
          <w:tcPr>
            <w:tcW w:w="1632" w:type="dxa"/>
            <w:tcBorders>
              <w:tl2br w:val="nil"/>
              <w:tr2bl w:val="nil"/>
            </w:tcBorders>
            <w:vAlign w:val="center"/>
          </w:tcPr>
          <w:p w14:paraId="6FE2745D">
            <w:pPr>
              <w:jc w:val="center"/>
              <w:rPr>
                <w:color w:val="auto"/>
                <w:szCs w:val="21"/>
                <w:lang w:val="zh-CN" w:bidi="zh-CN"/>
              </w:rPr>
            </w:pPr>
            <w:r>
              <w:rPr>
                <w:color w:val="auto"/>
                <w:spacing w:val="-12"/>
                <w:szCs w:val="21"/>
                <w:lang w:val="zh-CN" w:bidi="zh-CN"/>
              </w:rPr>
              <w:t>大气、</w:t>
            </w:r>
            <w:r>
              <w:rPr>
                <w:rFonts w:hint="eastAsia"/>
                <w:color w:val="auto"/>
                <w:spacing w:val="-12"/>
                <w:szCs w:val="21"/>
                <w:lang w:val="zh-CN" w:bidi="zh-CN"/>
              </w:rPr>
              <w:t>地表水、</w:t>
            </w:r>
            <w:r>
              <w:rPr>
                <w:color w:val="auto"/>
                <w:spacing w:val="-12"/>
                <w:szCs w:val="21"/>
                <w:lang w:val="zh-CN" w:bidi="zh-CN"/>
              </w:rPr>
              <w:t>地下水</w:t>
            </w:r>
          </w:p>
        </w:tc>
      </w:tr>
    </w:tbl>
    <w:p w14:paraId="6668AB97">
      <w:pPr>
        <w:pStyle w:val="18"/>
        <w:spacing w:line="360" w:lineRule="auto"/>
        <w:rPr>
          <w:rFonts w:hint="default" w:ascii="Times New Roman" w:hAnsi="Times New Roman"/>
          <w:b/>
          <w:bCs/>
          <w:color w:val="auto"/>
          <w:sz w:val="24"/>
          <w:szCs w:val="24"/>
        </w:rPr>
      </w:pPr>
      <w:bookmarkStart w:id="123" w:name="_Toc117113810"/>
      <w:bookmarkStart w:id="124" w:name="_Toc126660547"/>
      <w:bookmarkStart w:id="125" w:name="_Toc128486825"/>
      <w:r>
        <w:rPr>
          <w:rFonts w:hint="default" w:ascii="Times New Roman" w:hAnsi="Times New Roman"/>
          <w:b/>
          <w:bCs/>
          <w:color w:val="auto"/>
          <w:sz w:val="24"/>
          <w:szCs w:val="24"/>
        </w:rPr>
        <w:t>4</w:t>
      </w:r>
      <w:r>
        <w:rPr>
          <w:rFonts w:ascii="Times New Roman" w:hAnsi="Times New Roman"/>
          <w:b/>
          <w:bCs/>
          <w:color w:val="auto"/>
          <w:sz w:val="24"/>
          <w:szCs w:val="24"/>
        </w:rPr>
        <w:t>.1.3风险识别结果</w:t>
      </w:r>
      <w:bookmarkEnd w:id="123"/>
      <w:bookmarkEnd w:id="124"/>
      <w:bookmarkEnd w:id="125"/>
    </w:p>
    <w:p w14:paraId="4B1CFD41">
      <w:pPr>
        <w:spacing w:line="480" w:lineRule="exact"/>
        <w:ind w:firstLine="480" w:firstLineChars="200"/>
        <w:rPr>
          <w:color w:val="auto"/>
          <w:sz w:val="24"/>
        </w:rPr>
      </w:pPr>
      <w:r>
        <w:rPr>
          <w:rFonts w:hint="eastAsia"/>
          <w:color w:val="auto"/>
          <w:sz w:val="24"/>
        </w:rPr>
        <w:t>根据上述风险识别的分析，本项目可能</w:t>
      </w:r>
      <w:r>
        <w:rPr>
          <w:rFonts w:hint="eastAsia"/>
          <w:color w:val="auto"/>
          <w:sz w:val="24"/>
          <w:lang w:eastAsia="zh-CN"/>
        </w:rPr>
        <w:t>存在</w:t>
      </w:r>
      <w:r>
        <w:rPr>
          <w:rFonts w:hint="eastAsia"/>
          <w:color w:val="auto"/>
          <w:sz w:val="24"/>
        </w:rPr>
        <w:t>环境风险主要为正己烷泄漏以及引发的火灾事故，项目环境风险识别情况见表</w:t>
      </w:r>
      <w:r>
        <w:rPr>
          <w:color w:val="auto"/>
          <w:sz w:val="24"/>
        </w:rPr>
        <w:t>4-3</w:t>
      </w:r>
      <w:r>
        <w:rPr>
          <w:rFonts w:hint="eastAsia"/>
          <w:color w:val="auto"/>
          <w:sz w:val="24"/>
        </w:rPr>
        <w:t>。</w:t>
      </w:r>
    </w:p>
    <w:p w14:paraId="79A1A2F0">
      <w:pPr>
        <w:spacing w:line="360" w:lineRule="auto"/>
        <w:jc w:val="center"/>
        <w:rPr>
          <w:b/>
          <w:color w:val="auto"/>
          <w:sz w:val="24"/>
        </w:rPr>
      </w:pPr>
      <w:r>
        <w:rPr>
          <w:rFonts w:hint="eastAsia"/>
          <w:b/>
          <w:color w:val="auto"/>
          <w:sz w:val="24"/>
        </w:rPr>
        <w:t>表4</w:t>
      </w:r>
      <w:r>
        <w:rPr>
          <w:b/>
          <w:color w:val="auto"/>
          <w:sz w:val="24"/>
        </w:rPr>
        <w:t>-3</w:t>
      </w:r>
      <w:r>
        <w:rPr>
          <w:rFonts w:hint="eastAsia"/>
          <w:b/>
          <w:color w:val="auto"/>
          <w:sz w:val="24"/>
        </w:rPr>
        <w:t>项目环境风险识别一览表</w:t>
      </w:r>
    </w:p>
    <w:tbl>
      <w:tblPr>
        <w:tblStyle w:val="39"/>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1202"/>
        <w:gridCol w:w="1201"/>
        <w:gridCol w:w="1202"/>
        <w:gridCol w:w="1210"/>
        <w:gridCol w:w="1210"/>
        <w:gridCol w:w="1704"/>
        <w:gridCol w:w="706"/>
      </w:tblGrid>
      <w:tr w14:paraId="36F78A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14:paraId="7EA54DBF">
            <w:pPr>
              <w:spacing w:line="0" w:lineRule="atLeast"/>
              <w:jc w:val="center"/>
              <w:rPr>
                <w:color w:val="auto"/>
                <w:szCs w:val="21"/>
              </w:rPr>
            </w:pPr>
            <w:r>
              <w:rPr>
                <w:color w:val="auto"/>
                <w:szCs w:val="21"/>
              </w:rPr>
              <w:t>序号</w:t>
            </w:r>
          </w:p>
        </w:tc>
        <w:tc>
          <w:tcPr>
            <w:tcW w:w="1202" w:type="dxa"/>
            <w:vAlign w:val="center"/>
          </w:tcPr>
          <w:p w14:paraId="2527224A">
            <w:pPr>
              <w:spacing w:line="0" w:lineRule="atLeast"/>
              <w:jc w:val="center"/>
              <w:rPr>
                <w:color w:val="auto"/>
                <w:szCs w:val="21"/>
              </w:rPr>
            </w:pPr>
            <w:r>
              <w:rPr>
                <w:color w:val="auto"/>
                <w:szCs w:val="21"/>
              </w:rPr>
              <w:t>危险单元</w:t>
            </w:r>
          </w:p>
        </w:tc>
        <w:tc>
          <w:tcPr>
            <w:tcW w:w="1201" w:type="dxa"/>
            <w:vAlign w:val="center"/>
          </w:tcPr>
          <w:p w14:paraId="7D36E07A">
            <w:pPr>
              <w:spacing w:line="0" w:lineRule="atLeast"/>
              <w:jc w:val="center"/>
              <w:rPr>
                <w:color w:val="auto"/>
                <w:szCs w:val="21"/>
              </w:rPr>
            </w:pPr>
            <w:r>
              <w:rPr>
                <w:color w:val="auto"/>
                <w:szCs w:val="21"/>
              </w:rPr>
              <w:t>风险源</w:t>
            </w:r>
          </w:p>
        </w:tc>
        <w:tc>
          <w:tcPr>
            <w:tcW w:w="1202" w:type="dxa"/>
            <w:vAlign w:val="center"/>
          </w:tcPr>
          <w:p w14:paraId="356F8549">
            <w:pPr>
              <w:spacing w:line="0" w:lineRule="atLeast"/>
              <w:jc w:val="center"/>
              <w:rPr>
                <w:color w:val="auto"/>
                <w:szCs w:val="21"/>
              </w:rPr>
            </w:pPr>
            <w:r>
              <w:rPr>
                <w:color w:val="auto"/>
                <w:szCs w:val="21"/>
              </w:rPr>
              <w:t>主要危险物质</w:t>
            </w:r>
          </w:p>
        </w:tc>
        <w:tc>
          <w:tcPr>
            <w:tcW w:w="1210" w:type="dxa"/>
            <w:vAlign w:val="center"/>
          </w:tcPr>
          <w:p w14:paraId="3B64FE40">
            <w:pPr>
              <w:spacing w:line="0" w:lineRule="atLeast"/>
              <w:jc w:val="center"/>
              <w:rPr>
                <w:color w:val="auto"/>
                <w:szCs w:val="21"/>
              </w:rPr>
            </w:pPr>
            <w:r>
              <w:rPr>
                <w:color w:val="auto"/>
                <w:szCs w:val="21"/>
              </w:rPr>
              <w:t>环境风险类型</w:t>
            </w:r>
          </w:p>
        </w:tc>
        <w:tc>
          <w:tcPr>
            <w:tcW w:w="1210" w:type="dxa"/>
            <w:vAlign w:val="center"/>
          </w:tcPr>
          <w:p w14:paraId="11AA5122">
            <w:pPr>
              <w:spacing w:line="0" w:lineRule="atLeast"/>
              <w:jc w:val="center"/>
              <w:rPr>
                <w:color w:val="auto"/>
                <w:szCs w:val="21"/>
              </w:rPr>
            </w:pPr>
            <w:r>
              <w:rPr>
                <w:color w:val="auto"/>
                <w:szCs w:val="21"/>
              </w:rPr>
              <w:t>环境影响途径</w:t>
            </w:r>
          </w:p>
        </w:tc>
        <w:tc>
          <w:tcPr>
            <w:tcW w:w="1704" w:type="dxa"/>
            <w:vAlign w:val="center"/>
          </w:tcPr>
          <w:p w14:paraId="6F4CA60E">
            <w:pPr>
              <w:spacing w:line="0" w:lineRule="atLeast"/>
              <w:jc w:val="center"/>
              <w:rPr>
                <w:color w:val="auto"/>
                <w:szCs w:val="21"/>
              </w:rPr>
            </w:pPr>
            <w:r>
              <w:rPr>
                <w:color w:val="auto"/>
                <w:szCs w:val="21"/>
              </w:rPr>
              <w:t>可能受影响的环境敏感目标</w:t>
            </w:r>
          </w:p>
        </w:tc>
        <w:tc>
          <w:tcPr>
            <w:tcW w:w="706" w:type="dxa"/>
            <w:vAlign w:val="center"/>
          </w:tcPr>
          <w:p w14:paraId="678624EF">
            <w:pPr>
              <w:spacing w:line="0" w:lineRule="atLeast"/>
              <w:jc w:val="center"/>
              <w:rPr>
                <w:color w:val="auto"/>
                <w:szCs w:val="21"/>
              </w:rPr>
            </w:pPr>
            <w:r>
              <w:rPr>
                <w:color w:val="auto"/>
                <w:szCs w:val="21"/>
              </w:rPr>
              <w:t>备注</w:t>
            </w:r>
          </w:p>
        </w:tc>
      </w:tr>
      <w:tr w14:paraId="4FE43A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02" w:type="dxa"/>
            <w:vAlign w:val="center"/>
          </w:tcPr>
          <w:p w14:paraId="198E93CD">
            <w:pPr>
              <w:spacing w:line="0" w:lineRule="atLeast"/>
              <w:jc w:val="center"/>
              <w:rPr>
                <w:color w:val="auto"/>
                <w:szCs w:val="21"/>
              </w:rPr>
            </w:pPr>
            <w:r>
              <w:rPr>
                <w:rFonts w:hint="eastAsia"/>
                <w:color w:val="auto"/>
                <w:szCs w:val="21"/>
              </w:rPr>
              <w:t>1</w:t>
            </w:r>
          </w:p>
        </w:tc>
        <w:tc>
          <w:tcPr>
            <w:tcW w:w="1202" w:type="dxa"/>
            <w:vAlign w:val="center"/>
          </w:tcPr>
          <w:p w14:paraId="4A528255">
            <w:pPr>
              <w:spacing w:before="60" w:after="60" w:line="0" w:lineRule="atLeast"/>
              <w:jc w:val="center"/>
              <w:rPr>
                <w:color w:val="auto"/>
                <w:szCs w:val="21"/>
              </w:rPr>
            </w:pPr>
            <w:r>
              <w:rPr>
                <w:rFonts w:hint="eastAsia"/>
                <w:color w:val="auto"/>
                <w:szCs w:val="21"/>
              </w:rPr>
              <w:t>正己烷储罐</w:t>
            </w:r>
          </w:p>
        </w:tc>
        <w:tc>
          <w:tcPr>
            <w:tcW w:w="1201" w:type="dxa"/>
            <w:vAlign w:val="center"/>
          </w:tcPr>
          <w:p w14:paraId="5DCB0A1F">
            <w:pPr>
              <w:spacing w:line="0" w:lineRule="atLeast"/>
              <w:jc w:val="center"/>
              <w:rPr>
                <w:color w:val="auto"/>
                <w:szCs w:val="21"/>
              </w:rPr>
            </w:pPr>
            <w:r>
              <w:rPr>
                <w:rFonts w:hint="eastAsia"/>
                <w:color w:val="auto"/>
                <w:szCs w:val="21"/>
              </w:rPr>
              <w:t>罐区</w:t>
            </w:r>
          </w:p>
        </w:tc>
        <w:tc>
          <w:tcPr>
            <w:tcW w:w="1202" w:type="dxa"/>
            <w:vAlign w:val="center"/>
          </w:tcPr>
          <w:p w14:paraId="26C2B13E">
            <w:pPr>
              <w:spacing w:line="0" w:lineRule="atLeast"/>
              <w:jc w:val="center"/>
              <w:rPr>
                <w:color w:val="auto"/>
                <w:szCs w:val="21"/>
              </w:rPr>
            </w:pPr>
            <w:r>
              <w:rPr>
                <w:rFonts w:hint="eastAsia"/>
                <w:color w:val="auto"/>
                <w:szCs w:val="21"/>
              </w:rPr>
              <w:t>正己烷</w:t>
            </w:r>
          </w:p>
        </w:tc>
        <w:tc>
          <w:tcPr>
            <w:tcW w:w="1210" w:type="dxa"/>
            <w:vAlign w:val="center"/>
          </w:tcPr>
          <w:p w14:paraId="30842269">
            <w:pPr>
              <w:spacing w:before="60" w:after="60" w:line="0" w:lineRule="atLeast"/>
              <w:jc w:val="center"/>
              <w:rPr>
                <w:color w:val="auto"/>
                <w:szCs w:val="21"/>
              </w:rPr>
            </w:pPr>
            <w:r>
              <w:rPr>
                <w:rFonts w:hint="eastAsia"/>
                <w:color w:val="auto"/>
                <w:szCs w:val="21"/>
              </w:rPr>
              <w:t>泄漏、火灾</w:t>
            </w:r>
          </w:p>
        </w:tc>
        <w:tc>
          <w:tcPr>
            <w:tcW w:w="1210" w:type="dxa"/>
            <w:vAlign w:val="center"/>
          </w:tcPr>
          <w:p w14:paraId="79C9F4D6">
            <w:pPr>
              <w:spacing w:before="60" w:after="60" w:line="0" w:lineRule="atLeast"/>
              <w:jc w:val="center"/>
              <w:rPr>
                <w:color w:val="auto"/>
                <w:szCs w:val="21"/>
              </w:rPr>
            </w:pPr>
            <w:r>
              <w:rPr>
                <w:rFonts w:hint="eastAsia"/>
                <w:color w:val="auto"/>
                <w:szCs w:val="21"/>
              </w:rPr>
              <w:t>环境空气、地表水环境</w:t>
            </w:r>
          </w:p>
        </w:tc>
        <w:tc>
          <w:tcPr>
            <w:tcW w:w="1704" w:type="dxa"/>
            <w:vAlign w:val="center"/>
          </w:tcPr>
          <w:p w14:paraId="785AB7D5">
            <w:pPr>
              <w:spacing w:before="60" w:after="60" w:line="0" w:lineRule="atLeast"/>
              <w:jc w:val="center"/>
              <w:rPr>
                <w:color w:val="auto"/>
                <w:szCs w:val="21"/>
              </w:rPr>
            </w:pPr>
            <w:r>
              <w:rPr>
                <w:rFonts w:hint="eastAsia"/>
                <w:color w:val="auto"/>
                <w:szCs w:val="21"/>
              </w:rPr>
              <w:t>厂区</w:t>
            </w:r>
            <w:r>
              <w:rPr>
                <w:color w:val="auto"/>
                <w:szCs w:val="21"/>
              </w:rPr>
              <w:t>3</w:t>
            </w:r>
            <w:r>
              <w:rPr>
                <w:rFonts w:hint="eastAsia"/>
                <w:color w:val="auto"/>
                <w:szCs w:val="21"/>
              </w:rPr>
              <w:t>km范围内</w:t>
            </w:r>
          </w:p>
          <w:p w14:paraId="30E29D22">
            <w:pPr>
              <w:spacing w:line="0" w:lineRule="atLeast"/>
              <w:jc w:val="center"/>
              <w:rPr>
                <w:color w:val="auto"/>
                <w:szCs w:val="21"/>
              </w:rPr>
            </w:pPr>
            <w:r>
              <w:rPr>
                <w:rFonts w:hint="eastAsia"/>
                <w:color w:val="auto"/>
                <w:szCs w:val="21"/>
              </w:rPr>
              <w:t>的环境敏感目标</w:t>
            </w:r>
          </w:p>
        </w:tc>
        <w:tc>
          <w:tcPr>
            <w:tcW w:w="706" w:type="dxa"/>
            <w:vAlign w:val="center"/>
          </w:tcPr>
          <w:p w14:paraId="224A7482">
            <w:pPr>
              <w:spacing w:line="0" w:lineRule="atLeast"/>
              <w:jc w:val="center"/>
              <w:rPr>
                <w:color w:val="auto"/>
                <w:szCs w:val="21"/>
              </w:rPr>
            </w:pPr>
            <w:r>
              <w:rPr>
                <w:rFonts w:hint="eastAsia"/>
                <w:color w:val="auto"/>
                <w:szCs w:val="21"/>
              </w:rPr>
              <w:t>/</w:t>
            </w:r>
          </w:p>
        </w:tc>
      </w:tr>
    </w:tbl>
    <w:p w14:paraId="11E84E55">
      <w:pPr>
        <w:pStyle w:val="18"/>
        <w:spacing w:line="360" w:lineRule="auto"/>
        <w:rPr>
          <w:rFonts w:hint="default" w:ascii="Times New Roman" w:hAnsi="Times New Roman"/>
          <w:b/>
          <w:bCs/>
          <w:color w:val="auto"/>
          <w:sz w:val="24"/>
          <w:szCs w:val="24"/>
        </w:rPr>
      </w:pPr>
      <w:bookmarkStart w:id="126" w:name="_Toc128486826"/>
      <w:bookmarkStart w:id="127" w:name="_Toc126660548"/>
      <w:bookmarkStart w:id="128" w:name="_Toc117113811"/>
      <w:r>
        <w:rPr>
          <w:rFonts w:hint="default" w:ascii="Times New Roman" w:hAnsi="Times New Roman"/>
          <w:b/>
          <w:bCs/>
          <w:color w:val="auto"/>
          <w:sz w:val="24"/>
          <w:szCs w:val="24"/>
        </w:rPr>
        <w:t>4</w:t>
      </w:r>
      <w:r>
        <w:rPr>
          <w:rFonts w:ascii="Times New Roman" w:hAnsi="Times New Roman"/>
          <w:b/>
          <w:bCs/>
          <w:color w:val="auto"/>
          <w:sz w:val="24"/>
          <w:szCs w:val="24"/>
        </w:rPr>
        <w:t>.2风险事故情景分析</w:t>
      </w:r>
      <w:bookmarkEnd w:id="126"/>
      <w:bookmarkEnd w:id="127"/>
      <w:bookmarkEnd w:id="128"/>
    </w:p>
    <w:p w14:paraId="41AE3E41">
      <w:pPr>
        <w:pStyle w:val="18"/>
        <w:spacing w:line="360" w:lineRule="auto"/>
        <w:rPr>
          <w:rFonts w:hint="default" w:ascii="Times New Roman" w:hAnsi="Times New Roman"/>
          <w:b/>
          <w:bCs/>
          <w:color w:val="auto"/>
          <w:sz w:val="24"/>
          <w:szCs w:val="24"/>
        </w:rPr>
      </w:pPr>
      <w:bookmarkStart w:id="129" w:name="_Toc117113812"/>
      <w:bookmarkStart w:id="130" w:name="_Toc128486827"/>
      <w:bookmarkStart w:id="131" w:name="_Toc126660549"/>
      <w:r>
        <w:rPr>
          <w:rFonts w:hint="default" w:ascii="Times New Roman" w:hAnsi="Times New Roman"/>
          <w:b/>
          <w:bCs/>
          <w:color w:val="auto"/>
          <w:sz w:val="24"/>
          <w:szCs w:val="24"/>
        </w:rPr>
        <w:t>4</w:t>
      </w:r>
      <w:r>
        <w:rPr>
          <w:rFonts w:ascii="Times New Roman" w:hAnsi="Times New Roman"/>
          <w:b/>
          <w:bCs/>
          <w:color w:val="auto"/>
          <w:sz w:val="24"/>
          <w:szCs w:val="24"/>
        </w:rPr>
        <w:t>.2.1风险事故情形设定</w:t>
      </w:r>
      <w:bookmarkEnd w:id="129"/>
      <w:bookmarkEnd w:id="130"/>
      <w:bookmarkEnd w:id="131"/>
    </w:p>
    <w:p w14:paraId="7DCCD223">
      <w:pPr>
        <w:spacing w:line="480" w:lineRule="exact"/>
        <w:ind w:firstLine="480" w:firstLineChars="200"/>
        <w:rPr>
          <w:color w:val="auto"/>
          <w:sz w:val="24"/>
        </w:rPr>
      </w:pPr>
      <w:r>
        <w:rPr>
          <w:rFonts w:hint="eastAsia"/>
          <w:color w:val="auto"/>
          <w:sz w:val="24"/>
        </w:rPr>
        <w:t>根据《建设项目环境风险评价技术导则》（HJ169-2018），发生频率小于10</w:t>
      </w:r>
      <w:r>
        <w:rPr>
          <w:rFonts w:hint="eastAsia"/>
          <w:color w:val="auto"/>
          <w:sz w:val="24"/>
          <w:vertAlign w:val="superscript"/>
        </w:rPr>
        <w:t>-6</w:t>
      </w:r>
      <w:r>
        <w:rPr>
          <w:rFonts w:hint="eastAsia"/>
          <w:color w:val="auto"/>
          <w:sz w:val="24"/>
        </w:rPr>
        <w:t>/年的事件是极小概率事件，可作为代表性事故情形中最大可信事故设定的参考。参照HJ169-2018附录E中的泄漏频率的推荐值，项目</w:t>
      </w:r>
      <w:r>
        <w:rPr>
          <w:rFonts w:hint="eastAsia"/>
          <w:color w:val="auto"/>
          <w:sz w:val="24"/>
          <w:lang w:val="en-US" w:eastAsia="zh-CN"/>
        </w:rPr>
        <w:t>正己烷储罐</w:t>
      </w:r>
      <w:r>
        <w:rPr>
          <w:rFonts w:hint="eastAsia"/>
          <w:color w:val="auto"/>
          <w:sz w:val="24"/>
        </w:rPr>
        <w:t>（包括残液罐）“泄漏孔径为10mm孔径”的泄漏事故发生频率为1.00×10</w:t>
      </w:r>
      <w:r>
        <w:rPr>
          <w:rFonts w:hint="eastAsia"/>
          <w:color w:val="auto"/>
          <w:sz w:val="24"/>
          <w:vertAlign w:val="superscript"/>
        </w:rPr>
        <w:t>-4</w:t>
      </w:r>
      <w:r>
        <w:rPr>
          <w:rFonts w:hint="eastAsia"/>
          <w:color w:val="auto"/>
          <w:sz w:val="24"/>
        </w:rPr>
        <w:t>/a，根据液化石油气工程事故统计结果，液化石油气泄漏后被引燃，发生火灾的概率为2.5×10</w:t>
      </w:r>
      <w:r>
        <w:rPr>
          <w:rFonts w:hint="eastAsia"/>
          <w:color w:val="auto"/>
          <w:sz w:val="24"/>
          <w:vertAlign w:val="superscript"/>
        </w:rPr>
        <w:t>-4</w:t>
      </w:r>
      <w:r>
        <w:rPr>
          <w:rFonts w:hint="eastAsia"/>
          <w:color w:val="auto"/>
          <w:sz w:val="24"/>
        </w:rPr>
        <w:t>。本项目</w:t>
      </w:r>
      <w:r>
        <w:rPr>
          <w:rFonts w:hint="eastAsia"/>
          <w:color w:val="auto"/>
          <w:sz w:val="24"/>
          <w:lang w:val="en-US" w:eastAsia="zh-CN"/>
        </w:rPr>
        <w:t>正己烷储罐</w:t>
      </w:r>
      <w:r>
        <w:rPr>
          <w:rFonts w:hint="eastAsia"/>
          <w:color w:val="auto"/>
          <w:sz w:val="24"/>
        </w:rPr>
        <w:t>泄漏后发生火灾事故为最大可信事故。</w:t>
      </w:r>
    </w:p>
    <w:p w14:paraId="1F849583">
      <w:pPr>
        <w:pStyle w:val="18"/>
        <w:spacing w:line="360" w:lineRule="auto"/>
        <w:rPr>
          <w:rFonts w:hint="default" w:ascii="Times New Roman" w:hAnsi="Times New Roman"/>
          <w:b/>
          <w:bCs/>
          <w:color w:val="auto"/>
          <w:sz w:val="24"/>
          <w:szCs w:val="24"/>
        </w:rPr>
      </w:pPr>
      <w:bookmarkStart w:id="132" w:name="_Toc117113813"/>
      <w:bookmarkStart w:id="133" w:name="_Toc126660550"/>
      <w:bookmarkStart w:id="134" w:name="_Toc128486828"/>
      <w:r>
        <w:rPr>
          <w:rFonts w:hint="default" w:ascii="Times New Roman" w:hAnsi="Times New Roman"/>
          <w:b/>
          <w:bCs/>
          <w:color w:val="auto"/>
          <w:sz w:val="24"/>
          <w:szCs w:val="24"/>
        </w:rPr>
        <w:t>4</w:t>
      </w:r>
      <w:r>
        <w:rPr>
          <w:rFonts w:ascii="Times New Roman" w:hAnsi="Times New Roman"/>
          <w:b/>
          <w:bCs/>
          <w:color w:val="auto"/>
          <w:sz w:val="24"/>
          <w:szCs w:val="24"/>
        </w:rPr>
        <w:t>.2.2环境风险评价</w:t>
      </w:r>
      <w:bookmarkEnd w:id="132"/>
      <w:bookmarkEnd w:id="133"/>
      <w:bookmarkEnd w:id="134"/>
    </w:p>
    <w:p w14:paraId="393185B8">
      <w:pPr>
        <w:pStyle w:val="18"/>
        <w:spacing w:line="360" w:lineRule="auto"/>
        <w:rPr>
          <w:rFonts w:hint="default" w:ascii="Times New Roman" w:hAnsi="Times New Roman"/>
          <w:b/>
          <w:bCs/>
          <w:color w:val="auto"/>
          <w:sz w:val="24"/>
          <w:szCs w:val="24"/>
        </w:rPr>
      </w:pPr>
      <w:bookmarkStart w:id="135" w:name="_Toc126660551"/>
      <w:bookmarkStart w:id="136" w:name="_Toc117113814"/>
      <w:bookmarkStart w:id="137" w:name="_Toc128486829"/>
      <w:r>
        <w:rPr>
          <w:rFonts w:hint="default" w:ascii="Times New Roman" w:hAnsi="Times New Roman"/>
          <w:b/>
          <w:bCs/>
          <w:color w:val="auto"/>
          <w:sz w:val="24"/>
          <w:szCs w:val="24"/>
        </w:rPr>
        <w:t>4</w:t>
      </w:r>
      <w:r>
        <w:rPr>
          <w:rFonts w:ascii="Times New Roman" w:hAnsi="Times New Roman"/>
          <w:b/>
          <w:bCs/>
          <w:color w:val="auto"/>
          <w:sz w:val="24"/>
          <w:szCs w:val="24"/>
        </w:rPr>
        <w:t>.2.2.1大气环境风险评价</w:t>
      </w:r>
      <w:bookmarkEnd w:id="135"/>
      <w:bookmarkEnd w:id="136"/>
      <w:bookmarkEnd w:id="137"/>
    </w:p>
    <w:p w14:paraId="1237819A">
      <w:pPr>
        <w:spacing w:line="480" w:lineRule="exact"/>
        <w:ind w:firstLine="480" w:firstLineChars="200"/>
        <w:rPr>
          <w:color w:val="auto"/>
          <w:sz w:val="24"/>
        </w:rPr>
      </w:pPr>
      <w:r>
        <w:rPr>
          <w:rFonts w:hint="eastAsia"/>
          <w:color w:val="auto"/>
          <w:sz w:val="24"/>
        </w:rPr>
        <w:t>项目营运过程中，如管理、操作不当，由于设备损坏或操作失误引起泄漏。正己烷扩散会在一定范围使人员的器官组织造成损伤，使生理机能失调或发生障碍，甚至危及生命，导致的毒性</w:t>
      </w:r>
      <w:r>
        <w:rPr>
          <w:rFonts w:hint="eastAsia"/>
          <w:color w:val="auto"/>
          <w:sz w:val="24"/>
          <w:lang w:eastAsia="zh-CN"/>
        </w:rPr>
        <w:t>影响</w:t>
      </w:r>
      <w:r>
        <w:rPr>
          <w:rFonts w:hint="eastAsia"/>
          <w:color w:val="auto"/>
          <w:sz w:val="24"/>
        </w:rPr>
        <w:t>主要表现为急性、慢性、远期以及暂时性的麻醉和昏迷。项目涉及的正己烷为易燃物料。在事故状况下，正己烷一旦遇到明火、静电火花机雷击等，极易引发火灾。当生产装置及储罐发生火灾时，其燃烧火焰的温度高，火势蔓延迅速，直接对火源周围的人员、设备、建构筑物构成极大的威胁。</w:t>
      </w:r>
      <w:r>
        <w:rPr>
          <w:rFonts w:hint="eastAsia"/>
          <w:color w:val="auto"/>
          <w:sz w:val="24"/>
          <w:lang w:eastAsia="zh-CN"/>
        </w:rPr>
        <w:t>正己烷燃烧时可能会分解产生一氧化碳、二氧化碳等有害气体，危及周围居民的健康。正己烷火灾爆炸可能会引起周围其他物品或设施的起火，如建筑、车辆、设备等，进而导致火势扩散。</w:t>
      </w:r>
      <w:r>
        <w:rPr>
          <w:rFonts w:hint="eastAsia"/>
          <w:color w:val="auto"/>
          <w:sz w:val="24"/>
        </w:rPr>
        <w:t>火灾风险对周围环境的危害主要包括热辐和浓烟，同时部分物料燃烧过程中会产生新的污染物（如不完全燃烧时产生的CO等）。爆炸和燃烧本质上都是可燃物质在空气中的氧化反应，爆炸于燃烧的区别在于氧化速度的不同。决定氧化速度的因素是在点火前可燃物与助燃物是否按一定比例均匀混合，由于燃烧速度快，热量来不及散尽，温度急剧上升，气体因高热而急剧膨胀就成为爆炸。爆炸对周围环境造成的破坏主要以震荡、冲击波的形式表现。由于冲击波的冲击，土层被掀起，产生一定量的粉尘，对近距离的大气环境造成短时间的影响。</w:t>
      </w:r>
      <w:r>
        <w:rPr>
          <w:rFonts w:hint="eastAsia" w:ascii="Times New Roman" w:hAnsi="Times New Roman" w:eastAsia="宋体" w:cs="Times New Roman"/>
          <w:color w:val="auto"/>
          <w:sz w:val="24"/>
        </w:rPr>
        <w:t>根据周边居民点与本项目的位置，本次评价认为一旦发生泄漏或火灾时应立即疏散附近居民，</w:t>
      </w:r>
      <w:r>
        <w:rPr>
          <w:rFonts w:hint="eastAsia" w:ascii="Times New Roman" w:hAnsi="Times New Roman" w:eastAsia="宋体" w:cs="Times New Roman"/>
          <w:color w:val="auto"/>
          <w:sz w:val="24"/>
          <w:lang w:eastAsia="zh-CN"/>
        </w:rPr>
        <w:t>及时将附近车辆挪走，</w:t>
      </w:r>
      <w:r>
        <w:rPr>
          <w:rFonts w:hint="eastAsia" w:ascii="Times New Roman" w:hAnsi="Times New Roman" w:eastAsia="宋体" w:cs="Times New Roman"/>
          <w:color w:val="auto"/>
          <w:sz w:val="24"/>
        </w:rPr>
        <w:t>增设厂区周边</w:t>
      </w:r>
      <w:r>
        <w:rPr>
          <w:rFonts w:hint="eastAsia" w:ascii="Times New Roman" w:hAnsi="Times New Roman" w:eastAsia="宋体" w:cs="Times New Roman"/>
          <w:color w:val="auto"/>
          <w:sz w:val="24"/>
          <w:lang w:val="en-US" w:eastAsia="zh-CN"/>
        </w:rPr>
        <w:t>100米</w:t>
      </w:r>
      <w:r>
        <w:rPr>
          <w:rFonts w:hint="default" w:ascii="Times New Roman" w:hAnsi="Times New Roman" w:eastAsia="宋体" w:cs="Times New Roman"/>
          <w:color w:val="auto"/>
          <w:sz w:val="24"/>
        </w:rPr>
        <w:t>防火隔离带</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rPr>
        <w:t>以减少事故状态下对周边居民的影响。</w:t>
      </w:r>
      <w:r>
        <w:rPr>
          <w:rFonts w:hint="eastAsia" w:ascii="Times New Roman" w:hAnsi="Times New Roman" w:eastAsia="宋体" w:cs="Times New Roman"/>
          <w:color w:val="auto"/>
          <w:sz w:val="24"/>
          <w:lang w:val="en-US" w:eastAsia="zh-CN"/>
        </w:rPr>
        <w:t>立即泄露点进行修补，泄露物质转移到事故池，</w:t>
      </w:r>
      <w:r>
        <w:rPr>
          <w:rFonts w:hint="eastAsia" w:ascii="Times New Roman" w:hAnsi="Times New Roman" w:eastAsia="宋体" w:cs="Times New Roman"/>
          <w:color w:val="auto"/>
          <w:sz w:val="24"/>
        </w:rPr>
        <w:t>本项目周边居民较远，大气环境风险影响较小。</w:t>
      </w:r>
    </w:p>
    <w:p w14:paraId="166158D5">
      <w:pPr>
        <w:pStyle w:val="18"/>
        <w:spacing w:line="360" w:lineRule="auto"/>
        <w:rPr>
          <w:rFonts w:hint="default" w:ascii="Times New Roman" w:hAnsi="Times New Roman"/>
          <w:b/>
          <w:bCs/>
          <w:color w:val="auto"/>
          <w:sz w:val="24"/>
          <w:szCs w:val="24"/>
        </w:rPr>
      </w:pPr>
      <w:bookmarkStart w:id="138" w:name="_Toc126660552"/>
      <w:bookmarkStart w:id="139" w:name="_Toc117113815"/>
      <w:bookmarkStart w:id="140" w:name="_Toc128486830"/>
      <w:r>
        <w:rPr>
          <w:rFonts w:hint="default" w:ascii="Times New Roman" w:hAnsi="Times New Roman"/>
          <w:b/>
          <w:bCs/>
          <w:color w:val="auto"/>
          <w:sz w:val="24"/>
          <w:szCs w:val="24"/>
        </w:rPr>
        <w:t>4</w:t>
      </w:r>
      <w:r>
        <w:rPr>
          <w:rFonts w:ascii="Times New Roman" w:hAnsi="Times New Roman"/>
          <w:b/>
          <w:bCs/>
          <w:color w:val="auto"/>
          <w:sz w:val="24"/>
          <w:szCs w:val="24"/>
        </w:rPr>
        <w:t>.2.2.2地表水、地下水环境风险评价</w:t>
      </w:r>
      <w:bookmarkEnd w:id="138"/>
      <w:bookmarkEnd w:id="139"/>
      <w:bookmarkEnd w:id="140"/>
    </w:p>
    <w:p w14:paraId="5152B06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color w:val="auto"/>
          <w:sz w:val="24"/>
        </w:rPr>
      </w:pPr>
      <w:r>
        <w:rPr>
          <w:rFonts w:hint="eastAsia"/>
          <w:color w:val="auto"/>
          <w:sz w:val="24"/>
        </w:rPr>
        <w:t>生活废水通过污水管网排入市政管线。</w:t>
      </w:r>
      <w:r>
        <w:rPr>
          <w:rFonts w:hint="eastAsia" w:cs="Times New Roman"/>
          <w:smallCaps w:val="0"/>
          <w:color w:val="auto"/>
          <w:sz w:val="24"/>
          <w:szCs w:val="24"/>
          <w:highlight w:val="none"/>
          <w:lang w:val="en-US" w:eastAsia="zh-CN"/>
        </w:rPr>
        <w:t>生产废水包括锅炉排污水、设备清洗水、浸出废水，锅炉废水部分用于厂区洒水降尘和灰渣加湿，剩余部分和设备清洗水、浸出废水一同排入厂内污水处理站</w:t>
      </w:r>
      <w:r>
        <w:rPr>
          <w:rFonts w:hint="eastAsia"/>
          <w:color w:val="auto"/>
          <w:sz w:val="24"/>
        </w:rPr>
        <w:t>，处理达标后排入市政管网，进入</w:t>
      </w:r>
      <w:r>
        <w:rPr>
          <w:rFonts w:hint="eastAsia"/>
          <w:color w:val="auto"/>
          <w:sz w:val="24"/>
          <w:lang w:eastAsia="zh-CN"/>
        </w:rPr>
        <w:t>桦南浦华净源水务有限公司（桦南县污水处理厂）</w:t>
      </w:r>
      <w:r>
        <w:rPr>
          <w:rFonts w:hint="eastAsia"/>
          <w:color w:val="auto"/>
          <w:sz w:val="24"/>
        </w:rPr>
        <w:t>。</w:t>
      </w:r>
    </w:p>
    <w:p w14:paraId="34B3B898">
      <w:pPr>
        <w:spacing w:line="480" w:lineRule="exact"/>
        <w:ind w:firstLine="480" w:firstLineChars="200"/>
        <w:rPr>
          <w:color w:val="auto"/>
          <w:sz w:val="24"/>
        </w:rPr>
      </w:pPr>
      <w:r>
        <w:rPr>
          <w:rFonts w:hint="eastAsia"/>
          <w:color w:val="auto"/>
          <w:sz w:val="24"/>
        </w:rPr>
        <w:t>项目若发生爆炸火灾等事故，火灾发生后的废水中COD、石油类、悬浮物等污染物浓度较高，若直接进入环境，会对受纳水体造成一定的影响。本项目设置一贮水池，内设有围堰，围堰内容积满足消防废水的产生量，火灾事故结束后将消防废水使用罐车拉至周边污水处理厂进行处理。在消防废水不外排环境的基础上，突发环境事件对周边地表水环境不会产生影响。建设单位应按照《环境影响评价技术导则地下水环境》（HJ610-2016）中的要求，将厂区划分为重点防渗区、一般防渗区和简单防渗区，并分区进行防渗措施。根据场地内天然包气带防污性能、污染控制难易程度和污染物特性，本次将正己烷储存区划分为重点防渗区，其余生产区、储运设施为一般防渗区，厂内其他区域划分为简单防渗区。地下水污染防渗分区及防渗技术要求详见表</w:t>
      </w:r>
      <w:r>
        <w:rPr>
          <w:color w:val="auto"/>
          <w:sz w:val="24"/>
        </w:rPr>
        <w:t>4</w:t>
      </w:r>
      <w:r>
        <w:rPr>
          <w:rFonts w:hint="eastAsia"/>
          <w:color w:val="auto"/>
          <w:sz w:val="24"/>
        </w:rPr>
        <w:t>-</w:t>
      </w:r>
      <w:r>
        <w:rPr>
          <w:color w:val="auto"/>
          <w:sz w:val="24"/>
        </w:rPr>
        <w:t>4</w:t>
      </w:r>
      <w:r>
        <w:rPr>
          <w:rFonts w:hint="eastAsia"/>
          <w:color w:val="auto"/>
          <w:sz w:val="24"/>
        </w:rPr>
        <w:t>。</w:t>
      </w:r>
    </w:p>
    <w:p w14:paraId="6EE4129A">
      <w:pPr>
        <w:spacing w:line="360" w:lineRule="auto"/>
        <w:jc w:val="center"/>
        <w:rPr>
          <w:b/>
          <w:color w:val="auto"/>
          <w:sz w:val="24"/>
        </w:rPr>
      </w:pPr>
      <w:r>
        <w:rPr>
          <w:rFonts w:hint="eastAsia"/>
          <w:b/>
          <w:color w:val="auto"/>
          <w:sz w:val="24"/>
        </w:rPr>
        <w:t>表</w:t>
      </w:r>
      <w:r>
        <w:rPr>
          <w:b/>
          <w:color w:val="auto"/>
          <w:sz w:val="24"/>
        </w:rPr>
        <w:t>4</w:t>
      </w:r>
      <w:r>
        <w:rPr>
          <w:rFonts w:hint="eastAsia"/>
          <w:b/>
          <w:color w:val="auto"/>
          <w:sz w:val="24"/>
        </w:rPr>
        <w:t>-</w:t>
      </w:r>
      <w:r>
        <w:rPr>
          <w:b/>
          <w:color w:val="auto"/>
          <w:sz w:val="24"/>
        </w:rPr>
        <w:t xml:space="preserve">4  </w:t>
      </w:r>
      <w:r>
        <w:rPr>
          <w:rFonts w:hint="eastAsia"/>
          <w:b/>
          <w:color w:val="auto"/>
          <w:sz w:val="24"/>
        </w:rPr>
        <w:t>污染防渗分区及防渗技术要求一览表</w:t>
      </w:r>
    </w:p>
    <w:tbl>
      <w:tblPr>
        <w:tblStyle w:val="39"/>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83"/>
        <w:gridCol w:w="3284"/>
        <w:gridCol w:w="3286"/>
      </w:tblGrid>
      <w:tr w14:paraId="350DA7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Pr>
          <w:p w14:paraId="1B942BD7">
            <w:pPr>
              <w:spacing w:before="60" w:after="60"/>
              <w:jc w:val="center"/>
              <w:rPr>
                <w:color w:val="auto"/>
                <w:szCs w:val="20"/>
              </w:rPr>
            </w:pPr>
            <w:r>
              <w:rPr>
                <w:color w:val="auto"/>
                <w:szCs w:val="20"/>
              </w:rPr>
              <w:t>防渗分区</w:t>
            </w:r>
          </w:p>
        </w:tc>
        <w:tc>
          <w:tcPr>
            <w:tcW w:w="1666" w:type="pct"/>
          </w:tcPr>
          <w:p w14:paraId="6414834F">
            <w:pPr>
              <w:spacing w:before="60" w:after="60"/>
              <w:jc w:val="center"/>
              <w:rPr>
                <w:color w:val="auto"/>
                <w:szCs w:val="20"/>
              </w:rPr>
            </w:pPr>
            <w:r>
              <w:rPr>
                <w:color w:val="auto"/>
                <w:szCs w:val="20"/>
              </w:rPr>
              <w:t>主要环节</w:t>
            </w:r>
          </w:p>
        </w:tc>
        <w:tc>
          <w:tcPr>
            <w:tcW w:w="1667" w:type="pct"/>
          </w:tcPr>
          <w:p w14:paraId="08F1D2BD">
            <w:pPr>
              <w:spacing w:before="60" w:after="60"/>
              <w:jc w:val="center"/>
              <w:rPr>
                <w:color w:val="auto"/>
                <w:szCs w:val="20"/>
              </w:rPr>
            </w:pPr>
            <w:r>
              <w:rPr>
                <w:color w:val="auto"/>
                <w:szCs w:val="20"/>
              </w:rPr>
              <w:t>防渗技术要求</w:t>
            </w:r>
          </w:p>
        </w:tc>
      </w:tr>
      <w:tr w14:paraId="1ED264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Pr>
          <w:p w14:paraId="385DB545">
            <w:pPr>
              <w:spacing w:before="60" w:after="60"/>
              <w:jc w:val="center"/>
              <w:rPr>
                <w:color w:val="auto"/>
                <w:szCs w:val="20"/>
              </w:rPr>
            </w:pPr>
            <w:r>
              <w:rPr>
                <w:color w:val="auto"/>
                <w:szCs w:val="20"/>
              </w:rPr>
              <w:t>重点防渗区</w:t>
            </w:r>
          </w:p>
        </w:tc>
        <w:tc>
          <w:tcPr>
            <w:tcW w:w="3284" w:type="dxa"/>
            <w:vAlign w:val="top"/>
          </w:tcPr>
          <w:p w14:paraId="28E8DA12">
            <w:pPr>
              <w:spacing w:before="60" w:after="60"/>
              <w:jc w:val="center"/>
              <w:rPr>
                <w:rFonts w:hint="eastAsia" w:eastAsia="宋体"/>
                <w:color w:val="auto"/>
                <w:szCs w:val="20"/>
                <w:lang w:eastAsia="zh-CN"/>
              </w:rPr>
            </w:pPr>
            <w:r>
              <w:rPr>
                <w:color w:val="auto"/>
                <w:highlight w:val="none"/>
              </w:rPr>
              <w:t>地下溶剂库座</w:t>
            </w:r>
            <w:r>
              <w:rPr>
                <w:rFonts w:hint="eastAsia"/>
                <w:color w:val="auto"/>
                <w:szCs w:val="20"/>
                <w:lang w:eastAsia="zh-CN"/>
              </w:rPr>
              <w:t>、事故池、</w:t>
            </w:r>
            <w:r>
              <w:rPr>
                <w:rFonts w:hint="eastAsia"/>
                <w:color w:val="auto"/>
                <w:highlight w:val="none"/>
                <w:lang w:val="en-US" w:eastAsia="zh-CN"/>
              </w:rPr>
              <w:t>危险废物贮存点</w:t>
            </w:r>
          </w:p>
        </w:tc>
        <w:tc>
          <w:tcPr>
            <w:tcW w:w="1667" w:type="pct"/>
          </w:tcPr>
          <w:p w14:paraId="71D044FC">
            <w:pPr>
              <w:spacing w:before="60" w:after="60"/>
              <w:jc w:val="center"/>
              <w:rPr>
                <w:rFonts w:hint="default" w:eastAsia="宋体"/>
                <w:color w:val="auto"/>
                <w:szCs w:val="20"/>
                <w:lang w:val="en-US" w:eastAsia="zh-CN"/>
              </w:rPr>
            </w:pPr>
            <w:r>
              <w:rPr>
                <w:color w:val="auto"/>
                <w:szCs w:val="20"/>
              </w:rPr>
              <w:t>等效黏土防渗层Mb≥6.0，渗透系数K≤1×10</w:t>
            </w:r>
            <w:r>
              <w:rPr>
                <w:color w:val="auto"/>
                <w:szCs w:val="20"/>
                <w:vertAlign w:val="superscript"/>
              </w:rPr>
              <w:t>-</w:t>
            </w:r>
            <w:r>
              <w:rPr>
                <w:rFonts w:hint="eastAsia"/>
                <w:color w:val="auto"/>
                <w:szCs w:val="20"/>
                <w:vertAlign w:val="superscript"/>
                <w:lang w:val="en-US" w:eastAsia="zh-CN"/>
              </w:rPr>
              <w:t>10</w:t>
            </w:r>
            <w:r>
              <w:rPr>
                <w:color w:val="auto"/>
                <w:szCs w:val="20"/>
              </w:rPr>
              <w:t>cm/s；或参照GB18598执行</w:t>
            </w:r>
            <w:r>
              <w:rPr>
                <w:rFonts w:hint="eastAsia"/>
                <w:color w:val="auto"/>
                <w:szCs w:val="20"/>
                <w:lang w:val="en-US" w:eastAsia="zh-CN"/>
              </w:rPr>
              <w:t xml:space="preserve">   </w:t>
            </w:r>
          </w:p>
        </w:tc>
      </w:tr>
      <w:tr w14:paraId="590520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Pr>
          <w:p w14:paraId="445FE12C">
            <w:pPr>
              <w:spacing w:before="60" w:after="60"/>
              <w:jc w:val="center"/>
              <w:rPr>
                <w:color w:val="auto"/>
                <w:szCs w:val="20"/>
              </w:rPr>
            </w:pPr>
            <w:r>
              <w:rPr>
                <w:color w:val="auto"/>
                <w:szCs w:val="20"/>
              </w:rPr>
              <w:t>一般防渗区</w:t>
            </w:r>
          </w:p>
        </w:tc>
        <w:tc>
          <w:tcPr>
            <w:tcW w:w="3284" w:type="dxa"/>
            <w:vAlign w:val="top"/>
          </w:tcPr>
          <w:p w14:paraId="487191CC">
            <w:pPr>
              <w:spacing w:before="60" w:after="60"/>
              <w:jc w:val="center"/>
              <w:rPr>
                <w:color w:val="auto"/>
                <w:szCs w:val="20"/>
              </w:rPr>
            </w:pPr>
            <w:r>
              <w:rPr>
                <w:rFonts w:hint="eastAsia"/>
                <w:color w:val="auto"/>
                <w:highlight w:val="none"/>
                <w:lang w:eastAsia="zh-CN"/>
              </w:rPr>
              <w:t>浸出车间、糠粕加工车间、液体油罐、固废暂存间</w:t>
            </w:r>
            <w:r>
              <w:rPr>
                <w:rFonts w:hint="eastAsia"/>
                <w:color w:val="auto"/>
                <w:highlight w:val="none"/>
              </w:rPr>
              <w:t>等</w:t>
            </w:r>
          </w:p>
        </w:tc>
        <w:tc>
          <w:tcPr>
            <w:tcW w:w="1667" w:type="pct"/>
          </w:tcPr>
          <w:p w14:paraId="4493428F">
            <w:pPr>
              <w:spacing w:before="60" w:after="60"/>
              <w:jc w:val="center"/>
              <w:rPr>
                <w:color w:val="auto"/>
                <w:szCs w:val="20"/>
              </w:rPr>
            </w:pPr>
            <w:r>
              <w:rPr>
                <w:color w:val="auto"/>
                <w:szCs w:val="20"/>
              </w:rPr>
              <w:t>等效黏土防渗层Mb≥1.5，渗透系数K≤1×10</w:t>
            </w:r>
            <w:r>
              <w:rPr>
                <w:color w:val="auto"/>
                <w:szCs w:val="20"/>
                <w:vertAlign w:val="superscript"/>
              </w:rPr>
              <w:t>-7</w:t>
            </w:r>
            <w:r>
              <w:rPr>
                <w:color w:val="auto"/>
                <w:szCs w:val="20"/>
              </w:rPr>
              <w:t>cm/s；或参照GB16889执行</w:t>
            </w:r>
          </w:p>
        </w:tc>
      </w:tr>
      <w:tr w14:paraId="7B0E7E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Pr>
          <w:p w14:paraId="7E79FEC8">
            <w:pPr>
              <w:spacing w:before="60" w:after="60"/>
              <w:jc w:val="center"/>
              <w:rPr>
                <w:color w:val="auto"/>
                <w:szCs w:val="20"/>
              </w:rPr>
            </w:pPr>
            <w:r>
              <w:rPr>
                <w:color w:val="auto"/>
                <w:szCs w:val="20"/>
              </w:rPr>
              <w:t>简单防渗区</w:t>
            </w:r>
          </w:p>
        </w:tc>
        <w:tc>
          <w:tcPr>
            <w:tcW w:w="1666" w:type="pct"/>
          </w:tcPr>
          <w:p w14:paraId="72B372A1">
            <w:pPr>
              <w:spacing w:before="60" w:after="60"/>
              <w:jc w:val="center"/>
              <w:rPr>
                <w:color w:val="auto"/>
                <w:szCs w:val="20"/>
              </w:rPr>
            </w:pPr>
            <w:r>
              <w:rPr>
                <w:color w:val="auto"/>
                <w:szCs w:val="20"/>
              </w:rPr>
              <w:t>厂内其他地方</w:t>
            </w:r>
          </w:p>
        </w:tc>
        <w:tc>
          <w:tcPr>
            <w:tcW w:w="1667" w:type="pct"/>
          </w:tcPr>
          <w:p w14:paraId="2C2D706D">
            <w:pPr>
              <w:spacing w:before="60" w:after="60"/>
              <w:jc w:val="center"/>
              <w:rPr>
                <w:color w:val="auto"/>
                <w:szCs w:val="20"/>
              </w:rPr>
            </w:pPr>
            <w:r>
              <w:rPr>
                <w:color w:val="auto"/>
                <w:szCs w:val="20"/>
              </w:rPr>
              <w:t>一般地面硬化</w:t>
            </w:r>
          </w:p>
        </w:tc>
      </w:tr>
    </w:tbl>
    <w:p w14:paraId="64517B28">
      <w:pPr>
        <w:spacing w:line="480" w:lineRule="exact"/>
        <w:ind w:firstLine="480" w:firstLineChars="200"/>
        <w:rPr>
          <w:color w:val="auto"/>
          <w:sz w:val="24"/>
        </w:rPr>
      </w:pPr>
      <w:r>
        <w:rPr>
          <w:rFonts w:hint="eastAsia"/>
          <w:color w:val="auto"/>
          <w:sz w:val="24"/>
        </w:rPr>
        <w:t>本项目的防渗措施满足《环境影响评价技术导则地下水环境》（HJ610-2016）中重点防渗区的要求，突发环境事件对地下水环境不会产生影响。</w:t>
      </w:r>
    </w:p>
    <w:p w14:paraId="6A0D4477">
      <w:pPr>
        <w:pStyle w:val="2"/>
        <w:pageBreakBefore/>
        <w:spacing w:before="323" w:beforeLines="100" w:after="323" w:afterLines="100" w:line="480" w:lineRule="exact"/>
        <w:ind w:left="0"/>
        <w:rPr>
          <w:color w:val="auto"/>
          <w:sz w:val="32"/>
          <w:szCs w:val="32"/>
        </w:rPr>
      </w:pPr>
      <w:bookmarkStart w:id="141" w:name="_Toc1293"/>
      <w:bookmarkStart w:id="142" w:name="_Toc5074"/>
      <w:bookmarkStart w:id="143" w:name="_Toc26419"/>
      <w:bookmarkStart w:id="144" w:name="_Toc3322"/>
      <w:r>
        <w:rPr>
          <w:color w:val="auto"/>
          <w:sz w:val="32"/>
          <w:szCs w:val="32"/>
        </w:rPr>
        <w:t>5环境风险</w:t>
      </w:r>
      <w:r>
        <w:rPr>
          <w:rFonts w:hint="eastAsia"/>
          <w:color w:val="auto"/>
          <w:sz w:val="32"/>
          <w:szCs w:val="32"/>
        </w:rPr>
        <w:t>分析</w:t>
      </w:r>
      <w:bookmarkEnd w:id="141"/>
      <w:bookmarkEnd w:id="142"/>
      <w:bookmarkEnd w:id="143"/>
      <w:bookmarkEnd w:id="144"/>
    </w:p>
    <w:p w14:paraId="44F80957">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5.1本项目环境风险</w:t>
      </w:r>
      <w:r>
        <w:rPr>
          <w:rFonts w:ascii="Times New Roman" w:hAnsi="Times New Roman"/>
          <w:b/>
          <w:bCs/>
          <w:color w:val="auto"/>
          <w:sz w:val="24"/>
          <w:szCs w:val="24"/>
        </w:rPr>
        <w:t>分析</w:t>
      </w:r>
    </w:p>
    <w:p w14:paraId="0420812C">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5.1.1大气环境风险</w:t>
      </w:r>
      <w:r>
        <w:rPr>
          <w:rFonts w:ascii="Times New Roman" w:hAnsi="Times New Roman"/>
          <w:b/>
          <w:bCs/>
          <w:color w:val="auto"/>
          <w:sz w:val="24"/>
          <w:szCs w:val="24"/>
        </w:rPr>
        <w:t>分析</w:t>
      </w:r>
    </w:p>
    <w:p w14:paraId="45D03D7E">
      <w:pPr>
        <w:adjustRightInd w:val="0"/>
        <w:snapToGrid w:val="0"/>
        <w:spacing w:line="360" w:lineRule="auto"/>
        <w:ind w:firstLine="480" w:firstLineChars="200"/>
        <w:rPr>
          <w:color w:val="auto"/>
          <w:sz w:val="24"/>
        </w:rPr>
      </w:pPr>
      <w:r>
        <w:rPr>
          <w:rFonts w:hint="eastAsia"/>
          <w:color w:val="auto"/>
          <w:sz w:val="24"/>
        </w:rPr>
        <w:t>本项目可能对大气环境造成影响的风险事故为火灾、爆炸和中毒事件。储罐泄漏虽事故的概率较低，但一旦发生，产生的后果影响将较严重。火灾爆炸事故中热辐射、冲击波和抛射物等直接危害属于安全事故范畴，其对环境的影响范围一般不超出厂界；而未完全燃烧的危险物质在高温下迅速挥发至大气及燃烧物质燃烧过程中产生的伴生/次生物质属于环境风险分析对象，其污染属于环境事故范畴，往往会造成厂界外的环境影响。</w:t>
      </w:r>
    </w:p>
    <w:p w14:paraId="4B11D30D">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5.1.2地表水环境风险分析</w:t>
      </w:r>
    </w:p>
    <w:p w14:paraId="602E9290">
      <w:pPr>
        <w:adjustRightInd w:val="0"/>
        <w:snapToGrid w:val="0"/>
        <w:spacing w:line="360" w:lineRule="auto"/>
        <w:ind w:firstLine="480" w:firstLineChars="200"/>
        <w:rPr>
          <w:color w:val="auto"/>
          <w:sz w:val="24"/>
        </w:rPr>
      </w:pPr>
      <w:r>
        <w:rPr>
          <w:rFonts w:hint="eastAsia"/>
          <w:color w:val="auto"/>
          <w:sz w:val="24"/>
        </w:rPr>
        <w:t>项目不处于饮用水源保护区，运输主要采用公路，因此，只对风险事故发生后产生的水环境影响进行分析。本项目一旦发生正己烷泄漏、火灾爆炸事故，消防水外溢对外环境地表水造成影响。企业应在罐区、锅炉房设置可燃气体报警器，定期检查生产设备，防止设备故障漏电产生明火；厂区内应配备消防沙等应急物资，防止消防水外溢污染外环境。本项目现有工程已设置事故水池及事故水导排系统，火灾爆炸事故后的消防水可排入厂区事故水池暂存，不会对外环境地表水造成影响。</w:t>
      </w:r>
    </w:p>
    <w:p w14:paraId="0FAE697C">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5.1.3地下水环境风险分析</w:t>
      </w:r>
    </w:p>
    <w:p w14:paraId="1E3ECB7A">
      <w:pPr>
        <w:adjustRightInd w:val="0"/>
        <w:snapToGrid w:val="0"/>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本项目一旦发生正己烷泄漏、火灾爆炸事故，消防水外溢可下渗污染地下水，正己烷储存区</w:t>
      </w:r>
      <w:r>
        <w:rPr>
          <w:rFonts w:hint="eastAsia" w:ascii="Times New Roman" w:hAnsi="Times New Roman" w:eastAsia="宋体" w:cs="Times New Roman"/>
          <w:color w:val="auto"/>
          <w:sz w:val="24"/>
          <w:lang w:eastAsia="zh-CN"/>
        </w:rPr>
        <w:t>、事故池</w:t>
      </w:r>
      <w:r>
        <w:rPr>
          <w:rFonts w:hint="eastAsia" w:cs="Times New Roman"/>
          <w:color w:val="auto"/>
          <w:sz w:val="24"/>
          <w:lang w:eastAsia="zh-CN"/>
        </w:rPr>
        <w:t>、</w:t>
      </w:r>
      <w:r>
        <w:rPr>
          <w:rFonts w:hint="eastAsia" w:cs="Times New Roman"/>
          <w:color w:val="auto"/>
          <w:sz w:val="24"/>
          <w:lang w:val="en-US" w:eastAsia="zh-CN"/>
        </w:rPr>
        <w:t>危险废物贮存点</w:t>
      </w:r>
      <w:r>
        <w:rPr>
          <w:rFonts w:hint="eastAsia" w:ascii="Times New Roman" w:hAnsi="Times New Roman" w:eastAsia="宋体" w:cs="Times New Roman"/>
          <w:color w:val="auto"/>
          <w:sz w:val="24"/>
          <w:lang w:val="en-US" w:eastAsia="zh-CN"/>
        </w:rPr>
        <w:t>设置为重点防身区，</w:t>
      </w:r>
      <w:r>
        <w:rPr>
          <w:rFonts w:hint="eastAsia" w:ascii="Times New Roman" w:hAnsi="Times New Roman" w:eastAsia="宋体" w:cs="Times New Roman"/>
          <w:color w:val="auto"/>
          <w:sz w:val="24"/>
        </w:rPr>
        <w:t>等效黏土防渗层Mb≥6.0，渗透系数K≤1×10</w:t>
      </w:r>
      <w:r>
        <w:rPr>
          <w:rFonts w:hint="eastAsia" w:ascii="Times New Roman" w:hAnsi="Times New Roman" w:eastAsia="宋体" w:cs="Times New Roman"/>
          <w:color w:val="auto"/>
          <w:sz w:val="24"/>
          <w:vertAlign w:val="superscript"/>
        </w:rPr>
        <w:t>-</w:t>
      </w:r>
      <w:r>
        <w:rPr>
          <w:rFonts w:hint="eastAsia" w:ascii="Times New Roman" w:hAnsi="Times New Roman" w:eastAsia="宋体" w:cs="Times New Roman"/>
          <w:color w:val="auto"/>
          <w:sz w:val="24"/>
          <w:vertAlign w:val="superscript"/>
          <w:lang w:val="en-US" w:eastAsia="zh-CN"/>
        </w:rPr>
        <w:t>10</w:t>
      </w:r>
      <w:r>
        <w:rPr>
          <w:rFonts w:hint="eastAsia" w:ascii="Times New Roman" w:hAnsi="Times New Roman" w:eastAsia="宋体" w:cs="Times New Roman"/>
          <w:color w:val="auto"/>
          <w:sz w:val="24"/>
        </w:rPr>
        <w:t>cm/s；</w:t>
      </w:r>
      <w:r>
        <w:rPr>
          <w:rFonts w:hint="eastAsia" w:ascii="Times New Roman" w:hAnsi="Times New Roman" w:eastAsia="宋体" w:cs="Times New Roman"/>
          <w:color w:val="auto"/>
          <w:sz w:val="24"/>
          <w:lang w:val="en-US" w:eastAsia="zh-CN"/>
        </w:rPr>
        <w:t>因此</w:t>
      </w:r>
      <w:r>
        <w:rPr>
          <w:rFonts w:hint="eastAsia" w:ascii="Times New Roman" w:hAnsi="Times New Roman" w:eastAsia="宋体" w:cs="Times New Roman"/>
          <w:color w:val="auto"/>
          <w:sz w:val="24"/>
        </w:rPr>
        <w:t>项目所产生的泄漏物料和消防废水不会因下渗、扩散污染地下水，对地下水环境影响较小。</w:t>
      </w:r>
    </w:p>
    <w:p w14:paraId="5D88DF92">
      <w:pPr>
        <w:pStyle w:val="2"/>
        <w:pageBreakBefore/>
        <w:spacing w:before="323" w:beforeLines="100" w:after="323" w:afterLines="100" w:line="480" w:lineRule="exact"/>
        <w:ind w:left="0"/>
        <w:rPr>
          <w:color w:val="auto"/>
          <w:sz w:val="32"/>
          <w:szCs w:val="32"/>
        </w:rPr>
      </w:pPr>
      <w:bookmarkStart w:id="145" w:name="_Toc10796"/>
      <w:bookmarkStart w:id="146" w:name="_Toc16700"/>
      <w:bookmarkStart w:id="147" w:name="_Toc11116"/>
      <w:bookmarkStart w:id="148" w:name="_Toc29465"/>
      <w:r>
        <w:rPr>
          <w:color w:val="auto"/>
          <w:sz w:val="32"/>
          <w:szCs w:val="32"/>
        </w:rPr>
        <w:t>6环境风险管理</w:t>
      </w:r>
      <w:bookmarkEnd w:id="145"/>
      <w:bookmarkEnd w:id="146"/>
      <w:bookmarkEnd w:id="147"/>
      <w:bookmarkEnd w:id="148"/>
    </w:p>
    <w:p w14:paraId="26A07F99">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环境风险防范措施</w:t>
      </w:r>
    </w:p>
    <w:p w14:paraId="27951BD2">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.1总图布置和建筑安全防范措施</w:t>
      </w:r>
    </w:p>
    <w:p w14:paraId="29970E3B">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1</w:t>
      </w:r>
      <w:r>
        <w:rPr>
          <w:rFonts w:hint="eastAsia"/>
          <w:color w:val="auto"/>
          <w:sz w:val="24"/>
          <w:lang w:val="zh-CN"/>
        </w:rPr>
        <w:t>）总平面布置中，充分考虑总体布置的安全性，顺应生产流程布置，严格执行有关标准、规范和规定，并考虑各类工艺生产装置之间的防火间距，以及工艺生产装置与重要辅助设施、道路、行政设施等的防火间距。厂区内道路和厂外道路相连，以利于事故状态下人员疏散和抢救。</w:t>
      </w:r>
    </w:p>
    <w:p w14:paraId="53A21047">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2</w:t>
      </w:r>
      <w:r>
        <w:rPr>
          <w:rFonts w:hint="eastAsia"/>
          <w:color w:val="auto"/>
          <w:sz w:val="24"/>
          <w:lang w:val="zh-CN"/>
        </w:rPr>
        <w:t>）合理设计装置内外竖向标高，使雨水排放顺畅。</w:t>
      </w:r>
    </w:p>
    <w:p w14:paraId="0CD82548">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3</w:t>
      </w:r>
      <w:r>
        <w:rPr>
          <w:rFonts w:hint="eastAsia"/>
          <w:color w:val="auto"/>
          <w:sz w:val="24"/>
          <w:lang w:val="zh-CN"/>
        </w:rPr>
        <w:t>）装置内的建筑结构抗震按当地地震的基本烈度设计，建（构）筑物的耐火等级、防火间距、疏散通道、安全距离等均按有关规范执行。</w:t>
      </w:r>
    </w:p>
    <w:p w14:paraId="150B3B54">
      <w:pPr>
        <w:adjustRightInd w:val="0"/>
        <w:snapToGrid w:val="0"/>
        <w:spacing w:line="360" w:lineRule="auto"/>
        <w:ind w:firstLine="480" w:firstLineChars="200"/>
        <w:rPr>
          <w:rFonts w:hint="eastAsia"/>
          <w:color w:val="auto"/>
          <w:sz w:val="24"/>
          <w:lang w:val="zh-CN"/>
        </w:rPr>
      </w:pPr>
      <w:r>
        <w:rPr>
          <w:rFonts w:hint="eastAsia"/>
          <w:color w:val="auto"/>
          <w:sz w:val="24"/>
          <w:lang w:val="zh-CN"/>
        </w:rPr>
        <w:t>（</w:t>
      </w:r>
      <w:r>
        <w:rPr>
          <w:rFonts w:hint="eastAsia"/>
          <w:color w:val="auto"/>
          <w:sz w:val="24"/>
        </w:rPr>
        <w:t>4</w:t>
      </w:r>
      <w:r>
        <w:rPr>
          <w:rFonts w:hint="eastAsia"/>
          <w:color w:val="auto"/>
          <w:sz w:val="24"/>
          <w:lang w:val="zh-CN"/>
        </w:rPr>
        <w:t>）根据本项目中使用物料的性质确定各个装置的耐火等级、防火间距、消防车通道的配置。建筑物采用屋面避雷针，防止直接雷击及感应雷击。</w:t>
      </w:r>
    </w:p>
    <w:p w14:paraId="37A8DB2A">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lang w:val="zh-CN"/>
        </w:rPr>
        <w:t>）设置事故水池</w:t>
      </w:r>
    </w:p>
    <w:p w14:paraId="021B1DB3">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事故水池计算：</w:t>
      </w:r>
    </w:p>
    <w:p w14:paraId="17C3807B">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在建项目所需事故水池有效容积按照《事故状态下水体污染的预防与控制技术要求》（Q/SY1190-2019） 附录中计算公式确定。具体公式如下：</w:t>
      </w:r>
    </w:p>
    <w:p w14:paraId="4883D3D3">
      <w:pPr>
        <w:adjustRightInd w:val="0"/>
        <w:snapToGrid w:val="0"/>
        <w:spacing w:line="360" w:lineRule="auto"/>
        <w:ind w:firstLine="480" w:firstLineChars="200"/>
        <w:jc w:val="center"/>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drawing>
          <wp:inline distT="0" distB="0" distL="0" distR="0">
            <wp:extent cx="2732405" cy="372110"/>
            <wp:effectExtent l="0" t="0" r="1079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61">
                      <a:extLst>
                        <a:ext uri="{28A0092B-C50C-407E-A947-70E740481C1C}">
                          <a14:useLocalDpi xmlns:a14="http://schemas.microsoft.com/office/drawing/2010/main" val="0"/>
                        </a:ext>
                      </a:extLst>
                    </a:blip>
                    <a:srcRect l="-17" t="-130" r="-17" b="-130"/>
                    <a:stretch>
                      <a:fillRect/>
                    </a:stretch>
                  </pic:blipFill>
                  <pic:spPr>
                    <a:xfrm>
                      <a:off x="0" y="0"/>
                      <a:ext cx="2732405" cy="372110"/>
                    </a:xfrm>
                    <a:prstGeom prst="rect">
                      <a:avLst/>
                    </a:prstGeom>
                    <a:solidFill>
                      <a:srgbClr val="FFFFFF"/>
                    </a:solidFill>
                    <a:ln>
                      <a:noFill/>
                    </a:ln>
                  </pic:spPr>
                </pic:pic>
              </a:graphicData>
            </a:graphic>
          </wp:inline>
        </w:drawing>
      </w:r>
    </w:p>
    <w:p w14:paraId="55DA868A">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1</w:t>
      </w: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2</w:t>
      </w: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3</w:t>
      </w:r>
      <w:r>
        <w:rPr>
          <w:rFonts w:hint="eastAsia" w:ascii="Times New Roman" w:hAnsi="Times New Roman" w:eastAsia="宋体" w:cs="Times New Roman"/>
          <w:color w:val="auto"/>
          <w:sz w:val="24"/>
          <w:lang w:val="zh-CN"/>
        </w:rPr>
        <w:t>）max：为计算各装置最大量；单位m</w:t>
      </w:r>
      <w:r>
        <w:rPr>
          <w:rFonts w:hint="eastAsia" w:ascii="Times New Roman" w:hAnsi="Times New Roman" w:eastAsia="宋体" w:cs="Times New Roman"/>
          <w:color w:val="auto"/>
          <w:sz w:val="24"/>
          <w:vertAlign w:val="superscript"/>
          <w:lang w:val="zh-CN"/>
        </w:rPr>
        <w:t>3</w:t>
      </w:r>
      <w:r>
        <w:rPr>
          <w:rFonts w:hint="eastAsia" w:ascii="Times New Roman" w:hAnsi="Times New Roman" w:eastAsia="宋体" w:cs="Times New Roman"/>
          <w:color w:val="auto"/>
          <w:sz w:val="24"/>
          <w:lang w:val="zh-CN"/>
        </w:rPr>
        <w:t>。</w:t>
      </w:r>
    </w:p>
    <w:p w14:paraId="76E12E43">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1</w:t>
      </w:r>
      <w:r>
        <w:rPr>
          <w:rFonts w:hint="eastAsia" w:ascii="Times New Roman" w:hAnsi="Times New Roman" w:eastAsia="宋体" w:cs="Times New Roman"/>
          <w:color w:val="auto"/>
          <w:sz w:val="24"/>
          <w:lang w:val="zh-CN"/>
        </w:rPr>
        <w:t>：收集系统内发生事故时一个罐组或装置最大物料泄漏量；罐组事故泄漏量按最大储罐容量、装置事故泄漏量按最大反应容器容量计；厂区内V1按最大液体储罐为</w:t>
      </w:r>
      <w:r>
        <w:rPr>
          <w:rFonts w:hint="eastAsia" w:ascii="Times New Roman" w:hAnsi="Times New Roman" w:eastAsia="宋体" w:cs="Times New Roman"/>
          <w:color w:val="auto"/>
          <w:sz w:val="24"/>
          <w:lang w:val="en-US" w:eastAsia="zh-CN"/>
        </w:rPr>
        <w:t>72</w:t>
      </w:r>
      <w:r>
        <w:rPr>
          <w:rFonts w:hint="eastAsia" w:ascii="Times New Roman" w:hAnsi="Times New Roman" w:eastAsia="宋体" w:cs="Times New Roman"/>
          <w:color w:val="auto"/>
          <w:sz w:val="24"/>
          <w:lang w:val="zh-CN"/>
        </w:rPr>
        <w:t>m</w:t>
      </w:r>
      <w:r>
        <w:rPr>
          <w:rFonts w:hint="eastAsia" w:ascii="Times New Roman" w:hAnsi="Times New Roman" w:eastAsia="宋体" w:cs="Times New Roman"/>
          <w:color w:val="auto"/>
          <w:sz w:val="24"/>
          <w:vertAlign w:val="superscript"/>
          <w:lang w:val="zh-CN"/>
        </w:rPr>
        <w:t>3</w:t>
      </w:r>
      <w:r>
        <w:rPr>
          <w:rFonts w:hint="eastAsia" w:ascii="Times New Roman" w:hAnsi="Times New Roman" w:eastAsia="宋体" w:cs="Times New Roman"/>
          <w:color w:val="auto"/>
          <w:sz w:val="24"/>
          <w:lang w:val="zh-CN"/>
        </w:rPr>
        <w:t>计。</w:t>
      </w:r>
    </w:p>
    <w:p w14:paraId="75A0A609">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2</w:t>
      </w:r>
      <w:r>
        <w:rPr>
          <w:rFonts w:hint="eastAsia" w:ascii="Times New Roman" w:hAnsi="Times New Roman" w:eastAsia="宋体" w:cs="Times New Roman"/>
          <w:color w:val="auto"/>
          <w:sz w:val="24"/>
          <w:lang w:val="zh-CN"/>
        </w:rPr>
        <w:t>：发生事故的储罐或装置消防水量；最大一次灭火需要消防水量大概为</w:t>
      </w:r>
      <w:r>
        <w:rPr>
          <w:rFonts w:hint="eastAsia" w:ascii="Times New Roman" w:hAnsi="Times New Roman" w:eastAsia="宋体" w:cs="Times New Roman"/>
          <w:color w:val="auto"/>
          <w:sz w:val="24"/>
          <w:lang w:val="en-US" w:eastAsia="zh-CN"/>
        </w:rPr>
        <w:t>583.2</w:t>
      </w:r>
      <w:r>
        <w:rPr>
          <w:rFonts w:hint="eastAsia" w:ascii="Times New Roman" w:hAnsi="Times New Roman" w:eastAsia="宋体" w:cs="Times New Roman"/>
          <w:color w:val="auto"/>
          <w:sz w:val="24"/>
          <w:lang w:val="zh-CN"/>
        </w:rPr>
        <w:t>m³。</w:t>
      </w:r>
    </w:p>
    <w:p w14:paraId="7D411B43">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3</w:t>
      </w:r>
      <w:r>
        <w:rPr>
          <w:rFonts w:hint="eastAsia" w:ascii="Times New Roman" w:hAnsi="Times New Roman" w:eastAsia="宋体" w:cs="Times New Roman"/>
          <w:color w:val="auto"/>
          <w:sz w:val="24"/>
          <w:lang w:val="zh-CN"/>
        </w:rPr>
        <w:t>：发生事故时物料转移至其他容器及单元量；依据《石油化工企业设计防火规范》要求“防火堤内的有效容积不应小于罐组内1个最大储罐的容积”，则罐区防火堤容积V=</w:t>
      </w:r>
      <w:r>
        <w:rPr>
          <w:rFonts w:hint="eastAsia" w:ascii="Times New Roman" w:hAnsi="Times New Roman" w:eastAsia="宋体" w:cs="Times New Roman"/>
          <w:color w:val="auto"/>
          <w:sz w:val="24"/>
          <w:lang w:val="en-US" w:eastAsia="zh-CN"/>
        </w:rPr>
        <w:t>36</w:t>
      </w:r>
      <w:r>
        <w:rPr>
          <w:rFonts w:hint="eastAsia" w:ascii="Times New Roman" w:hAnsi="Times New Roman" w:eastAsia="宋体" w:cs="Times New Roman"/>
          <w:color w:val="auto"/>
          <w:sz w:val="24"/>
          <w:lang w:val="zh-CN"/>
        </w:rPr>
        <w:t>m</w:t>
      </w:r>
      <w:r>
        <w:rPr>
          <w:rFonts w:hint="eastAsia" w:ascii="Times New Roman" w:hAnsi="Times New Roman" w:eastAsia="宋体" w:cs="Times New Roman"/>
          <w:color w:val="auto"/>
          <w:sz w:val="24"/>
          <w:vertAlign w:val="superscript"/>
          <w:lang w:val="zh-CN"/>
        </w:rPr>
        <w:t>3</w:t>
      </w:r>
      <w:r>
        <w:rPr>
          <w:rFonts w:hint="eastAsia" w:ascii="Times New Roman" w:hAnsi="Times New Roman" w:eastAsia="宋体" w:cs="Times New Roman"/>
          <w:color w:val="auto"/>
          <w:sz w:val="24"/>
          <w:lang w:val="zh-CN"/>
        </w:rPr>
        <w:t>，有效容积按90%计，则防火堤有效容积V3为</w:t>
      </w:r>
      <w:r>
        <w:rPr>
          <w:rFonts w:hint="eastAsia" w:ascii="Times New Roman" w:hAnsi="Times New Roman" w:eastAsia="宋体" w:cs="Times New Roman"/>
          <w:color w:val="auto"/>
          <w:sz w:val="24"/>
          <w:lang w:val="en-US" w:eastAsia="zh-CN"/>
        </w:rPr>
        <w:t>32.4</w:t>
      </w:r>
      <w:r>
        <w:rPr>
          <w:rFonts w:hint="eastAsia" w:ascii="Times New Roman" w:hAnsi="Times New Roman" w:eastAsia="宋体" w:cs="Times New Roman"/>
          <w:color w:val="auto"/>
          <w:sz w:val="24"/>
          <w:lang w:val="zh-CN"/>
        </w:rPr>
        <w:t>m</w:t>
      </w:r>
      <w:r>
        <w:rPr>
          <w:rFonts w:hint="eastAsia" w:ascii="Times New Roman" w:hAnsi="Times New Roman" w:eastAsia="宋体" w:cs="Times New Roman"/>
          <w:color w:val="auto"/>
          <w:sz w:val="24"/>
          <w:vertAlign w:val="superscript"/>
          <w:lang w:val="zh-CN"/>
        </w:rPr>
        <w:t>3</w:t>
      </w:r>
      <w:r>
        <w:rPr>
          <w:rFonts w:hint="eastAsia" w:ascii="Times New Roman" w:hAnsi="Times New Roman" w:eastAsia="宋体" w:cs="Times New Roman"/>
          <w:color w:val="auto"/>
          <w:sz w:val="24"/>
          <w:lang w:val="zh-CN"/>
        </w:rPr>
        <w:t>。</w:t>
      </w:r>
    </w:p>
    <w:p w14:paraId="7D31B23A">
      <w:pPr>
        <w:adjustRightInd w:val="0"/>
        <w:snapToGrid w:val="0"/>
        <w:spacing w:line="360" w:lineRule="auto"/>
        <w:ind w:firstLine="480" w:firstLineChars="200"/>
        <w:rPr>
          <w:rFonts w:hint="eastAsia" w:ascii="Times New Roman" w:hAnsi="Times New Roman" w:eastAsia="宋体" w:cs="Times New Roman"/>
          <w:color w:val="auto"/>
          <w:sz w:val="24"/>
          <w:lang w:val="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4</w:t>
      </w:r>
      <w:r>
        <w:rPr>
          <w:rFonts w:hint="eastAsia" w:ascii="Times New Roman" w:hAnsi="Times New Roman" w:eastAsia="宋体" w:cs="Times New Roman"/>
          <w:color w:val="auto"/>
          <w:sz w:val="24"/>
          <w:lang w:val="zh-CN"/>
        </w:rPr>
        <w:t>：发生事故时必须进入该系统的生产废水量；忽略不计，取0。</w:t>
      </w:r>
    </w:p>
    <w:p w14:paraId="3ABEFCC9">
      <w:pPr>
        <w:adjustRightInd w:val="0"/>
        <w:snapToGrid w:val="0"/>
        <w:spacing w:line="360" w:lineRule="auto"/>
        <w:ind w:firstLine="480" w:firstLineChars="200"/>
        <w:rPr>
          <w:rFonts w:hint="eastAsia" w:ascii="Times New Roman" w:hAnsi="Times New Roman" w:eastAsia="宋体" w:cs="Times New Roman"/>
          <w:color w:val="auto"/>
          <w:sz w:val="24"/>
          <w:lang w:val="zh-CN" w:eastAsia="zh-CN"/>
        </w:rPr>
      </w:pPr>
      <w:r>
        <w:rPr>
          <w:rFonts w:hint="eastAsia" w:ascii="Times New Roman" w:hAnsi="Times New Roman" w:eastAsia="宋体" w:cs="Times New Roman"/>
          <w:color w:val="auto"/>
          <w:sz w:val="24"/>
          <w:lang w:val="zh-CN"/>
        </w:rPr>
        <w:t>V</w:t>
      </w:r>
      <w:r>
        <w:rPr>
          <w:rFonts w:hint="eastAsia" w:ascii="Times New Roman" w:hAnsi="Times New Roman" w:eastAsia="宋体" w:cs="Times New Roman"/>
          <w:color w:val="auto"/>
          <w:sz w:val="24"/>
          <w:vertAlign w:val="subscript"/>
          <w:lang w:val="zh-CN"/>
        </w:rPr>
        <w:t>5</w:t>
      </w:r>
      <w:r>
        <w:rPr>
          <w:rFonts w:hint="eastAsia" w:ascii="Times New Roman" w:hAnsi="Times New Roman" w:eastAsia="宋体" w:cs="Times New Roman"/>
          <w:color w:val="auto"/>
          <w:sz w:val="24"/>
          <w:lang w:val="zh-CN"/>
        </w:rPr>
        <w:t>：发生事故时可能进入该系统的最大雨水量考虑，因为佳木斯地区少雨，因此不进行考虑，取0</w:t>
      </w:r>
      <w:r>
        <w:rPr>
          <w:rFonts w:hint="eastAsia"/>
          <w:color w:val="auto"/>
          <w:lang w:eastAsia="zh-CN"/>
        </w:rPr>
        <w:t>。</w:t>
      </w:r>
    </w:p>
    <w:p w14:paraId="15B1A407">
      <w:pPr>
        <w:adjustRightInd w:val="0"/>
        <w:snapToGrid w:val="0"/>
        <w:spacing w:line="360" w:lineRule="auto"/>
        <w:ind w:firstLine="480" w:firstLineChars="200"/>
        <w:rPr>
          <w:rFonts w:hint="default" w:ascii="Times New Roman" w:hAnsi="Times New Roman" w:eastAsia="宋体" w:cs="Times New Roman"/>
          <w:color w:val="auto"/>
          <w:sz w:val="24"/>
          <w:vertAlign w:val="superscript"/>
          <w:lang w:val="en-US" w:eastAsia="zh-CN"/>
        </w:rPr>
      </w:pPr>
      <w:r>
        <w:rPr>
          <w:rFonts w:hint="eastAsia" w:ascii="Times New Roman" w:hAnsi="Times New Roman" w:eastAsia="宋体" w:cs="Times New Roman"/>
          <w:color w:val="auto"/>
          <w:sz w:val="24"/>
          <w:vertAlign w:val="baseline"/>
          <w:lang w:val="en-US" w:eastAsia="zh-CN"/>
        </w:rPr>
        <w:t>经过以上计算V</w:t>
      </w:r>
      <w:r>
        <w:rPr>
          <w:rFonts w:hint="eastAsia" w:ascii="Times New Roman" w:hAnsi="Times New Roman" w:eastAsia="宋体" w:cs="Times New Roman"/>
          <w:color w:val="auto"/>
          <w:sz w:val="24"/>
          <w:vertAlign w:val="subscript"/>
          <w:lang w:val="en-US" w:eastAsia="zh-CN"/>
        </w:rPr>
        <w:t>总</w:t>
      </w:r>
      <w:r>
        <w:rPr>
          <w:rFonts w:hint="eastAsia" w:ascii="Times New Roman" w:hAnsi="Times New Roman" w:eastAsia="宋体" w:cs="Times New Roman"/>
          <w:color w:val="auto"/>
          <w:sz w:val="24"/>
          <w:vertAlign w:val="baseline"/>
          <w:lang w:val="en-US" w:eastAsia="zh-CN"/>
        </w:rPr>
        <w:t>为622.8m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vertAlign w:val="baseline"/>
          <w:lang w:val="en-US" w:eastAsia="zh-CN"/>
        </w:rPr>
        <w:t>。考虑到发生突发情况时，事故废水、正己烷等汇流至事故池内，因此续设置总容积为</w:t>
      </w:r>
      <w:r>
        <w:rPr>
          <w:rFonts w:hint="eastAsia" w:cs="Times New Roman"/>
          <w:color w:val="auto"/>
          <w:sz w:val="24"/>
          <w:vertAlign w:val="baseline"/>
          <w:lang w:val="en-US" w:eastAsia="zh-CN"/>
        </w:rPr>
        <w:t>675</w:t>
      </w:r>
      <w:r>
        <w:rPr>
          <w:rFonts w:hint="eastAsia" w:ascii="Times New Roman" w:hAnsi="Times New Roman" w:eastAsia="宋体" w:cs="Times New Roman"/>
          <w:color w:val="auto"/>
          <w:sz w:val="24"/>
          <w:vertAlign w:val="baseline"/>
          <w:lang w:val="en-US" w:eastAsia="zh-CN"/>
        </w:rPr>
        <w:t>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vertAlign w:val="baseline"/>
          <w:lang w:val="en-US" w:eastAsia="zh-CN"/>
        </w:rPr>
        <w:t>的事故池。</w:t>
      </w:r>
    </w:p>
    <w:p w14:paraId="6F64E037">
      <w:pPr>
        <w:pStyle w:val="22"/>
        <w:ind w:left="0" w:leftChars="0" w:firstLine="0" w:firstLineChars="0"/>
        <w:rPr>
          <w:rFonts w:hint="default"/>
          <w:color w:val="auto"/>
          <w:lang w:val="en-US" w:eastAsia="zh-CN"/>
        </w:rPr>
      </w:pPr>
    </w:p>
    <w:p w14:paraId="49965059">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.2加强危险化学品管理</w:t>
      </w:r>
    </w:p>
    <w:p w14:paraId="2C58E2F0">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1</w:t>
      </w:r>
      <w:r>
        <w:rPr>
          <w:rFonts w:hint="eastAsia"/>
          <w:color w:val="auto"/>
          <w:sz w:val="24"/>
          <w:lang w:val="zh-CN"/>
        </w:rPr>
        <w:t>）加强危险物质贮存管理</w:t>
      </w:r>
    </w:p>
    <w:p w14:paraId="4C377D95">
      <w:pPr>
        <w:adjustRightInd w:val="0"/>
        <w:snapToGrid w:val="0"/>
        <w:spacing w:line="360" w:lineRule="auto"/>
        <w:ind w:firstLine="480" w:firstLineChars="200"/>
        <w:rPr>
          <w:color w:val="auto"/>
          <w:sz w:val="24"/>
        </w:rPr>
      </w:pPr>
      <w:r>
        <w:rPr>
          <w:rFonts w:hint="eastAsia"/>
          <w:color w:val="auto"/>
          <w:sz w:val="24"/>
        </w:rPr>
        <w:t>①罐区进行合理布局，加强通风，远离热源、高温、明火，避免阳光直射，采取防火、防爆、防静电、防雷等措施，设置明显的安全警示标志。专人进行管理，非操作人员不得随意进入，配备消防设施和个人防护用品。</w:t>
      </w:r>
    </w:p>
    <w:p w14:paraId="1D281D47">
      <w:pPr>
        <w:adjustRightInd w:val="0"/>
        <w:snapToGrid w:val="0"/>
        <w:spacing w:line="360" w:lineRule="auto"/>
        <w:ind w:firstLine="480" w:firstLineChars="200"/>
        <w:rPr>
          <w:color w:val="auto"/>
          <w:sz w:val="24"/>
        </w:rPr>
      </w:pPr>
      <w:r>
        <w:rPr>
          <w:rFonts w:hint="eastAsia"/>
          <w:color w:val="auto"/>
          <w:sz w:val="24"/>
        </w:rPr>
        <w:t>②定期对罐区和锅炉房进行检查，减少“跑、冒、滴、漏”现象发生。</w:t>
      </w:r>
    </w:p>
    <w:p w14:paraId="44E4950D">
      <w:pPr>
        <w:adjustRightInd w:val="0"/>
        <w:snapToGrid w:val="0"/>
        <w:spacing w:line="360" w:lineRule="auto"/>
        <w:ind w:firstLine="480" w:firstLineChars="200"/>
        <w:rPr>
          <w:color w:val="auto"/>
          <w:sz w:val="24"/>
        </w:rPr>
      </w:pPr>
      <w:r>
        <w:rPr>
          <w:rFonts w:hint="eastAsia"/>
          <w:color w:val="auto"/>
          <w:sz w:val="24"/>
        </w:rPr>
        <w:t>③罐区和锅炉房地面进行硬化和必要的防渗处理，减少物料渗漏时对地下水造成的影响。</w:t>
      </w:r>
    </w:p>
    <w:p w14:paraId="34A263DE">
      <w:pPr>
        <w:adjustRightInd w:val="0"/>
        <w:snapToGrid w:val="0"/>
        <w:spacing w:line="360" w:lineRule="auto"/>
        <w:ind w:firstLine="480" w:firstLineChars="200"/>
        <w:rPr>
          <w:color w:val="auto"/>
          <w:sz w:val="24"/>
        </w:rPr>
      </w:pPr>
      <w:r>
        <w:rPr>
          <w:rFonts w:hint="eastAsia"/>
          <w:color w:val="auto"/>
          <w:sz w:val="24"/>
        </w:rPr>
        <w:t>④配备火灾自动报警系统，减小危险物质发生泄漏或火灾时对外环境的影响。</w:t>
      </w:r>
    </w:p>
    <w:p w14:paraId="53C43870">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2</w:t>
      </w:r>
      <w:r>
        <w:rPr>
          <w:rFonts w:hint="eastAsia"/>
          <w:color w:val="auto"/>
          <w:sz w:val="24"/>
          <w:lang w:val="zh-CN"/>
        </w:rPr>
        <w:t>）强化危险物质运输管理</w:t>
      </w:r>
    </w:p>
    <w:p w14:paraId="74E8456D">
      <w:pPr>
        <w:adjustRightInd w:val="0"/>
        <w:snapToGrid w:val="0"/>
        <w:spacing w:line="360" w:lineRule="auto"/>
        <w:ind w:firstLine="480" w:firstLineChars="200"/>
        <w:rPr>
          <w:color w:val="auto"/>
          <w:sz w:val="24"/>
        </w:rPr>
      </w:pPr>
      <w:r>
        <w:rPr>
          <w:rFonts w:hint="eastAsia"/>
          <w:color w:val="auto"/>
          <w:sz w:val="24"/>
        </w:rPr>
        <w:t>①严格按照国家有关危险化学品运输的规定进行管理，对运输单位资质、运输人员资质、货物装载、运输路线等严格把关，确保运输安全。运输采用多次小规模进行，必须由有危险品运输资质单位负责；运输车辆不得超载、超速，悬挂危险货物运输标志；按有关部门指定线路行驶，如经过居民区、环境敏感区和易发生事故区，应谨慎驾驶，防止车祸发生。</w:t>
      </w:r>
    </w:p>
    <w:p w14:paraId="6D901E56">
      <w:pPr>
        <w:adjustRightInd w:val="0"/>
        <w:snapToGrid w:val="0"/>
        <w:spacing w:line="360" w:lineRule="auto"/>
        <w:ind w:firstLine="480" w:firstLineChars="200"/>
        <w:rPr>
          <w:color w:val="auto"/>
          <w:sz w:val="24"/>
        </w:rPr>
      </w:pPr>
      <w:r>
        <w:rPr>
          <w:rFonts w:hint="eastAsia"/>
          <w:color w:val="auto"/>
          <w:sz w:val="24"/>
        </w:rPr>
        <w:t>②运输危险物品的容器在使用前应当检查，做好检查记录，积极配合质检部门对运输容器的产品质量进行定期检查，并根据质检部门提出的建议和措施严格落实。</w:t>
      </w:r>
    </w:p>
    <w:p w14:paraId="6DB1A64D">
      <w:pPr>
        <w:adjustRightInd w:val="0"/>
        <w:snapToGrid w:val="0"/>
        <w:spacing w:line="360" w:lineRule="auto"/>
        <w:ind w:firstLine="480" w:firstLineChars="200"/>
        <w:rPr>
          <w:color w:val="auto"/>
          <w:sz w:val="24"/>
        </w:rPr>
      </w:pPr>
      <w:r>
        <w:rPr>
          <w:rFonts w:hint="eastAsia"/>
          <w:color w:val="auto"/>
          <w:sz w:val="24"/>
        </w:rPr>
        <w:t>③对运输人员进行安全知识培训，配备通讯工具、应急处理器材和防护用品、消防器材，一旦发生事故及时使用，减轻因火灾对大气和周围居民的影响。</w:t>
      </w:r>
    </w:p>
    <w:p w14:paraId="0DAFB632">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.3工艺设备安全防范措施</w:t>
      </w:r>
    </w:p>
    <w:p w14:paraId="68E46520">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1</w:t>
      </w:r>
      <w:r>
        <w:rPr>
          <w:rFonts w:hint="eastAsia"/>
          <w:color w:val="auto"/>
          <w:sz w:val="24"/>
          <w:lang w:val="zh-CN"/>
        </w:rPr>
        <w:t>）力求设备能力的匹配，设备选型原则是必须在满足工艺要求的前提下力求结构简单、运行可靠、易于操作、便于检修、造价低廉，充分结合生产特点进行设备设计。</w:t>
      </w:r>
    </w:p>
    <w:p w14:paraId="0DB49AF5">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2</w:t>
      </w:r>
      <w:r>
        <w:rPr>
          <w:rFonts w:hint="eastAsia"/>
          <w:color w:val="auto"/>
          <w:sz w:val="24"/>
          <w:lang w:val="zh-CN"/>
        </w:rPr>
        <w:t>）力求标准设备机械化、自动化水平高，非标设备力求标准化、系列化。</w:t>
      </w:r>
    </w:p>
    <w:p w14:paraId="111A02A1">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3</w:t>
      </w:r>
      <w:r>
        <w:rPr>
          <w:rFonts w:hint="eastAsia"/>
          <w:color w:val="auto"/>
          <w:sz w:val="24"/>
          <w:lang w:val="zh-CN"/>
        </w:rPr>
        <w:t>）采用新工艺、新设备，使生产安全、方便，保护工人健康。</w:t>
      </w:r>
    </w:p>
    <w:p w14:paraId="55B530F1">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4</w:t>
      </w:r>
      <w:r>
        <w:rPr>
          <w:rFonts w:hint="eastAsia"/>
          <w:color w:val="auto"/>
          <w:sz w:val="24"/>
          <w:lang w:val="zh-CN"/>
        </w:rPr>
        <w:t>）严格按照安全操作规程进行生产，对设备进行静电接地设计，尽量避免因静电引起的火灾事故。</w:t>
      </w:r>
    </w:p>
    <w:p w14:paraId="5764C2D0">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5</w:t>
      </w:r>
      <w:r>
        <w:rPr>
          <w:rFonts w:hint="eastAsia"/>
          <w:color w:val="auto"/>
          <w:sz w:val="24"/>
          <w:lang w:val="zh-CN"/>
        </w:rPr>
        <w:t>）采用现场控制仪表，对装置生产过程集中检测、显示和报警。</w:t>
      </w:r>
    </w:p>
    <w:p w14:paraId="0A98D500">
      <w:pPr>
        <w:adjustRightInd w:val="0"/>
        <w:snapToGrid w:val="0"/>
        <w:spacing w:line="360" w:lineRule="auto"/>
        <w:ind w:firstLine="480" w:firstLineChars="200"/>
        <w:rPr>
          <w:color w:val="auto"/>
          <w:sz w:val="24"/>
          <w:lang w:val="zh-CN"/>
        </w:rPr>
      </w:pPr>
      <w:r>
        <w:rPr>
          <w:rFonts w:hint="eastAsia"/>
          <w:color w:val="auto"/>
          <w:sz w:val="24"/>
          <w:lang w:val="zh-CN"/>
        </w:rPr>
        <w:t>（</w:t>
      </w:r>
      <w:r>
        <w:rPr>
          <w:rFonts w:hint="eastAsia"/>
          <w:color w:val="auto"/>
          <w:sz w:val="24"/>
        </w:rPr>
        <w:t>6</w:t>
      </w:r>
      <w:r>
        <w:rPr>
          <w:rFonts w:hint="eastAsia"/>
          <w:color w:val="auto"/>
          <w:sz w:val="24"/>
          <w:lang w:val="zh-CN"/>
        </w:rPr>
        <w:t>）选用设备坚持高起点，自动化、机械化的原则，取代繁重的人工劳动。</w:t>
      </w:r>
    </w:p>
    <w:p w14:paraId="2834F690">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.4电气安全防范措施</w:t>
      </w:r>
    </w:p>
    <w:p w14:paraId="5BBC650E">
      <w:pPr>
        <w:adjustRightInd w:val="0"/>
        <w:snapToGrid w:val="0"/>
        <w:spacing w:line="360" w:lineRule="auto"/>
        <w:ind w:firstLine="480" w:firstLineChars="200"/>
        <w:rPr>
          <w:color w:val="auto"/>
          <w:sz w:val="24"/>
        </w:rPr>
      </w:pPr>
      <w:r>
        <w:rPr>
          <w:rFonts w:hint="eastAsia"/>
          <w:color w:val="auto"/>
          <w:sz w:val="24"/>
        </w:rPr>
        <w:t>电力设计严格按《爆炸危险环境电力装置设计规范》选择动力及照明电气设备及配电方式。</w:t>
      </w:r>
    </w:p>
    <w:p w14:paraId="2C744623">
      <w:pPr>
        <w:adjustRightInd w:val="0"/>
        <w:snapToGrid w:val="0"/>
        <w:spacing w:line="360" w:lineRule="auto"/>
        <w:ind w:firstLine="480" w:firstLineChars="200"/>
        <w:rPr>
          <w:color w:val="auto"/>
          <w:sz w:val="24"/>
        </w:rPr>
      </w:pPr>
      <w:r>
        <w:rPr>
          <w:rFonts w:hint="eastAsia"/>
          <w:color w:val="auto"/>
          <w:sz w:val="24"/>
        </w:rPr>
        <w:t>（1）设计事故照明、疏散指示标志、自动报警和消防水泵、通风等设备的控制。事故时为保证装置内照明的连续性，装置内设一定数量的应急灯；紧急出口和拐角处设诱导灯，确保火灾发生时人员的疏散。</w:t>
      </w:r>
    </w:p>
    <w:p w14:paraId="0ED9C86F">
      <w:pPr>
        <w:adjustRightInd w:val="0"/>
        <w:snapToGrid w:val="0"/>
        <w:spacing w:line="360" w:lineRule="auto"/>
        <w:ind w:firstLine="480" w:firstLineChars="200"/>
        <w:rPr>
          <w:color w:val="auto"/>
          <w:sz w:val="24"/>
          <w:lang w:val="zh-CN"/>
        </w:rPr>
      </w:pPr>
      <w:r>
        <w:rPr>
          <w:rFonts w:hint="eastAsia"/>
          <w:color w:val="auto"/>
          <w:sz w:val="24"/>
        </w:rPr>
        <w:t>（2）根据本项目的生产性质和建筑物的类型，并依据《建筑物防雷设计规范》，本项目按照第三类防雷建筑物设计；设备的防静电接地与防雷接地共用接地装置</w:t>
      </w:r>
      <w:r>
        <w:rPr>
          <w:rFonts w:hint="eastAsia"/>
          <w:color w:val="auto"/>
          <w:sz w:val="24"/>
          <w:lang w:eastAsia="zh-CN"/>
        </w:rPr>
        <w:t>；根</w:t>
      </w:r>
      <w:r>
        <w:rPr>
          <w:rFonts w:hint="eastAsia"/>
          <w:color w:val="auto"/>
          <w:sz w:val="24"/>
        </w:rPr>
        <w:t>据《交流电气装置的接地设计规范》，《火灾自动报警系统设计规范》，采用联合接地，接地电阻小于1Ω。</w:t>
      </w:r>
    </w:p>
    <w:p w14:paraId="797C3EF8">
      <w:pPr>
        <w:pStyle w:val="18"/>
        <w:spacing w:line="360" w:lineRule="auto"/>
        <w:rPr>
          <w:rFonts w:hint="default" w:ascii="Times New Roman" w:hAnsi="Times New Roman"/>
          <w:b/>
          <w:bCs/>
          <w:color w:val="auto"/>
          <w:sz w:val="24"/>
          <w:szCs w:val="24"/>
        </w:rPr>
      </w:pPr>
      <w:r>
        <w:rPr>
          <w:rFonts w:hint="default" w:ascii="Times New Roman" w:hAnsi="Times New Roman"/>
          <w:b/>
          <w:bCs/>
          <w:color w:val="auto"/>
          <w:sz w:val="24"/>
          <w:szCs w:val="24"/>
        </w:rPr>
        <w:t>6.</w:t>
      </w:r>
      <w:r>
        <w:rPr>
          <w:rFonts w:ascii="Times New Roman" w:hAnsi="Times New Roman"/>
          <w:b/>
          <w:bCs/>
          <w:color w:val="auto"/>
          <w:sz w:val="24"/>
          <w:szCs w:val="24"/>
        </w:rPr>
        <w:t>1</w:t>
      </w:r>
      <w:r>
        <w:rPr>
          <w:rFonts w:hint="default" w:ascii="Times New Roman" w:hAnsi="Times New Roman"/>
          <w:b/>
          <w:bCs/>
          <w:color w:val="auto"/>
          <w:sz w:val="24"/>
          <w:szCs w:val="24"/>
        </w:rPr>
        <w:t>.5生产管理安全防范措施</w:t>
      </w:r>
    </w:p>
    <w:p w14:paraId="12A1A458">
      <w:pPr>
        <w:adjustRightInd w:val="0"/>
        <w:snapToGrid w:val="0"/>
        <w:spacing w:line="360" w:lineRule="auto"/>
        <w:ind w:firstLine="480" w:firstLineChars="200"/>
        <w:rPr>
          <w:color w:val="auto"/>
          <w:sz w:val="24"/>
        </w:rPr>
      </w:pPr>
      <w:r>
        <w:rPr>
          <w:rFonts w:hint="eastAsia"/>
          <w:color w:val="auto"/>
          <w:sz w:val="24"/>
        </w:rPr>
        <w:t>（1）配备必要的劳动保护用品如橡胶手套、胶鞋、防护镜、工作服等，操作工人在现场操作或处理事故时必须穿戴相应的劳动保护用品。</w:t>
      </w:r>
    </w:p>
    <w:p w14:paraId="28A8CF7C">
      <w:pPr>
        <w:adjustRightInd w:val="0"/>
        <w:snapToGrid w:val="0"/>
        <w:spacing w:line="360" w:lineRule="auto"/>
        <w:ind w:firstLine="480" w:firstLineChars="200"/>
        <w:rPr>
          <w:color w:val="auto"/>
          <w:sz w:val="24"/>
        </w:rPr>
      </w:pPr>
      <w:r>
        <w:rPr>
          <w:rFonts w:hint="eastAsia"/>
          <w:color w:val="auto"/>
          <w:sz w:val="24"/>
        </w:rPr>
        <w:t>（2）严格执行安全动火制度。</w:t>
      </w:r>
    </w:p>
    <w:p w14:paraId="294CBF43">
      <w:pPr>
        <w:adjustRightInd w:val="0"/>
        <w:snapToGrid w:val="0"/>
        <w:spacing w:line="360" w:lineRule="auto"/>
        <w:ind w:firstLine="480" w:firstLineChars="200"/>
        <w:rPr>
          <w:color w:val="auto"/>
          <w:sz w:val="24"/>
        </w:rPr>
      </w:pPr>
      <w:r>
        <w:rPr>
          <w:rFonts w:hint="eastAsia"/>
          <w:color w:val="auto"/>
          <w:sz w:val="24"/>
        </w:rPr>
        <w:t>（3）加强设备、管道、管件的巡查和维修，防止“跑、冒、滴、漏”等现象的发生，以避免造成人身和设备事故。</w:t>
      </w:r>
    </w:p>
    <w:p w14:paraId="7D23C419">
      <w:pPr>
        <w:adjustRightInd w:val="0"/>
        <w:snapToGrid w:val="0"/>
        <w:spacing w:line="360" w:lineRule="auto"/>
        <w:ind w:firstLine="480" w:firstLineChars="200"/>
        <w:rPr>
          <w:color w:val="auto"/>
          <w:sz w:val="24"/>
        </w:rPr>
      </w:pPr>
      <w:r>
        <w:rPr>
          <w:rFonts w:hint="eastAsia"/>
          <w:color w:val="auto"/>
          <w:sz w:val="24"/>
        </w:rPr>
        <w:t>（4）工作现场禁止吸烟、进食、饮水。应配备急救药品，有关人员应学会自救互救。</w:t>
      </w:r>
    </w:p>
    <w:p w14:paraId="0C217DE0">
      <w:pPr>
        <w:adjustRightInd w:val="0"/>
        <w:snapToGrid w:val="0"/>
        <w:spacing w:line="360" w:lineRule="auto"/>
        <w:ind w:firstLine="480" w:firstLineChars="200"/>
        <w:rPr>
          <w:color w:val="auto"/>
          <w:sz w:val="24"/>
        </w:rPr>
      </w:pPr>
      <w:r>
        <w:rPr>
          <w:rFonts w:hint="eastAsia"/>
          <w:color w:val="auto"/>
          <w:sz w:val="24"/>
        </w:rPr>
        <w:t>（5）严禁外来人员进入生产区，操作人员持上岗证方可进入生产区。</w:t>
      </w:r>
    </w:p>
    <w:p w14:paraId="7B9F68F8">
      <w:pPr>
        <w:adjustRightInd w:val="0"/>
        <w:snapToGrid w:val="0"/>
        <w:spacing w:line="360" w:lineRule="auto"/>
        <w:ind w:firstLine="480" w:firstLineChars="200"/>
        <w:rPr>
          <w:color w:val="auto"/>
          <w:sz w:val="24"/>
        </w:rPr>
      </w:pPr>
      <w:r>
        <w:rPr>
          <w:rFonts w:hint="eastAsia"/>
          <w:color w:val="auto"/>
          <w:sz w:val="24"/>
        </w:rPr>
        <w:t>（6）建立卫生保健制度，定期体检，对患有中枢神经系统障碍、癫痫、肝、肾病、呼吸、肺疾病、贫血、皮肤病等不准上岗。</w:t>
      </w:r>
    </w:p>
    <w:p w14:paraId="0606F552">
      <w:pPr>
        <w:adjustRightInd w:val="0"/>
        <w:snapToGrid w:val="0"/>
        <w:spacing w:line="360" w:lineRule="auto"/>
        <w:ind w:firstLine="480" w:firstLineChars="200"/>
        <w:rPr>
          <w:color w:val="auto"/>
          <w:sz w:val="24"/>
        </w:rPr>
      </w:pPr>
      <w:r>
        <w:rPr>
          <w:rFonts w:hint="eastAsia"/>
          <w:color w:val="auto"/>
          <w:sz w:val="24"/>
        </w:rPr>
        <w:t>（7）厂内应制定严格的消防制度：树立“禁火”醒目标志；严禁带火种进入厂区；进厂汽车排气口必须戴防火罩；加强职工安全教育，成立兼职消防队。</w:t>
      </w:r>
    </w:p>
    <w:p w14:paraId="3471F8C3">
      <w:pPr>
        <w:pStyle w:val="2"/>
        <w:pageBreakBefore/>
        <w:spacing w:before="323" w:beforeLines="100" w:after="323" w:afterLines="100" w:line="480" w:lineRule="exact"/>
        <w:ind w:left="0"/>
        <w:rPr>
          <w:color w:val="auto"/>
          <w:sz w:val="32"/>
          <w:szCs w:val="32"/>
        </w:rPr>
      </w:pPr>
      <w:bookmarkStart w:id="149" w:name="_Toc16023"/>
      <w:bookmarkStart w:id="150" w:name="_Toc12169"/>
      <w:bookmarkStart w:id="151" w:name="_Toc24461"/>
      <w:bookmarkStart w:id="152" w:name="_Toc10050"/>
      <w:r>
        <w:rPr>
          <w:color w:val="auto"/>
          <w:sz w:val="32"/>
          <w:szCs w:val="32"/>
        </w:rPr>
        <w:t>7风险事故应急预案</w:t>
      </w:r>
      <w:bookmarkEnd w:id="149"/>
      <w:bookmarkEnd w:id="150"/>
      <w:bookmarkEnd w:id="151"/>
      <w:bookmarkEnd w:id="152"/>
    </w:p>
    <w:p w14:paraId="7C5701AE">
      <w:pPr>
        <w:adjustRightInd w:val="0"/>
        <w:snapToGrid w:val="0"/>
        <w:spacing w:line="360" w:lineRule="auto"/>
        <w:ind w:firstLine="480" w:firstLineChars="200"/>
        <w:rPr>
          <w:color w:val="auto"/>
          <w:sz w:val="24"/>
        </w:rPr>
      </w:pPr>
      <w:r>
        <w:rPr>
          <w:rFonts w:hint="eastAsia"/>
          <w:color w:val="auto"/>
          <w:sz w:val="24"/>
        </w:rPr>
        <w:t>为建立健全环境污染事故应急机制，强化风险评估、隐患排查、事故预警和应急处置四项工作机制，提高企业应对突发环境污染事故的能力和企业应急预案的科学性、有效性和可操作性，保证职工和公司周围群众的生命安全和职业健康，按照《中华人民共和国环境保护法》、《企业事业单位突发环境事件应急预案备案管理办法（试行）》（环发[2015]4号）、《企业事业单位突发环境事件应急预案评审工作指南（试行）》和《建设项目环境风险评价技术导则》（HJ 169-2018）等文件的要求，积极应对火灾、环境治理设施故障等事故引起的突发环境事件，规范公司环境应急管理工作、提高应对和防范突发环境事件能力，制定适合本厂区的环境风险事故应急预案，并报送当地环境保护行政主管部门备案。</w:t>
      </w:r>
    </w:p>
    <w:p w14:paraId="24DEC9CC">
      <w:pPr>
        <w:adjustRightInd w:val="0"/>
        <w:snapToGrid w:val="0"/>
        <w:spacing w:line="360" w:lineRule="auto"/>
        <w:ind w:firstLine="480" w:firstLineChars="200"/>
        <w:rPr>
          <w:color w:val="auto"/>
          <w:sz w:val="24"/>
        </w:rPr>
      </w:pPr>
      <w:r>
        <w:rPr>
          <w:rFonts w:hint="eastAsia"/>
          <w:color w:val="auto"/>
          <w:sz w:val="24"/>
        </w:rPr>
        <w:t>应急预案主要内容见表7-1。</w:t>
      </w:r>
    </w:p>
    <w:p w14:paraId="5F2AD3F1">
      <w:pPr>
        <w:spacing w:line="360" w:lineRule="auto"/>
        <w:jc w:val="center"/>
        <w:rPr>
          <w:b/>
          <w:color w:val="auto"/>
          <w:sz w:val="24"/>
        </w:rPr>
      </w:pPr>
      <w:r>
        <w:rPr>
          <w:b/>
          <w:color w:val="auto"/>
          <w:sz w:val="24"/>
        </w:rPr>
        <w:t>表</w:t>
      </w:r>
      <w:r>
        <w:rPr>
          <w:rFonts w:hint="eastAsia"/>
          <w:b/>
          <w:color w:val="auto"/>
          <w:sz w:val="24"/>
        </w:rPr>
        <w:t>7</w:t>
      </w:r>
      <w:r>
        <w:rPr>
          <w:b/>
          <w:color w:val="auto"/>
          <w:sz w:val="24"/>
        </w:rPr>
        <w:t>-1</w:t>
      </w:r>
      <w:r>
        <w:rPr>
          <w:rFonts w:hint="eastAsia"/>
          <w:b/>
          <w:color w:val="auto"/>
          <w:sz w:val="24"/>
        </w:rPr>
        <w:t xml:space="preserve"> </w:t>
      </w:r>
      <w:r>
        <w:rPr>
          <w:b/>
          <w:color w:val="auto"/>
          <w:sz w:val="24"/>
        </w:rPr>
        <w:t>突发事故应急预案主要内容</w:t>
      </w:r>
    </w:p>
    <w:tbl>
      <w:tblPr>
        <w:tblStyle w:val="38"/>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39"/>
        <w:gridCol w:w="1539"/>
        <w:gridCol w:w="7559"/>
      </w:tblGrid>
      <w:tr w14:paraId="48FD6A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73F65639">
            <w:pPr>
              <w:jc w:val="center"/>
              <w:rPr>
                <w:color w:val="auto"/>
                <w:szCs w:val="21"/>
                <w:lang w:val="zh-CN" w:bidi="zh-CN"/>
              </w:rPr>
            </w:pPr>
            <w:r>
              <w:rPr>
                <w:color w:val="auto"/>
                <w:szCs w:val="21"/>
                <w:lang w:val="zh-CN" w:bidi="zh-CN"/>
              </w:rPr>
              <w:t>序号</w:t>
            </w:r>
          </w:p>
        </w:tc>
        <w:tc>
          <w:tcPr>
            <w:tcW w:w="1358" w:type="dxa"/>
            <w:tcBorders>
              <w:tl2br w:val="nil"/>
              <w:tr2bl w:val="nil"/>
            </w:tcBorders>
            <w:vAlign w:val="center"/>
          </w:tcPr>
          <w:p w14:paraId="101DD443">
            <w:pPr>
              <w:jc w:val="center"/>
              <w:rPr>
                <w:color w:val="auto"/>
                <w:szCs w:val="21"/>
                <w:lang w:val="zh-CN" w:bidi="zh-CN"/>
              </w:rPr>
            </w:pPr>
            <w:r>
              <w:rPr>
                <w:color w:val="auto"/>
                <w:szCs w:val="21"/>
                <w:lang w:val="zh-CN" w:bidi="zh-CN"/>
              </w:rPr>
              <w:t>项目</w:t>
            </w:r>
          </w:p>
        </w:tc>
        <w:tc>
          <w:tcPr>
            <w:tcW w:w="6670" w:type="dxa"/>
            <w:tcBorders>
              <w:tl2br w:val="nil"/>
              <w:tr2bl w:val="nil"/>
            </w:tcBorders>
            <w:vAlign w:val="center"/>
          </w:tcPr>
          <w:p w14:paraId="09C13BB5">
            <w:pPr>
              <w:jc w:val="center"/>
              <w:rPr>
                <w:color w:val="auto"/>
                <w:szCs w:val="21"/>
                <w:lang w:val="zh-CN" w:bidi="zh-CN"/>
              </w:rPr>
            </w:pPr>
            <w:r>
              <w:rPr>
                <w:color w:val="auto"/>
                <w:szCs w:val="21"/>
                <w:lang w:val="zh-CN" w:bidi="zh-CN"/>
              </w:rPr>
              <w:t>内容及要求</w:t>
            </w:r>
          </w:p>
        </w:tc>
      </w:tr>
      <w:tr w14:paraId="00C6F8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22D6271E">
            <w:pPr>
              <w:jc w:val="center"/>
              <w:rPr>
                <w:color w:val="auto"/>
                <w:szCs w:val="21"/>
                <w:lang w:val="zh-CN" w:bidi="zh-CN"/>
              </w:rPr>
            </w:pPr>
            <w:r>
              <w:rPr>
                <w:color w:val="auto"/>
                <w:szCs w:val="21"/>
                <w:lang w:val="zh-CN" w:bidi="zh-CN"/>
              </w:rPr>
              <w:t>1</w:t>
            </w:r>
          </w:p>
        </w:tc>
        <w:tc>
          <w:tcPr>
            <w:tcW w:w="1358" w:type="dxa"/>
            <w:tcBorders>
              <w:tl2br w:val="nil"/>
              <w:tr2bl w:val="nil"/>
            </w:tcBorders>
            <w:vAlign w:val="center"/>
          </w:tcPr>
          <w:p w14:paraId="71A0CCB6">
            <w:pPr>
              <w:jc w:val="center"/>
              <w:rPr>
                <w:color w:val="auto"/>
                <w:szCs w:val="21"/>
                <w:lang w:val="zh-CN" w:bidi="zh-CN"/>
              </w:rPr>
            </w:pPr>
            <w:r>
              <w:rPr>
                <w:color w:val="auto"/>
                <w:szCs w:val="21"/>
                <w:lang w:val="zh-CN" w:bidi="zh-CN"/>
              </w:rPr>
              <w:t>预案适用范围</w:t>
            </w:r>
          </w:p>
        </w:tc>
        <w:tc>
          <w:tcPr>
            <w:tcW w:w="6670" w:type="dxa"/>
            <w:tcBorders>
              <w:tl2br w:val="nil"/>
              <w:tr2bl w:val="nil"/>
            </w:tcBorders>
            <w:vAlign w:val="center"/>
          </w:tcPr>
          <w:p w14:paraId="1081C586">
            <w:pPr>
              <w:jc w:val="center"/>
              <w:rPr>
                <w:color w:val="auto"/>
                <w:szCs w:val="21"/>
                <w:lang w:val="zh-CN" w:bidi="zh-CN"/>
              </w:rPr>
            </w:pPr>
            <w:r>
              <w:rPr>
                <w:color w:val="auto"/>
                <w:szCs w:val="21"/>
                <w:lang w:val="zh-CN" w:bidi="zh-CN"/>
              </w:rPr>
              <w:t>明确：预案适用的主体、地理或管理范围、事件类别、工作内容</w:t>
            </w:r>
          </w:p>
        </w:tc>
      </w:tr>
      <w:tr w14:paraId="5829B9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3C43C8AF">
            <w:pPr>
              <w:jc w:val="center"/>
              <w:rPr>
                <w:color w:val="auto"/>
                <w:szCs w:val="21"/>
                <w:lang w:val="zh-CN" w:bidi="zh-CN"/>
              </w:rPr>
            </w:pPr>
            <w:r>
              <w:rPr>
                <w:color w:val="auto"/>
                <w:szCs w:val="21"/>
                <w:lang w:val="zh-CN" w:bidi="zh-CN"/>
              </w:rPr>
              <w:t>2</w:t>
            </w:r>
          </w:p>
        </w:tc>
        <w:tc>
          <w:tcPr>
            <w:tcW w:w="1358" w:type="dxa"/>
            <w:tcBorders>
              <w:tl2br w:val="nil"/>
              <w:tr2bl w:val="nil"/>
            </w:tcBorders>
            <w:vAlign w:val="center"/>
          </w:tcPr>
          <w:p w14:paraId="3E33E51F">
            <w:pPr>
              <w:jc w:val="center"/>
              <w:rPr>
                <w:color w:val="auto"/>
                <w:szCs w:val="21"/>
                <w:lang w:val="zh-CN" w:bidi="zh-CN"/>
              </w:rPr>
            </w:pPr>
            <w:r>
              <w:rPr>
                <w:color w:val="auto"/>
                <w:szCs w:val="21"/>
                <w:lang w:val="zh-CN" w:bidi="zh-CN"/>
              </w:rPr>
              <w:t>环境事件分类</w:t>
            </w:r>
          </w:p>
          <w:p w14:paraId="0AA01C19">
            <w:pPr>
              <w:jc w:val="center"/>
              <w:rPr>
                <w:color w:val="auto"/>
                <w:szCs w:val="21"/>
                <w:lang w:val="zh-CN" w:bidi="zh-CN"/>
              </w:rPr>
            </w:pPr>
            <w:r>
              <w:rPr>
                <w:color w:val="auto"/>
                <w:szCs w:val="21"/>
                <w:lang w:val="zh-CN" w:bidi="zh-CN"/>
              </w:rPr>
              <w:t>与分级</w:t>
            </w:r>
          </w:p>
        </w:tc>
        <w:tc>
          <w:tcPr>
            <w:tcW w:w="6670" w:type="dxa"/>
            <w:tcBorders>
              <w:tl2br w:val="nil"/>
              <w:tr2bl w:val="nil"/>
            </w:tcBorders>
            <w:vAlign w:val="center"/>
          </w:tcPr>
          <w:p w14:paraId="47AAE907">
            <w:pPr>
              <w:ind w:firstLine="420" w:firstLineChars="200"/>
              <w:jc w:val="left"/>
              <w:rPr>
                <w:color w:val="auto"/>
                <w:szCs w:val="21"/>
                <w:lang w:val="zh-CN" w:bidi="zh-CN"/>
              </w:rPr>
            </w:pPr>
            <w:r>
              <w:rPr>
                <w:color w:val="auto"/>
                <w:szCs w:val="21"/>
                <w:lang w:val="zh-CN" w:bidi="zh-CN"/>
              </w:rPr>
              <w:t>结合自身实际情况和危险源的潜在危险性及突发环境事件风险评估结论，按照突发环境事件的严重性和紧急程度，将突发事件分为一级环境事件、二级环境事件和三级环境事件三个级别。一级环境事件为区域级事件，二级环境事件为公司及时间，三级环境事件为车间级事件。</w:t>
            </w:r>
          </w:p>
        </w:tc>
      </w:tr>
      <w:tr w14:paraId="25ACB6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451B2A5B">
            <w:pPr>
              <w:jc w:val="center"/>
              <w:rPr>
                <w:color w:val="auto"/>
                <w:szCs w:val="21"/>
                <w:lang w:val="zh-CN" w:bidi="zh-CN"/>
              </w:rPr>
            </w:pPr>
            <w:r>
              <w:rPr>
                <w:color w:val="auto"/>
                <w:szCs w:val="21"/>
                <w:lang w:val="zh-CN" w:bidi="zh-CN"/>
              </w:rPr>
              <w:t>3</w:t>
            </w:r>
          </w:p>
        </w:tc>
        <w:tc>
          <w:tcPr>
            <w:tcW w:w="1358" w:type="dxa"/>
            <w:tcBorders>
              <w:tl2br w:val="nil"/>
              <w:tr2bl w:val="nil"/>
            </w:tcBorders>
            <w:vAlign w:val="center"/>
          </w:tcPr>
          <w:p w14:paraId="6E1895F5">
            <w:pPr>
              <w:jc w:val="center"/>
              <w:rPr>
                <w:color w:val="auto"/>
                <w:szCs w:val="21"/>
                <w:lang w:val="zh-CN" w:bidi="zh-CN"/>
              </w:rPr>
            </w:pPr>
            <w:r>
              <w:rPr>
                <w:color w:val="auto"/>
                <w:szCs w:val="21"/>
                <w:lang w:val="zh-CN" w:bidi="zh-CN"/>
              </w:rPr>
              <w:t>组织机构与职责</w:t>
            </w:r>
          </w:p>
        </w:tc>
        <w:tc>
          <w:tcPr>
            <w:tcW w:w="6670" w:type="dxa"/>
            <w:tcBorders>
              <w:tl2br w:val="nil"/>
              <w:tr2bl w:val="nil"/>
            </w:tcBorders>
            <w:vAlign w:val="center"/>
          </w:tcPr>
          <w:p w14:paraId="35F4D0C0">
            <w:pPr>
              <w:ind w:firstLine="420" w:firstLineChars="200"/>
              <w:jc w:val="left"/>
              <w:rPr>
                <w:color w:val="auto"/>
                <w:szCs w:val="21"/>
                <w:lang w:val="zh-CN" w:bidi="zh-CN"/>
              </w:rPr>
            </w:pPr>
            <w:r>
              <w:rPr>
                <w:color w:val="auto"/>
                <w:szCs w:val="21"/>
                <w:lang w:val="zh-CN" w:bidi="zh-CN"/>
              </w:rPr>
              <w:t>以应急组织体系结构图、应急响应流程图的形式，说明组织体系构成、应急指挥运行机制，配有应急队伍成员名单和联系方式表。明确组织体系的构成及其职责。一般包括应急指挥部及其办事机构、现场处置组、环境应急监测组、应急保障组以及其他必要的行动组。明确应急状态下指挥运行机制，建立统一的应急指挥、协调和决策程序根据突发环境事件的危害程度、影响范围、周边环境敏感点、企业应急响应能力等，建立分级应急响应机制，明确不同应急响应级别对应的指挥权限。说明企业与政府及其有关部门之间的关系。明确政府及其有关部门介入后，企业内部指挥协调、配合处置、参与应急保障等工作任务和责任人。</w:t>
            </w:r>
          </w:p>
        </w:tc>
      </w:tr>
      <w:tr w14:paraId="3A09C7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00973265">
            <w:pPr>
              <w:jc w:val="center"/>
              <w:rPr>
                <w:color w:val="auto"/>
                <w:szCs w:val="21"/>
                <w:lang w:val="zh-CN" w:bidi="zh-CN"/>
              </w:rPr>
            </w:pPr>
            <w:r>
              <w:rPr>
                <w:color w:val="auto"/>
                <w:szCs w:val="21"/>
                <w:lang w:val="zh-CN" w:bidi="zh-CN"/>
              </w:rPr>
              <w:t>4</w:t>
            </w:r>
          </w:p>
        </w:tc>
        <w:tc>
          <w:tcPr>
            <w:tcW w:w="1358" w:type="dxa"/>
            <w:tcBorders>
              <w:tl2br w:val="nil"/>
              <w:tr2bl w:val="nil"/>
            </w:tcBorders>
            <w:vAlign w:val="center"/>
          </w:tcPr>
          <w:p w14:paraId="2B7CAB15">
            <w:pPr>
              <w:jc w:val="center"/>
              <w:rPr>
                <w:color w:val="auto"/>
                <w:szCs w:val="21"/>
                <w:lang w:val="zh-CN" w:bidi="zh-CN"/>
              </w:rPr>
            </w:pPr>
            <w:r>
              <w:rPr>
                <w:color w:val="auto"/>
                <w:szCs w:val="21"/>
                <w:lang w:val="zh-CN" w:bidi="zh-CN"/>
              </w:rPr>
              <w:t>监控和预警</w:t>
            </w:r>
          </w:p>
        </w:tc>
        <w:tc>
          <w:tcPr>
            <w:tcW w:w="6670" w:type="dxa"/>
            <w:tcBorders>
              <w:tl2br w:val="nil"/>
              <w:tr2bl w:val="nil"/>
            </w:tcBorders>
            <w:vAlign w:val="center"/>
          </w:tcPr>
          <w:p w14:paraId="40FA54C9">
            <w:pPr>
              <w:ind w:firstLine="420" w:firstLineChars="200"/>
              <w:jc w:val="left"/>
              <w:rPr>
                <w:color w:val="auto"/>
                <w:szCs w:val="21"/>
                <w:lang w:val="zh-CN" w:bidi="zh-CN"/>
              </w:rPr>
            </w:pPr>
            <w:r>
              <w:rPr>
                <w:color w:val="auto"/>
                <w:szCs w:val="21"/>
                <w:lang w:val="zh-CN" w:bidi="zh-CN"/>
              </w:rPr>
              <w:t>建立企业内部监控预警方案；明确监控信息的获得途径和分析研判的方式方法；明确企业内部预警条件，预警等级，预警信息发布、接收、调整、解除程序、发布内容、责任人；明确企业内部事件信息传递的责任人、程序、时限、方式、内容等，包括向协议应急救援单位传递信息的方式方法；明确企业向当地人民政府及其环保等部门报告的责任人、程序、时限方式、内容等，辅以信息报告格式规范；明确企业向可能受影响的居民、单位通报的责任人、程序、时限、方式、内容等。</w:t>
            </w:r>
          </w:p>
        </w:tc>
      </w:tr>
      <w:tr w14:paraId="36C4A7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58446117">
            <w:pPr>
              <w:jc w:val="center"/>
              <w:rPr>
                <w:color w:val="auto"/>
                <w:szCs w:val="21"/>
                <w:lang w:val="zh-CN" w:bidi="zh-CN"/>
              </w:rPr>
            </w:pPr>
            <w:r>
              <w:rPr>
                <w:color w:val="auto"/>
                <w:szCs w:val="21"/>
                <w:lang w:val="zh-CN" w:bidi="zh-CN"/>
              </w:rPr>
              <w:t>5</w:t>
            </w:r>
          </w:p>
        </w:tc>
        <w:tc>
          <w:tcPr>
            <w:tcW w:w="1358" w:type="dxa"/>
            <w:tcBorders>
              <w:tl2br w:val="nil"/>
              <w:tr2bl w:val="nil"/>
            </w:tcBorders>
            <w:vAlign w:val="center"/>
          </w:tcPr>
          <w:p w14:paraId="3CC7ED97">
            <w:pPr>
              <w:jc w:val="center"/>
              <w:rPr>
                <w:color w:val="auto"/>
                <w:szCs w:val="21"/>
                <w:lang w:val="zh-CN" w:bidi="zh-CN"/>
              </w:rPr>
            </w:pPr>
            <w:r>
              <w:rPr>
                <w:color w:val="auto"/>
                <w:szCs w:val="21"/>
                <w:lang w:val="zh-CN" w:bidi="zh-CN"/>
              </w:rPr>
              <w:t>应急响应</w:t>
            </w:r>
          </w:p>
        </w:tc>
        <w:tc>
          <w:tcPr>
            <w:tcW w:w="6670" w:type="dxa"/>
            <w:tcBorders>
              <w:tl2br w:val="nil"/>
              <w:tr2bl w:val="nil"/>
            </w:tcBorders>
            <w:vAlign w:val="center"/>
          </w:tcPr>
          <w:p w14:paraId="2034DF65">
            <w:pPr>
              <w:ind w:firstLine="420" w:firstLineChars="200"/>
              <w:jc w:val="left"/>
              <w:rPr>
                <w:color w:val="auto"/>
                <w:szCs w:val="21"/>
                <w:lang w:val="zh-CN" w:bidi="zh-CN"/>
              </w:rPr>
            </w:pPr>
            <w:r>
              <w:rPr>
                <w:color w:val="auto"/>
                <w:szCs w:val="21"/>
                <w:lang w:val="zh-CN" w:bidi="zh-CN"/>
              </w:rPr>
              <w:t>根据环境风险评估报告中的风险分析和情景构建内容，说明应对流程和措施，体现：企业内部控制污染源-研判污染范围-控制污染扩散-污染处置应对流程和措施。体现必要的企业外部应急措施、配合当地人民政府的响应措施及对当地人民政府应急措施的建议。分别说明可能的事件情景及应急处置方案，明确相关岗位人员采取措施的时间、地点、内容、方式、目标等。将应急措施细化、落实到岗位，形成应急处置卡。</w:t>
            </w:r>
          </w:p>
        </w:tc>
      </w:tr>
      <w:tr w14:paraId="29D9B7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66A22158">
            <w:pPr>
              <w:jc w:val="center"/>
              <w:rPr>
                <w:color w:val="auto"/>
                <w:szCs w:val="21"/>
                <w:lang w:val="zh-CN" w:bidi="zh-CN"/>
              </w:rPr>
            </w:pPr>
            <w:r>
              <w:rPr>
                <w:color w:val="auto"/>
                <w:szCs w:val="21"/>
                <w:lang w:val="zh-CN" w:bidi="zh-CN"/>
              </w:rPr>
              <w:t>6</w:t>
            </w:r>
          </w:p>
        </w:tc>
        <w:tc>
          <w:tcPr>
            <w:tcW w:w="1358" w:type="dxa"/>
            <w:tcBorders>
              <w:tl2br w:val="nil"/>
              <w:tr2bl w:val="nil"/>
            </w:tcBorders>
            <w:vAlign w:val="center"/>
          </w:tcPr>
          <w:p w14:paraId="3508F54E">
            <w:pPr>
              <w:jc w:val="center"/>
              <w:rPr>
                <w:color w:val="auto"/>
                <w:szCs w:val="21"/>
                <w:lang w:val="zh-CN" w:bidi="zh-CN"/>
              </w:rPr>
            </w:pPr>
            <w:r>
              <w:rPr>
                <w:color w:val="auto"/>
                <w:szCs w:val="21"/>
                <w:lang w:val="zh-CN" w:bidi="zh-CN"/>
              </w:rPr>
              <w:t>应急保障</w:t>
            </w:r>
          </w:p>
        </w:tc>
        <w:tc>
          <w:tcPr>
            <w:tcW w:w="6670" w:type="dxa"/>
            <w:tcBorders>
              <w:tl2br w:val="nil"/>
              <w:tr2bl w:val="nil"/>
            </w:tcBorders>
            <w:vAlign w:val="center"/>
          </w:tcPr>
          <w:p w14:paraId="2AC15D81">
            <w:pPr>
              <w:jc w:val="center"/>
              <w:rPr>
                <w:color w:val="auto"/>
                <w:szCs w:val="21"/>
                <w:lang w:val="zh-CN" w:bidi="zh-CN"/>
              </w:rPr>
            </w:pPr>
            <w:r>
              <w:rPr>
                <w:color w:val="auto"/>
                <w:szCs w:val="21"/>
                <w:lang w:val="zh-CN" w:bidi="zh-CN"/>
              </w:rPr>
              <w:t>说明环境应急预案涉及的人力资源、财力、物资以及其他技术、重要设施的保障。</w:t>
            </w:r>
          </w:p>
        </w:tc>
      </w:tr>
      <w:tr w14:paraId="04C705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1D9BC189">
            <w:pPr>
              <w:jc w:val="center"/>
              <w:rPr>
                <w:color w:val="auto"/>
                <w:szCs w:val="21"/>
                <w:lang w:val="zh-CN" w:bidi="zh-CN"/>
              </w:rPr>
            </w:pPr>
            <w:r>
              <w:rPr>
                <w:color w:val="auto"/>
                <w:szCs w:val="21"/>
                <w:lang w:val="zh-CN" w:bidi="zh-CN"/>
              </w:rPr>
              <w:t>7</w:t>
            </w:r>
          </w:p>
        </w:tc>
        <w:tc>
          <w:tcPr>
            <w:tcW w:w="1358" w:type="dxa"/>
            <w:tcBorders>
              <w:tl2br w:val="nil"/>
              <w:tr2bl w:val="nil"/>
            </w:tcBorders>
            <w:vAlign w:val="center"/>
          </w:tcPr>
          <w:p w14:paraId="404E6ACC">
            <w:pPr>
              <w:jc w:val="center"/>
              <w:rPr>
                <w:color w:val="auto"/>
                <w:szCs w:val="21"/>
                <w:lang w:val="zh-CN" w:bidi="zh-CN"/>
              </w:rPr>
            </w:pPr>
            <w:r>
              <w:rPr>
                <w:color w:val="auto"/>
                <w:szCs w:val="21"/>
                <w:lang w:val="zh-CN" w:bidi="zh-CN"/>
              </w:rPr>
              <w:t>善后处置</w:t>
            </w:r>
          </w:p>
        </w:tc>
        <w:tc>
          <w:tcPr>
            <w:tcW w:w="6670" w:type="dxa"/>
            <w:tcBorders>
              <w:tl2br w:val="nil"/>
              <w:tr2bl w:val="nil"/>
            </w:tcBorders>
            <w:vAlign w:val="center"/>
          </w:tcPr>
          <w:p w14:paraId="7B1DAA44">
            <w:pPr>
              <w:jc w:val="center"/>
              <w:rPr>
                <w:color w:val="auto"/>
                <w:szCs w:val="21"/>
                <w:lang w:val="zh-CN" w:bidi="zh-CN"/>
              </w:rPr>
            </w:pPr>
            <w:r>
              <w:rPr>
                <w:color w:val="auto"/>
                <w:szCs w:val="21"/>
                <w:lang w:val="zh-CN" w:bidi="zh-CN"/>
              </w:rPr>
              <w:t>说明事后恢复的工作内容和责任人，一般包括：现场污染物的后续处理环境应急相关设施、设备、场所的维护；配合开展环境损害评估、赔偿事件调查处理等。</w:t>
            </w:r>
          </w:p>
        </w:tc>
      </w:tr>
      <w:tr w14:paraId="08C93A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76" w:type="dxa"/>
            <w:tcBorders>
              <w:tl2br w:val="nil"/>
              <w:tr2bl w:val="nil"/>
            </w:tcBorders>
            <w:vAlign w:val="center"/>
          </w:tcPr>
          <w:p w14:paraId="793A11CE">
            <w:pPr>
              <w:jc w:val="center"/>
              <w:rPr>
                <w:color w:val="auto"/>
                <w:szCs w:val="21"/>
                <w:lang w:val="zh-CN" w:bidi="zh-CN"/>
              </w:rPr>
            </w:pPr>
            <w:r>
              <w:rPr>
                <w:color w:val="auto"/>
                <w:szCs w:val="21"/>
                <w:lang w:val="zh-CN" w:bidi="zh-CN"/>
              </w:rPr>
              <w:t>8</w:t>
            </w:r>
          </w:p>
        </w:tc>
        <w:tc>
          <w:tcPr>
            <w:tcW w:w="1358" w:type="dxa"/>
            <w:tcBorders>
              <w:tl2br w:val="nil"/>
              <w:tr2bl w:val="nil"/>
            </w:tcBorders>
            <w:vAlign w:val="center"/>
          </w:tcPr>
          <w:p w14:paraId="78A43A04">
            <w:pPr>
              <w:jc w:val="center"/>
              <w:rPr>
                <w:color w:val="auto"/>
                <w:szCs w:val="21"/>
                <w:lang w:val="zh-CN" w:bidi="zh-CN"/>
              </w:rPr>
            </w:pPr>
            <w:r>
              <w:rPr>
                <w:color w:val="auto"/>
                <w:szCs w:val="21"/>
                <w:lang w:val="zh-CN" w:bidi="zh-CN"/>
              </w:rPr>
              <w:t>预案管理与演练</w:t>
            </w:r>
          </w:p>
        </w:tc>
        <w:tc>
          <w:tcPr>
            <w:tcW w:w="6670" w:type="dxa"/>
            <w:tcBorders>
              <w:tl2br w:val="nil"/>
              <w:tr2bl w:val="nil"/>
            </w:tcBorders>
            <w:vAlign w:val="center"/>
          </w:tcPr>
          <w:p w14:paraId="09811B39">
            <w:pPr>
              <w:jc w:val="center"/>
              <w:rPr>
                <w:color w:val="auto"/>
                <w:szCs w:val="21"/>
                <w:lang w:val="zh-CN" w:bidi="zh-CN"/>
              </w:rPr>
            </w:pPr>
            <w:r>
              <w:rPr>
                <w:color w:val="auto"/>
                <w:szCs w:val="21"/>
                <w:lang w:val="zh-CN" w:bidi="zh-CN"/>
              </w:rPr>
              <w:t>安排有关环境应急预案的培训和演练，明确环境应急预案的评估修订要求。</w:t>
            </w:r>
          </w:p>
        </w:tc>
      </w:tr>
    </w:tbl>
    <w:p w14:paraId="2D020DB7">
      <w:pPr>
        <w:pStyle w:val="2"/>
        <w:pageBreakBefore/>
        <w:spacing w:before="323" w:beforeLines="100" w:after="323" w:afterLines="100" w:line="480" w:lineRule="exact"/>
        <w:ind w:left="0"/>
        <w:rPr>
          <w:color w:val="auto"/>
          <w:sz w:val="32"/>
          <w:szCs w:val="32"/>
        </w:rPr>
      </w:pPr>
      <w:bookmarkStart w:id="153" w:name="_Toc20363"/>
      <w:bookmarkStart w:id="154" w:name="_Toc25091"/>
      <w:bookmarkStart w:id="155" w:name="_Toc321"/>
      <w:bookmarkStart w:id="156" w:name="_Toc7603"/>
      <w:r>
        <w:rPr>
          <w:color w:val="auto"/>
          <w:sz w:val="32"/>
          <w:szCs w:val="32"/>
        </w:rPr>
        <w:t>8结论</w:t>
      </w:r>
      <w:bookmarkEnd w:id="153"/>
      <w:bookmarkEnd w:id="154"/>
      <w:bookmarkEnd w:id="155"/>
      <w:bookmarkEnd w:id="156"/>
    </w:p>
    <w:p w14:paraId="71E974A4">
      <w:pPr>
        <w:adjustRightInd w:val="0"/>
        <w:snapToGrid w:val="0"/>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本项目环境风险潜势为Ⅱ，评价等级为三级。黑龙江宏昌生物科技有限公司日加工500吨大豆（米糠）双生产线建设</w:t>
      </w:r>
      <w:r>
        <w:rPr>
          <w:rFonts w:hint="eastAsia" w:cs="Times New Roman"/>
          <w:color w:val="auto"/>
          <w:sz w:val="24"/>
          <w:lang w:eastAsia="zh-CN"/>
        </w:rPr>
        <w:t>项目</w:t>
      </w:r>
      <w:r>
        <w:rPr>
          <w:rFonts w:hint="eastAsia" w:ascii="Times New Roman" w:hAnsi="Times New Roman" w:eastAsia="宋体" w:cs="Times New Roman"/>
          <w:color w:val="auto"/>
          <w:sz w:val="24"/>
        </w:rPr>
        <w:t>位于佳木斯市桦南县双果路与龙兴街交叉口西南侧，该项目建设符合国家产业政策，平面布置基本合理。项目运营过程中会产生一定的环境风险，建设单位在落实本报告所提出的各项环境风险措施后，本项目的建设对周围环境风险水平在可接受的范围内，本项目建设可行。</w:t>
      </w:r>
    </w:p>
    <w:p w14:paraId="7A6DC53A">
      <w:pPr>
        <w:rPr>
          <w:rFonts w:hint="eastAsia"/>
          <w:color w:val="auto"/>
        </w:rPr>
      </w:pPr>
      <w:r>
        <w:rPr>
          <w:rFonts w:hint="eastAsia"/>
          <w:color w:val="auto"/>
        </w:rPr>
        <w:br w:type="page"/>
      </w:r>
    </w:p>
    <w:p w14:paraId="342D615E">
      <w:pPr>
        <w:widowControl/>
        <w:bidi w:val="0"/>
        <w:spacing w:beforeAutospacing="0" w:afterAutospacing="0" w:line="240" w:lineRule="auto"/>
        <w:ind w:firstLine="0" w:firstLineChars="0"/>
        <w:jc w:val="center"/>
        <w:rPr>
          <w:rFonts w:hint="default" w:ascii="Times New Roman" w:hAnsi="Times New Roman" w:eastAsia="宋体" w:cs="Times New Roman"/>
          <w:b/>
          <w:bCs/>
          <w:smallCaps w:val="0"/>
          <w:color w:val="auto"/>
          <w:kern w:val="2"/>
          <w:sz w:val="24"/>
          <w:szCs w:val="24"/>
          <w:highlight w:val="none"/>
          <w:lang w:val="en-US" w:eastAsia="zh-CN" w:bidi="ar-SA"/>
        </w:rPr>
      </w:pPr>
      <w:r>
        <w:rPr>
          <w:rFonts w:hint="default" w:ascii="Times New Roman" w:hAnsi="Times New Roman" w:eastAsia="宋体" w:cs="Times New Roman"/>
          <w:b/>
          <w:bCs/>
          <w:smallCaps w:val="0"/>
          <w:color w:val="auto"/>
          <w:kern w:val="2"/>
          <w:sz w:val="24"/>
          <w:szCs w:val="24"/>
          <w:highlight w:val="none"/>
          <w:lang w:val="en-US" w:eastAsia="zh-CN" w:bidi="ar-SA"/>
        </w:rPr>
        <w:t>环境风险评价自查表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383"/>
        <w:gridCol w:w="1052"/>
        <w:gridCol w:w="857"/>
        <w:gridCol w:w="644"/>
        <w:gridCol w:w="540"/>
        <w:gridCol w:w="221"/>
        <w:gridCol w:w="589"/>
        <w:gridCol w:w="761"/>
        <w:gridCol w:w="168"/>
        <w:gridCol w:w="341"/>
        <w:gridCol w:w="453"/>
        <w:gridCol w:w="57"/>
        <w:gridCol w:w="110"/>
        <w:gridCol w:w="382"/>
        <w:gridCol w:w="349"/>
        <w:gridCol w:w="511"/>
        <w:gridCol w:w="925"/>
      </w:tblGrid>
      <w:tr w14:paraId="020D9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6" w:hRule="atLeast"/>
          <w:jc w:val="center"/>
        </w:trPr>
        <w:tc>
          <w:tcPr>
            <w:tcW w:w="961" w:type="pct"/>
            <w:gridSpan w:val="2"/>
            <w:noWrap w:val="0"/>
            <w:vAlign w:val="center"/>
          </w:tcPr>
          <w:p w14:paraId="4EBD1AC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工作内容</w:t>
            </w:r>
          </w:p>
        </w:tc>
        <w:tc>
          <w:tcPr>
            <w:tcW w:w="4038" w:type="pct"/>
            <w:gridSpan w:val="16"/>
            <w:noWrap w:val="0"/>
            <w:vAlign w:val="center"/>
          </w:tcPr>
          <w:p w14:paraId="4BD32EA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完成情况</w:t>
            </w:r>
          </w:p>
        </w:tc>
      </w:tr>
      <w:tr w14:paraId="66A6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restart"/>
            <w:noWrap w:val="0"/>
            <w:vAlign w:val="center"/>
          </w:tcPr>
          <w:p w14:paraId="34D1A30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风险调查</w:t>
            </w:r>
          </w:p>
        </w:tc>
        <w:tc>
          <w:tcPr>
            <w:tcW w:w="701" w:type="pct"/>
            <w:vMerge w:val="restart"/>
            <w:noWrap w:val="0"/>
            <w:vAlign w:val="center"/>
          </w:tcPr>
          <w:p w14:paraId="26EE413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危险物质</w:t>
            </w:r>
          </w:p>
        </w:tc>
        <w:tc>
          <w:tcPr>
            <w:tcW w:w="534" w:type="pct"/>
            <w:noWrap w:val="0"/>
            <w:vAlign w:val="center"/>
          </w:tcPr>
          <w:p w14:paraId="48969BD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名称</w:t>
            </w:r>
          </w:p>
        </w:tc>
        <w:tc>
          <w:tcPr>
            <w:tcW w:w="1148" w:type="pct"/>
            <w:gridSpan w:val="4"/>
            <w:noWrap w:val="0"/>
            <w:vAlign w:val="center"/>
          </w:tcPr>
          <w:p w14:paraId="3D7E2C5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药剂</w:t>
            </w:r>
          </w:p>
        </w:tc>
        <w:tc>
          <w:tcPr>
            <w:tcW w:w="770" w:type="pct"/>
            <w:gridSpan w:val="3"/>
            <w:noWrap w:val="0"/>
            <w:vAlign w:val="center"/>
          </w:tcPr>
          <w:p w14:paraId="3C929C9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32" w:type="pct"/>
            <w:gridSpan w:val="3"/>
            <w:noWrap w:val="0"/>
            <w:vAlign w:val="center"/>
          </w:tcPr>
          <w:p w14:paraId="1D6B310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26" w:type="pct"/>
            <w:gridSpan w:val="3"/>
            <w:noWrap w:val="0"/>
            <w:vAlign w:val="center"/>
          </w:tcPr>
          <w:p w14:paraId="09AAE2A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259" w:type="pct"/>
            <w:noWrap w:val="0"/>
            <w:vAlign w:val="center"/>
          </w:tcPr>
          <w:p w14:paraId="615B612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66" w:type="pct"/>
            <w:noWrap w:val="0"/>
            <w:vAlign w:val="center"/>
          </w:tcPr>
          <w:p w14:paraId="75175B3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r>
      <w:tr w14:paraId="58CFE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5569588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4E13DB6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noWrap w:val="0"/>
            <w:vAlign w:val="center"/>
          </w:tcPr>
          <w:p w14:paraId="30E2E61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存在总量/t</w:t>
            </w:r>
          </w:p>
        </w:tc>
        <w:tc>
          <w:tcPr>
            <w:tcW w:w="1148" w:type="pct"/>
            <w:gridSpan w:val="4"/>
            <w:noWrap w:val="0"/>
            <w:vAlign w:val="center"/>
          </w:tcPr>
          <w:p w14:paraId="1F2217D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eastAsia" w:ascii="Times New Roman" w:hAnsi="Times New Roman" w:eastAsia="宋体" w:cs="Times New Roman"/>
                <w:smallCaps w:val="0"/>
                <w:color w:val="auto"/>
                <w:kern w:val="0"/>
                <w:sz w:val="21"/>
                <w:szCs w:val="21"/>
                <w:highlight w:val="none"/>
                <w:lang w:val="en-US" w:eastAsia="zh-CN" w:bidi="ar-SA"/>
              </w:rPr>
              <w:t>76</w:t>
            </w:r>
          </w:p>
        </w:tc>
        <w:tc>
          <w:tcPr>
            <w:tcW w:w="770" w:type="pct"/>
            <w:gridSpan w:val="3"/>
            <w:noWrap w:val="0"/>
            <w:vAlign w:val="center"/>
          </w:tcPr>
          <w:p w14:paraId="315C9D3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32" w:type="pct"/>
            <w:gridSpan w:val="3"/>
            <w:noWrap w:val="0"/>
            <w:vAlign w:val="center"/>
          </w:tcPr>
          <w:p w14:paraId="06FFBE2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26" w:type="pct"/>
            <w:gridSpan w:val="3"/>
            <w:noWrap w:val="0"/>
            <w:vAlign w:val="center"/>
          </w:tcPr>
          <w:p w14:paraId="3D7EBFF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259" w:type="pct"/>
            <w:noWrap w:val="0"/>
            <w:vAlign w:val="center"/>
          </w:tcPr>
          <w:p w14:paraId="3E5B2C2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66" w:type="pct"/>
            <w:noWrap w:val="0"/>
            <w:vAlign w:val="center"/>
          </w:tcPr>
          <w:p w14:paraId="62D7A229">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r>
      <w:tr w14:paraId="421CB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6697473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restart"/>
            <w:noWrap w:val="0"/>
            <w:vAlign w:val="center"/>
          </w:tcPr>
          <w:p w14:paraId="40D65AF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环境敏感性</w:t>
            </w:r>
          </w:p>
        </w:tc>
        <w:tc>
          <w:tcPr>
            <w:tcW w:w="534" w:type="pct"/>
            <w:vMerge w:val="restart"/>
            <w:noWrap w:val="0"/>
            <w:vAlign w:val="center"/>
          </w:tcPr>
          <w:p w14:paraId="1E0E376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w:t>
            </w:r>
          </w:p>
        </w:tc>
        <w:tc>
          <w:tcPr>
            <w:tcW w:w="1918" w:type="pct"/>
            <w:gridSpan w:val="7"/>
            <w:noWrap w:val="0"/>
            <w:vAlign w:val="center"/>
          </w:tcPr>
          <w:p w14:paraId="3E62A02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500m范围内人口数</w:t>
            </w:r>
            <w:r>
              <w:rPr>
                <w:rFonts w:hint="eastAsia" w:ascii="Times New Roman" w:hAnsi="Times New Roman" w:eastAsia="宋体" w:cs="Times New Roman"/>
                <w:smallCaps w:val="0"/>
                <w:color w:val="auto"/>
                <w:kern w:val="0"/>
                <w:sz w:val="21"/>
                <w:szCs w:val="21"/>
                <w:highlight w:val="none"/>
                <w:lang w:val="en-US" w:eastAsia="zh-CN" w:bidi="ar-SA"/>
              </w:rPr>
              <w:t>200</w:t>
            </w:r>
            <w:r>
              <w:rPr>
                <w:rFonts w:hint="default" w:ascii="Times New Roman" w:hAnsi="Times New Roman" w:eastAsia="宋体" w:cs="Times New Roman"/>
                <w:smallCaps w:val="0"/>
                <w:color w:val="auto"/>
                <w:kern w:val="0"/>
                <w:sz w:val="21"/>
                <w:szCs w:val="21"/>
                <w:highlight w:val="none"/>
                <w:lang w:val="en-US" w:eastAsia="zh-CN" w:bidi="ar-SA"/>
              </w:rPr>
              <w:t>人</w:t>
            </w:r>
          </w:p>
        </w:tc>
        <w:tc>
          <w:tcPr>
            <w:tcW w:w="1585" w:type="pct"/>
            <w:gridSpan w:val="8"/>
            <w:noWrap w:val="0"/>
            <w:vAlign w:val="center"/>
          </w:tcPr>
          <w:p w14:paraId="58D6204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5km范围内人口数3.92万人</w:t>
            </w:r>
          </w:p>
        </w:tc>
      </w:tr>
      <w:tr w14:paraId="71AC9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6ED9C35F">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78AAE92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vMerge w:val="continue"/>
            <w:noWrap w:val="0"/>
            <w:vAlign w:val="center"/>
          </w:tcPr>
          <w:p w14:paraId="3E8C5AC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2777" w:type="pct"/>
            <w:gridSpan w:val="13"/>
            <w:noWrap w:val="0"/>
            <w:vAlign w:val="center"/>
          </w:tcPr>
          <w:p w14:paraId="1FB919B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每公里管段周边200m范围内人口数（最大）</w:t>
            </w:r>
          </w:p>
        </w:tc>
        <w:tc>
          <w:tcPr>
            <w:tcW w:w="726" w:type="pct"/>
            <w:gridSpan w:val="2"/>
            <w:noWrap w:val="0"/>
            <w:vAlign w:val="center"/>
          </w:tcPr>
          <w:p w14:paraId="61F6308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 xml:space="preserve">   人</w:t>
            </w:r>
          </w:p>
        </w:tc>
      </w:tr>
      <w:tr w14:paraId="02D6B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1F79020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2DB421D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vMerge w:val="restart"/>
            <w:noWrap w:val="0"/>
            <w:vAlign w:val="center"/>
          </w:tcPr>
          <w:p w14:paraId="7B303F5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地表水</w:t>
            </w:r>
          </w:p>
        </w:tc>
        <w:tc>
          <w:tcPr>
            <w:tcW w:w="1148" w:type="pct"/>
            <w:gridSpan w:val="4"/>
            <w:noWrap w:val="0"/>
            <w:vAlign w:val="center"/>
          </w:tcPr>
          <w:p w14:paraId="0B24F79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地表水功能敏感性</w:t>
            </w:r>
          </w:p>
        </w:tc>
        <w:tc>
          <w:tcPr>
            <w:tcW w:w="770" w:type="pct"/>
            <w:gridSpan w:val="3"/>
            <w:noWrap w:val="0"/>
            <w:vAlign w:val="center"/>
          </w:tcPr>
          <w:p w14:paraId="43D8E46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F1□</w:t>
            </w:r>
          </w:p>
        </w:tc>
        <w:tc>
          <w:tcPr>
            <w:tcW w:w="858" w:type="pct"/>
            <w:gridSpan w:val="6"/>
            <w:noWrap w:val="0"/>
            <w:vAlign w:val="center"/>
          </w:tcPr>
          <w:p w14:paraId="3E5958D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F2□</w:t>
            </w:r>
          </w:p>
        </w:tc>
        <w:tc>
          <w:tcPr>
            <w:tcW w:w="726" w:type="pct"/>
            <w:gridSpan w:val="2"/>
            <w:noWrap w:val="0"/>
            <w:vAlign w:val="center"/>
          </w:tcPr>
          <w:p w14:paraId="181DF08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F3√</w:t>
            </w:r>
          </w:p>
        </w:tc>
      </w:tr>
      <w:tr w14:paraId="3A9E7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7A940AF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6EBFAFA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vMerge w:val="continue"/>
            <w:noWrap w:val="0"/>
            <w:vAlign w:val="center"/>
          </w:tcPr>
          <w:p w14:paraId="73CE807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1148" w:type="pct"/>
            <w:gridSpan w:val="4"/>
            <w:noWrap w:val="0"/>
            <w:vAlign w:val="center"/>
          </w:tcPr>
          <w:p w14:paraId="4932AC4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环境敏感目标分级</w:t>
            </w:r>
          </w:p>
        </w:tc>
        <w:tc>
          <w:tcPr>
            <w:tcW w:w="770" w:type="pct"/>
            <w:gridSpan w:val="3"/>
            <w:noWrap w:val="0"/>
            <w:vAlign w:val="center"/>
          </w:tcPr>
          <w:p w14:paraId="3356541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S1□</w:t>
            </w:r>
          </w:p>
        </w:tc>
        <w:tc>
          <w:tcPr>
            <w:tcW w:w="858" w:type="pct"/>
            <w:gridSpan w:val="6"/>
            <w:noWrap w:val="0"/>
            <w:vAlign w:val="center"/>
          </w:tcPr>
          <w:p w14:paraId="7185F4F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S2□</w:t>
            </w:r>
          </w:p>
        </w:tc>
        <w:tc>
          <w:tcPr>
            <w:tcW w:w="726" w:type="pct"/>
            <w:gridSpan w:val="2"/>
            <w:noWrap w:val="0"/>
            <w:vAlign w:val="center"/>
          </w:tcPr>
          <w:p w14:paraId="32F6014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S3√</w:t>
            </w:r>
          </w:p>
        </w:tc>
      </w:tr>
      <w:tr w14:paraId="47E99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5FA9682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231A61E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vMerge w:val="restart"/>
            <w:noWrap w:val="0"/>
            <w:vAlign w:val="center"/>
          </w:tcPr>
          <w:p w14:paraId="7908F3D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地下水</w:t>
            </w:r>
          </w:p>
        </w:tc>
        <w:tc>
          <w:tcPr>
            <w:tcW w:w="1148" w:type="pct"/>
            <w:gridSpan w:val="4"/>
            <w:noWrap w:val="0"/>
            <w:vAlign w:val="center"/>
          </w:tcPr>
          <w:p w14:paraId="0F08E18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地下水功能敏感性</w:t>
            </w:r>
          </w:p>
        </w:tc>
        <w:tc>
          <w:tcPr>
            <w:tcW w:w="770" w:type="pct"/>
            <w:gridSpan w:val="3"/>
            <w:noWrap w:val="0"/>
            <w:vAlign w:val="center"/>
          </w:tcPr>
          <w:p w14:paraId="21AC4AE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G1□</w:t>
            </w:r>
          </w:p>
        </w:tc>
        <w:tc>
          <w:tcPr>
            <w:tcW w:w="858" w:type="pct"/>
            <w:gridSpan w:val="6"/>
            <w:noWrap w:val="0"/>
            <w:vAlign w:val="center"/>
          </w:tcPr>
          <w:p w14:paraId="50ED250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G2□</w:t>
            </w:r>
          </w:p>
        </w:tc>
        <w:tc>
          <w:tcPr>
            <w:tcW w:w="726" w:type="pct"/>
            <w:gridSpan w:val="2"/>
            <w:noWrap w:val="0"/>
            <w:vAlign w:val="center"/>
          </w:tcPr>
          <w:p w14:paraId="3BDDF56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G3√</w:t>
            </w:r>
          </w:p>
        </w:tc>
      </w:tr>
      <w:tr w14:paraId="79B6D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300F291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356CB93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vMerge w:val="continue"/>
            <w:noWrap w:val="0"/>
            <w:vAlign w:val="center"/>
          </w:tcPr>
          <w:p w14:paraId="165E483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1148" w:type="pct"/>
            <w:gridSpan w:val="4"/>
            <w:noWrap w:val="0"/>
            <w:vAlign w:val="center"/>
          </w:tcPr>
          <w:p w14:paraId="4D97571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包气带防污性能</w:t>
            </w:r>
          </w:p>
        </w:tc>
        <w:tc>
          <w:tcPr>
            <w:tcW w:w="770" w:type="pct"/>
            <w:gridSpan w:val="3"/>
            <w:noWrap w:val="0"/>
            <w:vAlign w:val="center"/>
          </w:tcPr>
          <w:p w14:paraId="55BEBBA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D1□</w:t>
            </w:r>
          </w:p>
        </w:tc>
        <w:tc>
          <w:tcPr>
            <w:tcW w:w="858" w:type="pct"/>
            <w:gridSpan w:val="6"/>
            <w:noWrap w:val="0"/>
            <w:vAlign w:val="center"/>
          </w:tcPr>
          <w:p w14:paraId="6E1A684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D2□</w:t>
            </w:r>
          </w:p>
        </w:tc>
        <w:tc>
          <w:tcPr>
            <w:tcW w:w="726" w:type="pct"/>
            <w:gridSpan w:val="2"/>
            <w:noWrap w:val="0"/>
            <w:vAlign w:val="center"/>
          </w:tcPr>
          <w:p w14:paraId="711099C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D3√</w:t>
            </w:r>
          </w:p>
        </w:tc>
      </w:tr>
      <w:tr w14:paraId="7A8FD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restart"/>
            <w:noWrap w:val="0"/>
            <w:vAlign w:val="center"/>
          </w:tcPr>
          <w:p w14:paraId="26B884C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物质及工艺系统危险性</w:t>
            </w:r>
          </w:p>
        </w:tc>
        <w:tc>
          <w:tcPr>
            <w:tcW w:w="534" w:type="pct"/>
            <w:noWrap w:val="0"/>
            <w:vAlign w:val="center"/>
          </w:tcPr>
          <w:p w14:paraId="001BAA7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Q值</w:t>
            </w:r>
          </w:p>
        </w:tc>
        <w:tc>
          <w:tcPr>
            <w:tcW w:w="1148" w:type="pct"/>
            <w:gridSpan w:val="4"/>
            <w:noWrap w:val="0"/>
            <w:vAlign w:val="center"/>
          </w:tcPr>
          <w:p w14:paraId="29397D6F">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Q＜1□</w:t>
            </w:r>
          </w:p>
        </w:tc>
        <w:tc>
          <w:tcPr>
            <w:tcW w:w="770" w:type="pct"/>
            <w:gridSpan w:val="3"/>
            <w:noWrap w:val="0"/>
            <w:vAlign w:val="center"/>
          </w:tcPr>
          <w:p w14:paraId="1BBFF7A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1≤Q＜10</w:t>
            </w:r>
            <w:r>
              <w:rPr>
                <w:rFonts w:hint="eastAsia" w:ascii="Times New Roman" w:hAnsi="Times New Roman" w:eastAsia="宋体" w:cs="Times New Roman"/>
                <w:smallCaps w:val="0"/>
                <w:color w:val="auto"/>
                <w:kern w:val="0"/>
                <w:sz w:val="21"/>
                <w:szCs w:val="21"/>
                <w:highlight w:val="none"/>
                <w:lang w:val="en-US" w:eastAsia="zh-CN" w:bidi="ar-SA"/>
              </w:rPr>
              <w:t>☑</w:t>
            </w:r>
          </w:p>
        </w:tc>
        <w:tc>
          <w:tcPr>
            <w:tcW w:w="858" w:type="pct"/>
            <w:gridSpan w:val="6"/>
            <w:noWrap w:val="0"/>
            <w:vAlign w:val="center"/>
          </w:tcPr>
          <w:p w14:paraId="484A7AB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10≤Q＜100</w:t>
            </w:r>
            <w:r>
              <w:rPr>
                <w:rFonts w:hint="eastAsia" w:ascii="Times New Roman" w:hAnsi="Times New Roman" w:eastAsia="宋体" w:cs="Times New Roman"/>
                <w:smallCaps w:val="0"/>
                <w:color w:val="auto"/>
                <w:kern w:val="0"/>
                <w:sz w:val="21"/>
                <w:szCs w:val="21"/>
                <w:highlight w:val="none"/>
                <w:lang w:val="en-US" w:eastAsia="zh-CN" w:bidi="ar-SA"/>
              </w:rPr>
              <w:t>□</w:t>
            </w:r>
          </w:p>
        </w:tc>
        <w:tc>
          <w:tcPr>
            <w:tcW w:w="726" w:type="pct"/>
            <w:gridSpan w:val="2"/>
            <w:noWrap w:val="0"/>
            <w:vAlign w:val="center"/>
          </w:tcPr>
          <w:p w14:paraId="650916C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Q＞100□</w:t>
            </w:r>
          </w:p>
        </w:tc>
      </w:tr>
      <w:tr w14:paraId="00A82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continue"/>
            <w:noWrap w:val="0"/>
            <w:vAlign w:val="center"/>
          </w:tcPr>
          <w:p w14:paraId="3B22E18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noWrap w:val="0"/>
            <w:vAlign w:val="center"/>
          </w:tcPr>
          <w:p w14:paraId="0969C78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M值</w:t>
            </w:r>
          </w:p>
        </w:tc>
        <w:tc>
          <w:tcPr>
            <w:tcW w:w="1148" w:type="pct"/>
            <w:gridSpan w:val="4"/>
            <w:noWrap w:val="0"/>
            <w:vAlign w:val="center"/>
          </w:tcPr>
          <w:p w14:paraId="42EE943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M1□</w:t>
            </w:r>
          </w:p>
        </w:tc>
        <w:tc>
          <w:tcPr>
            <w:tcW w:w="770" w:type="pct"/>
            <w:gridSpan w:val="3"/>
            <w:noWrap w:val="0"/>
            <w:vAlign w:val="center"/>
          </w:tcPr>
          <w:p w14:paraId="756D1D8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M2□</w:t>
            </w:r>
          </w:p>
        </w:tc>
        <w:tc>
          <w:tcPr>
            <w:tcW w:w="858" w:type="pct"/>
            <w:gridSpan w:val="6"/>
            <w:noWrap w:val="0"/>
            <w:vAlign w:val="center"/>
          </w:tcPr>
          <w:p w14:paraId="20C625F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M3</w:t>
            </w:r>
            <w:r>
              <w:rPr>
                <w:rFonts w:hint="eastAsia" w:cs="Times New Roman"/>
                <w:smallCaps w:val="0"/>
                <w:color w:val="auto"/>
                <w:kern w:val="0"/>
                <w:sz w:val="21"/>
                <w:szCs w:val="21"/>
                <w:highlight w:val="none"/>
                <w:lang w:val="en-US" w:eastAsia="zh-CN" w:bidi="ar-SA"/>
              </w:rPr>
              <w:t>☑</w:t>
            </w:r>
          </w:p>
        </w:tc>
        <w:tc>
          <w:tcPr>
            <w:tcW w:w="726" w:type="pct"/>
            <w:gridSpan w:val="2"/>
            <w:noWrap w:val="0"/>
            <w:vAlign w:val="center"/>
          </w:tcPr>
          <w:p w14:paraId="251D751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M4</w:t>
            </w:r>
            <w:r>
              <w:rPr>
                <w:rFonts w:hint="eastAsia" w:ascii="Times New Roman" w:hAnsi="Times New Roman" w:eastAsia="宋体" w:cs="Times New Roman"/>
                <w:smallCaps w:val="0"/>
                <w:color w:val="auto"/>
                <w:kern w:val="0"/>
                <w:sz w:val="21"/>
                <w:szCs w:val="21"/>
                <w:highlight w:val="none"/>
                <w:lang w:val="en-US" w:eastAsia="zh-CN" w:bidi="ar-SA"/>
              </w:rPr>
              <w:t>（</w:t>
            </w:r>
          </w:p>
        </w:tc>
      </w:tr>
      <w:tr w14:paraId="1052C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continue"/>
            <w:noWrap w:val="0"/>
            <w:vAlign w:val="center"/>
          </w:tcPr>
          <w:p w14:paraId="4F0C3AD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noWrap w:val="0"/>
            <w:vAlign w:val="center"/>
          </w:tcPr>
          <w:p w14:paraId="3CEAA29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P值</w:t>
            </w:r>
          </w:p>
        </w:tc>
        <w:tc>
          <w:tcPr>
            <w:tcW w:w="1148" w:type="pct"/>
            <w:gridSpan w:val="4"/>
            <w:noWrap w:val="0"/>
            <w:vAlign w:val="center"/>
          </w:tcPr>
          <w:p w14:paraId="5A8432E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P1□</w:t>
            </w:r>
          </w:p>
        </w:tc>
        <w:tc>
          <w:tcPr>
            <w:tcW w:w="770" w:type="pct"/>
            <w:gridSpan w:val="3"/>
            <w:noWrap w:val="0"/>
            <w:vAlign w:val="center"/>
          </w:tcPr>
          <w:p w14:paraId="2196E59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P2□</w:t>
            </w:r>
          </w:p>
        </w:tc>
        <w:tc>
          <w:tcPr>
            <w:tcW w:w="858" w:type="pct"/>
            <w:gridSpan w:val="6"/>
            <w:noWrap w:val="0"/>
            <w:vAlign w:val="center"/>
          </w:tcPr>
          <w:p w14:paraId="1419853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P3□</w:t>
            </w:r>
          </w:p>
        </w:tc>
        <w:tc>
          <w:tcPr>
            <w:tcW w:w="726" w:type="pct"/>
            <w:gridSpan w:val="2"/>
            <w:noWrap w:val="0"/>
            <w:vAlign w:val="center"/>
          </w:tcPr>
          <w:p w14:paraId="2057737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P4</w:t>
            </w:r>
            <w:r>
              <w:rPr>
                <w:rFonts w:hint="eastAsia" w:ascii="Times New Roman" w:hAnsi="Times New Roman" w:eastAsia="宋体" w:cs="Times New Roman"/>
                <w:smallCaps w:val="0"/>
                <w:color w:val="auto"/>
                <w:kern w:val="0"/>
                <w:sz w:val="21"/>
                <w:szCs w:val="21"/>
                <w:highlight w:val="none"/>
                <w:lang w:val="en-US" w:eastAsia="zh-CN" w:bidi="ar-SA"/>
              </w:rPr>
              <w:t>☑</w:t>
            </w:r>
          </w:p>
        </w:tc>
      </w:tr>
      <w:tr w14:paraId="09199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restart"/>
            <w:noWrap w:val="0"/>
            <w:vAlign w:val="center"/>
          </w:tcPr>
          <w:p w14:paraId="2A61910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环境敏感程度</w:t>
            </w:r>
          </w:p>
        </w:tc>
        <w:tc>
          <w:tcPr>
            <w:tcW w:w="534" w:type="pct"/>
            <w:noWrap w:val="0"/>
            <w:vAlign w:val="center"/>
          </w:tcPr>
          <w:p w14:paraId="571F12A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w:t>
            </w:r>
          </w:p>
        </w:tc>
        <w:tc>
          <w:tcPr>
            <w:tcW w:w="1148" w:type="pct"/>
            <w:gridSpan w:val="4"/>
            <w:noWrap w:val="0"/>
            <w:vAlign w:val="center"/>
          </w:tcPr>
          <w:p w14:paraId="474AFE9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E1□</w:t>
            </w:r>
          </w:p>
        </w:tc>
        <w:tc>
          <w:tcPr>
            <w:tcW w:w="1173" w:type="pct"/>
            <w:gridSpan w:val="5"/>
            <w:noWrap w:val="0"/>
            <w:vAlign w:val="center"/>
          </w:tcPr>
          <w:p w14:paraId="04CE26D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E2</w:t>
            </w:r>
            <w:r>
              <w:rPr>
                <w:rFonts w:hint="eastAsia" w:ascii="Times New Roman" w:hAnsi="Times New Roman" w:eastAsia="宋体" w:cs="Times New Roman"/>
                <w:smallCaps w:val="0"/>
                <w:color w:val="auto"/>
                <w:kern w:val="0"/>
                <w:sz w:val="21"/>
                <w:szCs w:val="21"/>
                <w:highlight w:val="none"/>
                <w:lang w:val="en-US" w:eastAsia="zh-CN" w:bidi="ar-SA"/>
              </w:rPr>
              <w:t>☑</w:t>
            </w:r>
          </w:p>
        </w:tc>
        <w:tc>
          <w:tcPr>
            <w:tcW w:w="1182" w:type="pct"/>
            <w:gridSpan w:val="6"/>
            <w:noWrap w:val="0"/>
            <w:vAlign w:val="center"/>
          </w:tcPr>
          <w:p w14:paraId="0065AD1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E3□</w:t>
            </w:r>
          </w:p>
        </w:tc>
      </w:tr>
      <w:tr w14:paraId="4DF5E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continue"/>
            <w:noWrap w:val="0"/>
            <w:vAlign w:val="center"/>
          </w:tcPr>
          <w:p w14:paraId="615A28E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noWrap w:val="0"/>
            <w:vAlign w:val="center"/>
          </w:tcPr>
          <w:p w14:paraId="6EFF6A8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地表水</w:t>
            </w:r>
          </w:p>
        </w:tc>
        <w:tc>
          <w:tcPr>
            <w:tcW w:w="1148" w:type="pct"/>
            <w:gridSpan w:val="4"/>
            <w:noWrap w:val="0"/>
            <w:vAlign w:val="center"/>
          </w:tcPr>
          <w:p w14:paraId="55E7139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E1□</w:t>
            </w:r>
          </w:p>
        </w:tc>
        <w:tc>
          <w:tcPr>
            <w:tcW w:w="1173" w:type="pct"/>
            <w:gridSpan w:val="5"/>
            <w:noWrap w:val="0"/>
            <w:vAlign w:val="center"/>
          </w:tcPr>
          <w:p w14:paraId="468DDC2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E2□</w:t>
            </w:r>
          </w:p>
        </w:tc>
        <w:tc>
          <w:tcPr>
            <w:tcW w:w="1182" w:type="pct"/>
            <w:gridSpan w:val="6"/>
            <w:noWrap w:val="0"/>
            <w:vAlign w:val="center"/>
          </w:tcPr>
          <w:p w14:paraId="7AF060D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E3</w:t>
            </w:r>
            <w:r>
              <w:rPr>
                <w:rFonts w:hint="eastAsia" w:ascii="Times New Roman" w:hAnsi="Times New Roman" w:eastAsia="宋体" w:cs="Times New Roman"/>
                <w:smallCaps w:val="0"/>
                <w:color w:val="auto"/>
                <w:kern w:val="0"/>
                <w:sz w:val="21"/>
                <w:szCs w:val="21"/>
                <w:highlight w:val="none"/>
                <w:lang w:val="en-US" w:eastAsia="zh-CN" w:bidi="ar-SA"/>
              </w:rPr>
              <w:t>☑</w:t>
            </w:r>
          </w:p>
        </w:tc>
      </w:tr>
      <w:tr w14:paraId="10304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vMerge w:val="continue"/>
            <w:noWrap w:val="0"/>
            <w:vAlign w:val="center"/>
          </w:tcPr>
          <w:p w14:paraId="3C9DD0D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534" w:type="pct"/>
            <w:noWrap w:val="0"/>
            <w:vAlign w:val="center"/>
          </w:tcPr>
          <w:p w14:paraId="2A58139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地下水</w:t>
            </w:r>
          </w:p>
        </w:tc>
        <w:tc>
          <w:tcPr>
            <w:tcW w:w="1148" w:type="pct"/>
            <w:gridSpan w:val="4"/>
            <w:noWrap w:val="0"/>
            <w:vAlign w:val="center"/>
          </w:tcPr>
          <w:p w14:paraId="65C27D1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E1□</w:t>
            </w:r>
          </w:p>
        </w:tc>
        <w:tc>
          <w:tcPr>
            <w:tcW w:w="1173" w:type="pct"/>
            <w:gridSpan w:val="5"/>
            <w:noWrap w:val="0"/>
            <w:vAlign w:val="center"/>
          </w:tcPr>
          <w:p w14:paraId="4D0EAE4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E2□</w:t>
            </w:r>
          </w:p>
        </w:tc>
        <w:tc>
          <w:tcPr>
            <w:tcW w:w="1182" w:type="pct"/>
            <w:gridSpan w:val="6"/>
            <w:noWrap w:val="0"/>
            <w:vAlign w:val="center"/>
          </w:tcPr>
          <w:p w14:paraId="5B63C2E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E3</w:t>
            </w:r>
            <w:r>
              <w:rPr>
                <w:rFonts w:hint="eastAsia" w:ascii="Times New Roman" w:hAnsi="Times New Roman" w:eastAsia="宋体" w:cs="Times New Roman"/>
                <w:smallCaps w:val="0"/>
                <w:color w:val="auto"/>
                <w:kern w:val="0"/>
                <w:sz w:val="21"/>
                <w:szCs w:val="21"/>
                <w:highlight w:val="none"/>
                <w:lang w:val="en-US" w:eastAsia="zh-CN" w:bidi="ar-SA"/>
              </w:rPr>
              <w:t>☑</w:t>
            </w:r>
          </w:p>
        </w:tc>
      </w:tr>
      <w:tr w14:paraId="058C7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noWrap w:val="0"/>
            <w:vAlign w:val="center"/>
          </w:tcPr>
          <w:p w14:paraId="3BAAF23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环境风险潜势</w:t>
            </w:r>
          </w:p>
        </w:tc>
        <w:tc>
          <w:tcPr>
            <w:tcW w:w="534" w:type="pct"/>
            <w:noWrap w:val="0"/>
            <w:vAlign w:val="center"/>
          </w:tcPr>
          <w:p w14:paraId="40A295E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Ⅳ+□</w:t>
            </w:r>
          </w:p>
        </w:tc>
        <w:tc>
          <w:tcPr>
            <w:tcW w:w="1035" w:type="pct"/>
            <w:gridSpan w:val="3"/>
            <w:noWrap w:val="0"/>
            <w:vAlign w:val="center"/>
          </w:tcPr>
          <w:p w14:paraId="3E13B9E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Ⅳ□</w:t>
            </w:r>
          </w:p>
        </w:tc>
        <w:tc>
          <w:tcPr>
            <w:tcW w:w="797" w:type="pct"/>
            <w:gridSpan w:val="3"/>
            <w:noWrap w:val="0"/>
            <w:vAlign w:val="center"/>
          </w:tcPr>
          <w:p w14:paraId="4D49401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Ⅲ□</w:t>
            </w:r>
          </w:p>
        </w:tc>
        <w:tc>
          <w:tcPr>
            <w:tcW w:w="767" w:type="pct"/>
            <w:gridSpan w:val="6"/>
            <w:noWrap w:val="0"/>
            <w:vAlign w:val="center"/>
          </w:tcPr>
          <w:p w14:paraId="43AD3C2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Ⅱ</w:t>
            </w:r>
            <w:r>
              <w:rPr>
                <w:rFonts w:hint="eastAsia" w:ascii="Times New Roman" w:hAnsi="Times New Roman" w:eastAsia="宋体" w:cs="Times New Roman"/>
                <w:smallCaps w:val="0"/>
                <w:color w:val="auto"/>
                <w:kern w:val="0"/>
                <w:sz w:val="21"/>
                <w:szCs w:val="21"/>
                <w:highlight w:val="none"/>
                <w:lang w:val="en-US" w:eastAsia="zh-CN" w:bidi="ar-SA"/>
              </w:rPr>
              <w:t>☑</w:t>
            </w:r>
          </w:p>
        </w:tc>
        <w:tc>
          <w:tcPr>
            <w:tcW w:w="904" w:type="pct"/>
            <w:gridSpan w:val="3"/>
            <w:noWrap w:val="0"/>
            <w:vAlign w:val="center"/>
          </w:tcPr>
          <w:p w14:paraId="3CDA27C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Ⅰ</w:t>
            </w:r>
          </w:p>
        </w:tc>
      </w:tr>
      <w:tr w14:paraId="1297E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noWrap w:val="0"/>
            <w:vAlign w:val="center"/>
          </w:tcPr>
          <w:p w14:paraId="3C4E53A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评价等级</w:t>
            </w:r>
          </w:p>
        </w:tc>
        <w:tc>
          <w:tcPr>
            <w:tcW w:w="1570" w:type="pct"/>
            <w:gridSpan w:val="4"/>
            <w:noWrap w:val="0"/>
            <w:vAlign w:val="center"/>
          </w:tcPr>
          <w:p w14:paraId="4D8ADC8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一级□</w:t>
            </w:r>
          </w:p>
        </w:tc>
        <w:tc>
          <w:tcPr>
            <w:tcW w:w="797" w:type="pct"/>
            <w:gridSpan w:val="3"/>
            <w:noWrap w:val="0"/>
            <w:vAlign w:val="center"/>
          </w:tcPr>
          <w:p w14:paraId="56341F8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二级□</w:t>
            </w:r>
          </w:p>
        </w:tc>
        <w:tc>
          <w:tcPr>
            <w:tcW w:w="767" w:type="pct"/>
            <w:gridSpan w:val="6"/>
            <w:noWrap w:val="0"/>
            <w:vAlign w:val="center"/>
          </w:tcPr>
          <w:p w14:paraId="10E6289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三级</w:t>
            </w:r>
            <w:r>
              <w:rPr>
                <w:rFonts w:hint="eastAsia" w:ascii="Times New Roman" w:hAnsi="Times New Roman" w:eastAsia="宋体" w:cs="Times New Roman"/>
                <w:smallCaps w:val="0"/>
                <w:color w:val="auto"/>
                <w:kern w:val="0"/>
                <w:sz w:val="21"/>
                <w:szCs w:val="21"/>
                <w:highlight w:val="none"/>
                <w:lang w:val="en-US" w:eastAsia="zh-CN" w:bidi="ar-SA"/>
              </w:rPr>
              <w:t>☑</w:t>
            </w:r>
          </w:p>
        </w:tc>
        <w:tc>
          <w:tcPr>
            <w:tcW w:w="904" w:type="pct"/>
            <w:gridSpan w:val="3"/>
            <w:noWrap w:val="0"/>
            <w:vAlign w:val="center"/>
          </w:tcPr>
          <w:p w14:paraId="3C04E99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简单分析□</w:t>
            </w:r>
          </w:p>
        </w:tc>
      </w:tr>
      <w:tr w14:paraId="5277D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restart"/>
            <w:noWrap w:val="0"/>
            <w:vAlign w:val="center"/>
          </w:tcPr>
          <w:p w14:paraId="0DA783E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风险识别</w:t>
            </w:r>
          </w:p>
        </w:tc>
        <w:tc>
          <w:tcPr>
            <w:tcW w:w="701" w:type="pct"/>
            <w:noWrap w:val="0"/>
            <w:vAlign w:val="center"/>
          </w:tcPr>
          <w:p w14:paraId="3770BD9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物质危险性</w:t>
            </w:r>
          </w:p>
        </w:tc>
        <w:tc>
          <w:tcPr>
            <w:tcW w:w="1981" w:type="pct"/>
            <w:gridSpan w:val="6"/>
            <w:noWrap w:val="0"/>
            <w:vAlign w:val="center"/>
          </w:tcPr>
          <w:p w14:paraId="074EDB3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有毒有害√</w:t>
            </w:r>
          </w:p>
        </w:tc>
        <w:tc>
          <w:tcPr>
            <w:tcW w:w="2057" w:type="pct"/>
            <w:gridSpan w:val="10"/>
            <w:noWrap w:val="0"/>
            <w:vAlign w:val="center"/>
          </w:tcPr>
          <w:p w14:paraId="400DE12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易燃易爆□</w:t>
            </w:r>
          </w:p>
        </w:tc>
      </w:tr>
      <w:tr w14:paraId="337E6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2399C18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noWrap w:val="0"/>
            <w:vAlign w:val="center"/>
          </w:tcPr>
          <w:p w14:paraId="68F4D1A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环境风险类型</w:t>
            </w:r>
          </w:p>
        </w:tc>
        <w:tc>
          <w:tcPr>
            <w:tcW w:w="1981" w:type="pct"/>
            <w:gridSpan w:val="6"/>
            <w:noWrap w:val="0"/>
            <w:vAlign w:val="center"/>
          </w:tcPr>
          <w:p w14:paraId="2CB5046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泄漏√</w:t>
            </w:r>
          </w:p>
        </w:tc>
        <w:tc>
          <w:tcPr>
            <w:tcW w:w="2057" w:type="pct"/>
            <w:gridSpan w:val="10"/>
            <w:noWrap w:val="0"/>
            <w:vAlign w:val="center"/>
          </w:tcPr>
          <w:p w14:paraId="04B67C1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火灾、爆炸引发伴生/次生污染物排放√</w:t>
            </w:r>
          </w:p>
        </w:tc>
      </w:tr>
      <w:tr w14:paraId="7D966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3D6D637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noWrap w:val="0"/>
            <w:vAlign w:val="center"/>
          </w:tcPr>
          <w:p w14:paraId="55EABB7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影响途径</w:t>
            </w:r>
          </w:p>
        </w:tc>
        <w:tc>
          <w:tcPr>
            <w:tcW w:w="1296" w:type="pct"/>
            <w:gridSpan w:val="3"/>
            <w:noWrap w:val="0"/>
            <w:vAlign w:val="center"/>
          </w:tcPr>
          <w:p w14:paraId="151824B9">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w:t>
            </w:r>
          </w:p>
        </w:tc>
        <w:tc>
          <w:tcPr>
            <w:tcW w:w="1329" w:type="pct"/>
            <w:gridSpan w:val="6"/>
            <w:noWrap w:val="0"/>
            <w:vAlign w:val="center"/>
          </w:tcPr>
          <w:p w14:paraId="144FEAB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地表水√</w:t>
            </w:r>
          </w:p>
        </w:tc>
        <w:tc>
          <w:tcPr>
            <w:tcW w:w="1413" w:type="pct"/>
            <w:gridSpan w:val="7"/>
            <w:noWrap w:val="0"/>
            <w:vAlign w:val="center"/>
          </w:tcPr>
          <w:p w14:paraId="0E63836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地下水√</w:t>
            </w:r>
          </w:p>
        </w:tc>
      </w:tr>
      <w:tr w14:paraId="34AB2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noWrap w:val="0"/>
            <w:vAlign w:val="center"/>
          </w:tcPr>
          <w:p w14:paraId="7B2D6152">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事故情形分析</w:t>
            </w:r>
          </w:p>
        </w:tc>
        <w:tc>
          <w:tcPr>
            <w:tcW w:w="969" w:type="pct"/>
            <w:gridSpan w:val="2"/>
            <w:noWrap w:val="0"/>
            <w:vAlign w:val="center"/>
          </w:tcPr>
          <w:p w14:paraId="796991E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源强设定方法</w:t>
            </w:r>
          </w:p>
        </w:tc>
        <w:tc>
          <w:tcPr>
            <w:tcW w:w="1012" w:type="pct"/>
            <w:gridSpan w:val="4"/>
            <w:noWrap w:val="0"/>
            <w:vAlign w:val="center"/>
          </w:tcPr>
          <w:p w14:paraId="3A5FB5C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计算法□</w:t>
            </w:r>
          </w:p>
        </w:tc>
        <w:tc>
          <w:tcPr>
            <w:tcW w:w="959" w:type="pct"/>
            <w:gridSpan w:val="6"/>
            <w:noWrap w:val="0"/>
            <w:vAlign w:val="center"/>
          </w:tcPr>
          <w:p w14:paraId="1510EF2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经验估算法□</w:t>
            </w:r>
          </w:p>
        </w:tc>
        <w:tc>
          <w:tcPr>
            <w:tcW w:w="1097" w:type="pct"/>
            <w:gridSpan w:val="4"/>
            <w:noWrap w:val="0"/>
            <w:vAlign w:val="center"/>
          </w:tcPr>
          <w:p w14:paraId="0B4825AF">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其他估算法√</w:t>
            </w:r>
          </w:p>
        </w:tc>
      </w:tr>
      <w:tr w14:paraId="3DF53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restart"/>
            <w:noWrap w:val="0"/>
            <w:vAlign w:val="center"/>
          </w:tcPr>
          <w:p w14:paraId="67ADBBE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风险预测与评价</w:t>
            </w:r>
          </w:p>
        </w:tc>
        <w:tc>
          <w:tcPr>
            <w:tcW w:w="701" w:type="pct"/>
            <w:vMerge w:val="restart"/>
            <w:noWrap w:val="0"/>
            <w:vAlign w:val="center"/>
          </w:tcPr>
          <w:p w14:paraId="2253223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w:t>
            </w:r>
          </w:p>
        </w:tc>
        <w:tc>
          <w:tcPr>
            <w:tcW w:w="969" w:type="pct"/>
            <w:gridSpan w:val="2"/>
            <w:noWrap w:val="0"/>
            <w:vAlign w:val="center"/>
          </w:tcPr>
          <w:p w14:paraId="70F9D33C">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预测模型</w:t>
            </w:r>
          </w:p>
        </w:tc>
        <w:tc>
          <w:tcPr>
            <w:tcW w:w="1012" w:type="pct"/>
            <w:gridSpan w:val="4"/>
            <w:noWrap w:val="0"/>
            <w:vAlign w:val="center"/>
          </w:tcPr>
          <w:p w14:paraId="2D10FD2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SLAB□</w:t>
            </w:r>
          </w:p>
        </w:tc>
        <w:tc>
          <w:tcPr>
            <w:tcW w:w="959" w:type="pct"/>
            <w:gridSpan w:val="6"/>
            <w:noWrap w:val="0"/>
            <w:vAlign w:val="center"/>
          </w:tcPr>
          <w:p w14:paraId="1BC1DDC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AFTOX□</w:t>
            </w:r>
          </w:p>
        </w:tc>
        <w:tc>
          <w:tcPr>
            <w:tcW w:w="1097" w:type="pct"/>
            <w:gridSpan w:val="4"/>
            <w:noWrap w:val="0"/>
            <w:vAlign w:val="center"/>
          </w:tcPr>
          <w:p w14:paraId="3576BDB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其他□</w:t>
            </w:r>
          </w:p>
        </w:tc>
      </w:tr>
      <w:tr w14:paraId="1AF37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6C175710">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7F2DB1A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969" w:type="pct"/>
            <w:gridSpan w:val="2"/>
            <w:vMerge w:val="restart"/>
            <w:noWrap w:val="0"/>
            <w:vAlign w:val="center"/>
          </w:tcPr>
          <w:p w14:paraId="3E01549D">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预测结果</w:t>
            </w:r>
          </w:p>
        </w:tc>
        <w:tc>
          <w:tcPr>
            <w:tcW w:w="3069" w:type="pct"/>
            <w:gridSpan w:val="14"/>
            <w:noWrap w:val="0"/>
            <w:vAlign w:val="center"/>
          </w:tcPr>
          <w:p w14:paraId="286B7F03">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大气毒性终点浓度-1 最大影响范围  m</w:t>
            </w:r>
          </w:p>
        </w:tc>
      </w:tr>
      <w:tr w14:paraId="46723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7018454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1D663AC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969" w:type="pct"/>
            <w:gridSpan w:val="2"/>
            <w:vMerge w:val="continue"/>
            <w:noWrap w:val="0"/>
            <w:vAlign w:val="center"/>
          </w:tcPr>
          <w:p w14:paraId="75D9AEC7">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3069" w:type="pct"/>
            <w:gridSpan w:val="14"/>
            <w:noWrap w:val="0"/>
            <w:vAlign w:val="center"/>
          </w:tcPr>
          <w:p w14:paraId="577E2E0E">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大气毒性终点浓度-2 最大影响范围  m</w:t>
            </w:r>
          </w:p>
        </w:tc>
      </w:tr>
      <w:tr w14:paraId="3929B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28A7E36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noWrap w:val="0"/>
            <w:vAlign w:val="center"/>
          </w:tcPr>
          <w:p w14:paraId="6E82DED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地表水</w:t>
            </w:r>
          </w:p>
        </w:tc>
        <w:tc>
          <w:tcPr>
            <w:tcW w:w="4038" w:type="pct"/>
            <w:gridSpan w:val="16"/>
            <w:noWrap w:val="0"/>
            <w:vAlign w:val="center"/>
          </w:tcPr>
          <w:p w14:paraId="5B36F23B">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最近环境敏感目标   ，到达时间   h</w:t>
            </w:r>
          </w:p>
        </w:tc>
      </w:tr>
      <w:tr w14:paraId="6CD5C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0BC0845A">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restart"/>
            <w:noWrap w:val="0"/>
            <w:vAlign w:val="center"/>
          </w:tcPr>
          <w:p w14:paraId="1077DD2F">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地下水</w:t>
            </w:r>
          </w:p>
        </w:tc>
        <w:tc>
          <w:tcPr>
            <w:tcW w:w="4038" w:type="pct"/>
            <w:gridSpan w:val="16"/>
            <w:noWrap w:val="0"/>
            <w:vAlign w:val="center"/>
          </w:tcPr>
          <w:p w14:paraId="2F2778F8">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下游厂区边界到达时间   h</w:t>
            </w:r>
          </w:p>
        </w:tc>
      </w:tr>
      <w:tr w14:paraId="4FF4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259" w:type="pct"/>
            <w:vMerge w:val="continue"/>
            <w:noWrap w:val="0"/>
            <w:vAlign w:val="center"/>
          </w:tcPr>
          <w:p w14:paraId="7962FD4F">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701" w:type="pct"/>
            <w:vMerge w:val="continue"/>
            <w:noWrap w:val="0"/>
            <w:vAlign w:val="center"/>
          </w:tcPr>
          <w:p w14:paraId="0A285334">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p>
        </w:tc>
        <w:tc>
          <w:tcPr>
            <w:tcW w:w="4038" w:type="pct"/>
            <w:gridSpan w:val="16"/>
            <w:noWrap w:val="0"/>
            <w:vAlign w:val="center"/>
          </w:tcPr>
          <w:p w14:paraId="674F1445">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最近环境敏感目标   ，到达时间   h</w:t>
            </w:r>
          </w:p>
        </w:tc>
      </w:tr>
      <w:tr w14:paraId="1035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noWrap w:val="0"/>
            <w:vAlign w:val="center"/>
          </w:tcPr>
          <w:p w14:paraId="266F8F71">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重点风险防范措施</w:t>
            </w:r>
          </w:p>
        </w:tc>
        <w:tc>
          <w:tcPr>
            <w:tcW w:w="4038" w:type="pct"/>
            <w:gridSpan w:val="16"/>
            <w:noWrap w:val="0"/>
            <w:vAlign w:val="center"/>
          </w:tcPr>
          <w:p w14:paraId="07205E7A">
            <w:pPr>
              <w:widowControl w:val="0"/>
              <w:bidi w:val="0"/>
              <w:spacing w:line="240" w:lineRule="auto"/>
              <w:ind w:firstLine="0" w:firstLineChars="0"/>
              <w:jc w:val="both"/>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（1）厂房为一般防渗区，满足《环境影响评价技术导则 地下水环境》</w:t>
            </w:r>
            <w:r>
              <w:rPr>
                <w:rFonts w:hint="eastAsia" w:ascii="Times New Roman" w:hAnsi="Times New Roman" w:eastAsia="宋体" w:cs="Times New Roman"/>
                <w:smallCaps w:val="0"/>
                <w:color w:val="auto"/>
                <w:kern w:val="2"/>
                <w:sz w:val="21"/>
                <w:szCs w:val="21"/>
                <w:highlight w:val="none"/>
                <w:lang w:val="en-US" w:eastAsia="zh-CN" w:bidi="ar-SA"/>
              </w:rPr>
              <w:t>（</w:t>
            </w:r>
            <w:r>
              <w:rPr>
                <w:rFonts w:hint="default" w:ascii="Times New Roman" w:hAnsi="Times New Roman" w:eastAsia="宋体" w:cs="Times New Roman"/>
                <w:smallCaps w:val="0"/>
                <w:color w:val="auto"/>
                <w:kern w:val="2"/>
                <w:sz w:val="21"/>
                <w:szCs w:val="21"/>
                <w:highlight w:val="none"/>
                <w:lang w:val="en-US" w:eastAsia="zh-CN" w:bidi="ar-SA"/>
              </w:rPr>
              <w:t>HJ610-2016</w:t>
            </w:r>
            <w:r>
              <w:rPr>
                <w:rFonts w:hint="eastAsia" w:ascii="Times New Roman" w:hAnsi="Times New Roman" w:eastAsia="宋体" w:cs="Times New Roman"/>
                <w:smallCaps w:val="0"/>
                <w:color w:val="auto"/>
                <w:kern w:val="2"/>
                <w:sz w:val="21"/>
                <w:szCs w:val="21"/>
                <w:highlight w:val="none"/>
                <w:lang w:val="en-US" w:eastAsia="zh-CN" w:bidi="ar-SA"/>
              </w:rPr>
              <w:t>)</w:t>
            </w:r>
            <w:r>
              <w:rPr>
                <w:rFonts w:hint="default" w:ascii="Times New Roman" w:hAnsi="Times New Roman" w:eastAsia="宋体" w:cs="Times New Roman"/>
                <w:smallCaps w:val="0"/>
                <w:color w:val="auto"/>
                <w:kern w:val="2"/>
                <w:sz w:val="21"/>
                <w:szCs w:val="21"/>
                <w:highlight w:val="none"/>
                <w:lang w:val="en-US" w:eastAsia="zh-CN" w:bidi="ar-SA"/>
              </w:rPr>
              <w:t>表7地下水污染防渗分区参照表中一般防渗区要求：一般污染防治区防渗层的防渗性能不应低于1.5m厚渗透系数为1.0×10</w:t>
            </w:r>
            <w:r>
              <w:rPr>
                <w:rFonts w:hint="default" w:ascii="Times New Roman" w:hAnsi="Times New Roman" w:eastAsia="宋体" w:cs="Times New Roman"/>
                <w:smallCaps w:val="0"/>
                <w:color w:val="auto"/>
                <w:kern w:val="2"/>
                <w:sz w:val="21"/>
                <w:szCs w:val="21"/>
                <w:highlight w:val="none"/>
                <w:vertAlign w:val="superscript"/>
                <w:lang w:val="en-US" w:eastAsia="zh-CN" w:bidi="ar-SA"/>
              </w:rPr>
              <w:t>-7</w:t>
            </w:r>
            <w:r>
              <w:rPr>
                <w:rFonts w:hint="default" w:ascii="Times New Roman" w:hAnsi="Times New Roman" w:eastAsia="宋体" w:cs="Times New Roman"/>
                <w:smallCaps w:val="0"/>
                <w:color w:val="auto"/>
                <w:kern w:val="2"/>
                <w:sz w:val="21"/>
                <w:szCs w:val="21"/>
                <w:highlight w:val="none"/>
                <w:lang w:val="en-US" w:eastAsia="zh-CN" w:bidi="ar-SA"/>
              </w:rPr>
              <w:t>cm/s的黏土层的防渗性能。</w:t>
            </w:r>
          </w:p>
          <w:p w14:paraId="5A8355A6">
            <w:pPr>
              <w:widowControl w:val="0"/>
              <w:bidi w:val="0"/>
              <w:spacing w:line="240" w:lineRule="auto"/>
              <w:ind w:firstLine="0" w:firstLineChars="0"/>
              <w:jc w:val="both"/>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w:t>
            </w:r>
            <w:r>
              <w:rPr>
                <w:rFonts w:hint="eastAsia" w:ascii="Times New Roman" w:hAnsi="Times New Roman" w:eastAsia="宋体" w:cs="Times New Roman"/>
                <w:smallCaps w:val="0"/>
                <w:color w:val="auto"/>
                <w:kern w:val="2"/>
                <w:sz w:val="21"/>
                <w:szCs w:val="21"/>
                <w:highlight w:val="none"/>
                <w:lang w:val="en-US" w:eastAsia="zh-CN" w:bidi="ar-SA"/>
              </w:rPr>
              <w:t>2</w:t>
            </w:r>
            <w:r>
              <w:rPr>
                <w:rFonts w:hint="default" w:ascii="Times New Roman" w:hAnsi="Times New Roman" w:eastAsia="宋体" w:cs="Times New Roman"/>
                <w:smallCaps w:val="0"/>
                <w:color w:val="auto"/>
                <w:kern w:val="2"/>
                <w:sz w:val="21"/>
                <w:szCs w:val="21"/>
                <w:highlight w:val="none"/>
                <w:lang w:val="en-US" w:eastAsia="zh-CN" w:bidi="ar-SA"/>
              </w:rPr>
              <w:t>）应确保堆存库房为开放空间，保证充足的空气流通，规范各类原辅料、成品的堆放，分区分块，避免相互混杂而扩大火灾发生范围。</w:t>
            </w:r>
          </w:p>
          <w:p w14:paraId="0B414B63">
            <w:pPr>
              <w:widowControl w:val="0"/>
              <w:bidi w:val="0"/>
              <w:spacing w:line="240" w:lineRule="auto"/>
              <w:ind w:firstLine="0" w:firstLineChars="0"/>
              <w:jc w:val="both"/>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w:t>
            </w:r>
            <w:r>
              <w:rPr>
                <w:rFonts w:hint="eastAsia" w:ascii="Times New Roman" w:hAnsi="Times New Roman" w:eastAsia="宋体" w:cs="Times New Roman"/>
                <w:smallCaps w:val="0"/>
                <w:color w:val="auto"/>
                <w:kern w:val="2"/>
                <w:sz w:val="21"/>
                <w:szCs w:val="21"/>
                <w:highlight w:val="none"/>
                <w:lang w:val="en-US" w:eastAsia="zh-CN" w:bidi="ar-SA"/>
              </w:rPr>
              <w:t>3</w:t>
            </w:r>
            <w:r>
              <w:rPr>
                <w:rFonts w:hint="default" w:ascii="Times New Roman" w:hAnsi="Times New Roman" w:eastAsia="宋体" w:cs="Times New Roman"/>
                <w:smallCaps w:val="0"/>
                <w:color w:val="auto"/>
                <w:kern w:val="2"/>
                <w:sz w:val="21"/>
                <w:szCs w:val="21"/>
                <w:highlight w:val="none"/>
                <w:lang w:val="en-US" w:eastAsia="zh-CN" w:bidi="ar-SA"/>
              </w:rPr>
              <w:t>）建立健全安全环境管理制度</w:t>
            </w:r>
          </w:p>
          <w:p w14:paraId="342520F8">
            <w:pPr>
              <w:widowControl w:val="0"/>
              <w:bidi w:val="0"/>
              <w:spacing w:line="240" w:lineRule="auto"/>
              <w:ind w:firstLine="0" w:firstLineChars="0"/>
              <w:jc w:val="both"/>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a</w:t>
            </w:r>
            <w:r>
              <w:rPr>
                <w:rFonts w:hint="eastAsia" w:ascii="Times New Roman" w:hAnsi="Times New Roman" w:eastAsia="宋体" w:cs="Times New Roman"/>
                <w:smallCaps w:val="0"/>
                <w:color w:val="auto"/>
                <w:kern w:val="2"/>
                <w:sz w:val="21"/>
                <w:szCs w:val="21"/>
                <w:highlight w:val="none"/>
                <w:lang w:val="en-US" w:eastAsia="zh-CN" w:bidi="ar-SA"/>
              </w:rPr>
              <w:t>.</w:t>
            </w:r>
            <w:r>
              <w:rPr>
                <w:rFonts w:hint="default" w:ascii="Times New Roman" w:hAnsi="Times New Roman" w:eastAsia="宋体" w:cs="Times New Roman"/>
                <w:smallCaps w:val="0"/>
                <w:color w:val="auto"/>
                <w:kern w:val="2"/>
                <w:sz w:val="21"/>
                <w:szCs w:val="21"/>
                <w:highlight w:val="none"/>
                <w:lang w:val="en-US" w:eastAsia="zh-CN" w:bidi="ar-SA"/>
              </w:rPr>
              <w:t>要坚持“预防为主”的方针，防患于未然。操作人员必须严格按照操作规程办事，认真执行巡检制度，避免因检查不到位或错误操作而发生事故。</w:t>
            </w:r>
          </w:p>
          <w:p w14:paraId="2AF97C64">
            <w:pPr>
              <w:widowControl w:val="0"/>
              <w:bidi w:val="0"/>
              <w:spacing w:line="240" w:lineRule="auto"/>
              <w:ind w:firstLine="0" w:firstLineChars="0"/>
              <w:jc w:val="both"/>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kern w:val="2"/>
                <w:sz w:val="21"/>
                <w:szCs w:val="21"/>
                <w:highlight w:val="none"/>
                <w:lang w:val="en-US" w:eastAsia="zh-CN" w:bidi="ar-SA"/>
              </w:rPr>
              <w:t>b</w:t>
            </w:r>
            <w:r>
              <w:rPr>
                <w:rFonts w:hint="eastAsia" w:ascii="Times New Roman" w:hAnsi="Times New Roman" w:eastAsia="宋体" w:cs="Times New Roman"/>
                <w:smallCaps w:val="0"/>
                <w:color w:val="auto"/>
                <w:kern w:val="2"/>
                <w:sz w:val="21"/>
                <w:szCs w:val="21"/>
                <w:highlight w:val="none"/>
                <w:lang w:val="en-US" w:eastAsia="zh-CN" w:bidi="ar-SA"/>
              </w:rPr>
              <w:t>.</w:t>
            </w:r>
            <w:r>
              <w:rPr>
                <w:rFonts w:hint="default" w:ascii="Times New Roman" w:hAnsi="Times New Roman" w:eastAsia="宋体" w:cs="Times New Roman"/>
                <w:smallCaps w:val="0"/>
                <w:color w:val="auto"/>
                <w:kern w:val="2"/>
                <w:sz w:val="21"/>
                <w:szCs w:val="21"/>
                <w:highlight w:val="none"/>
                <w:lang w:val="en-US" w:eastAsia="zh-CN" w:bidi="ar-SA"/>
              </w:rPr>
              <w:t>建立健全的环境管理制度，指定相关责任人。消防器材完好到位，并设置火灾报警装置。加强项目区安全环保管理，对所有职工进行安全环保的教育和培训。</w:t>
            </w:r>
          </w:p>
          <w:p w14:paraId="606BED9A">
            <w:pPr>
              <w:widowControl w:val="0"/>
              <w:bidi w:val="0"/>
              <w:adjustRightInd w:val="0"/>
              <w:snapToGrid w:val="0"/>
              <w:spacing w:line="240" w:lineRule="auto"/>
              <w:ind w:firstLine="0" w:firstLineChars="0"/>
              <w:jc w:val="both"/>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w:t>
            </w:r>
            <w:r>
              <w:rPr>
                <w:rFonts w:hint="eastAsia" w:ascii="Times New Roman" w:hAnsi="Times New Roman" w:eastAsia="宋体" w:cs="Times New Roman"/>
                <w:smallCaps w:val="0"/>
                <w:color w:val="auto"/>
                <w:kern w:val="0"/>
                <w:sz w:val="21"/>
                <w:szCs w:val="21"/>
                <w:highlight w:val="none"/>
                <w:lang w:val="en-US" w:eastAsia="zh-CN" w:bidi="ar-SA"/>
              </w:rPr>
              <w:t>4</w:t>
            </w:r>
            <w:r>
              <w:rPr>
                <w:rFonts w:hint="default" w:ascii="Times New Roman" w:hAnsi="Times New Roman" w:eastAsia="宋体" w:cs="Times New Roman"/>
                <w:smallCaps w:val="0"/>
                <w:color w:val="auto"/>
                <w:kern w:val="0"/>
                <w:sz w:val="21"/>
                <w:szCs w:val="21"/>
                <w:highlight w:val="none"/>
                <w:lang w:val="en-US" w:eastAsia="zh-CN" w:bidi="ar-SA"/>
              </w:rPr>
              <w:t>）应急预案：本环评建议建设单位应编制环境风险应急预案，报环保局备案。</w:t>
            </w:r>
          </w:p>
        </w:tc>
      </w:tr>
      <w:tr w14:paraId="5E41A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961" w:type="pct"/>
            <w:gridSpan w:val="2"/>
            <w:noWrap w:val="0"/>
            <w:vAlign w:val="center"/>
          </w:tcPr>
          <w:p w14:paraId="1C768716">
            <w:pPr>
              <w:widowControl w:val="0"/>
              <w:bidi w:val="0"/>
              <w:adjustRightInd w:val="0"/>
              <w:snapToGrid w:val="0"/>
              <w:spacing w:line="240" w:lineRule="auto"/>
              <w:ind w:firstLine="0" w:firstLineChars="0"/>
              <w:jc w:val="center"/>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评价结论与建议</w:t>
            </w:r>
          </w:p>
        </w:tc>
        <w:tc>
          <w:tcPr>
            <w:tcW w:w="4038" w:type="pct"/>
            <w:gridSpan w:val="16"/>
            <w:noWrap w:val="0"/>
            <w:vAlign w:val="center"/>
          </w:tcPr>
          <w:p w14:paraId="62AD84EE">
            <w:pPr>
              <w:widowControl w:val="0"/>
              <w:bidi w:val="0"/>
              <w:adjustRightInd w:val="0"/>
              <w:snapToGrid w:val="0"/>
              <w:spacing w:line="240" w:lineRule="auto"/>
              <w:ind w:firstLine="0" w:firstLineChars="0"/>
              <w:jc w:val="both"/>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结论：本报告提出了环境风险防范措施及对策建议，这些措施的实施有利于进一步降低工程风险性，在采取相应的管理及防火防爆措施，以及编制突发环境事件应急预案，并严格按照其提出的措施执行后，本项目的环境危害程度是可以控制的，环境风险影响是可以接受的。</w:t>
            </w:r>
          </w:p>
          <w:p w14:paraId="2297BFAD">
            <w:pPr>
              <w:widowControl w:val="0"/>
              <w:bidi w:val="0"/>
              <w:adjustRightInd w:val="0"/>
              <w:snapToGrid w:val="0"/>
              <w:spacing w:line="240" w:lineRule="auto"/>
              <w:ind w:firstLine="0" w:firstLineChars="0"/>
              <w:jc w:val="both"/>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建议：建议建设单位应编制本单位突发环境事件等应急救援预案，配备应急救援人员和器材，并开展应急演练等内容。</w:t>
            </w:r>
          </w:p>
        </w:tc>
      </w:tr>
      <w:tr w14:paraId="4816B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000" w:type="pct"/>
            <w:gridSpan w:val="18"/>
            <w:noWrap w:val="0"/>
            <w:vAlign w:val="center"/>
          </w:tcPr>
          <w:p w14:paraId="688BE80D">
            <w:pPr>
              <w:widowControl w:val="0"/>
              <w:bidi w:val="0"/>
              <w:adjustRightInd w:val="0"/>
              <w:snapToGrid w:val="0"/>
              <w:spacing w:line="240" w:lineRule="auto"/>
              <w:ind w:firstLine="0" w:firstLineChars="0"/>
              <w:jc w:val="left"/>
              <w:rPr>
                <w:rFonts w:hint="default" w:ascii="Times New Roman" w:hAnsi="Times New Roman" w:eastAsia="宋体" w:cs="Times New Roman"/>
                <w:smallCaps w:val="0"/>
                <w:color w:val="auto"/>
                <w:kern w:val="0"/>
                <w:sz w:val="21"/>
                <w:szCs w:val="21"/>
                <w:highlight w:val="none"/>
                <w:lang w:val="en-US" w:eastAsia="zh-CN" w:bidi="ar-SA"/>
              </w:rPr>
            </w:pPr>
            <w:r>
              <w:rPr>
                <w:rFonts w:hint="default" w:ascii="Times New Roman" w:hAnsi="Times New Roman" w:eastAsia="宋体" w:cs="Times New Roman"/>
                <w:smallCaps w:val="0"/>
                <w:color w:val="auto"/>
                <w:kern w:val="0"/>
                <w:sz w:val="21"/>
                <w:szCs w:val="21"/>
                <w:highlight w:val="none"/>
                <w:lang w:val="en-US" w:eastAsia="zh-CN" w:bidi="ar-SA"/>
              </w:rPr>
              <w:t>注：“□”为勾选项，“   ”为填写项。</w:t>
            </w:r>
          </w:p>
        </w:tc>
      </w:tr>
    </w:tbl>
    <w:p w14:paraId="5F44AC0B">
      <w:pPr>
        <w:pStyle w:val="22"/>
        <w:rPr>
          <w:rFonts w:hint="eastAsia"/>
          <w:color w:val="auto"/>
        </w:rPr>
      </w:pPr>
    </w:p>
    <w:sectPr>
      <w:pgSz w:w="11905" w:h="16838"/>
      <w:pgMar w:top="1134" w:right="1134" w:bottom="1134" w:left="1134" w:header="851" w:footer="1077" w:gutter="0"/>
      <w:pgBorders>
        <w:top w:val="none" w:sz="0" w:space="0"/>
        <w:left w:val="none" w:sz="0" w:space="0"/>
        <w:bottom w:val="none" w:sz="0" w:space="0"/>
        <w:right w:val="none" w:sz="0" w:space="0"/>
      </w:pgBorders>
      <w:cols w:space="720" w:num="1"/>
      <w:docGrid w:type="linesAndChars" w:linePitch="3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方正小标宋_GBK">
    <w:altName w:val="微软雅黑"/>
    <w:panose1 w:val="00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华文仿宋">
    <w:panose1 w:val="02010600040101010101"/>
    <w:charset w:val="86"/>
    <w:family w:val="auto"/>
    <w:pitch w:val="default"/>
    <w:sig w:usb0="00000287" w:usb1="080F0000" w:usb2="00000000" w:usb3="00000000" w:csb0="0004009F" w:csb1="DFD70000"/>
  </w:font>
  <w:font w:name="瀹嬩綋">
    <w:altName w:val="Noto Sans SC"/>
    <w:panose1 w:val="00000000000000000000"/>
    <w:charset w:val="00"/>
    <w:family w:val="auto"/>
    <w:pitch w:val="default"/>
    <w:sig w:usb0="00000000" w:usb1="00000000" w:usb2="00000000" w:usb3="00000000" w:csb0="00040001" w:csb1="00000000"/>
  </w:font>
  <w:font w:name="Noto Sans SC">
    <w:panose1 w:val="020B0200000000000000"/>
    <w:charset w:val="86"/>
    <w:family w:val="auto"/>
    <w:pitch w:val="default"/>
    <w:sig w:usb0="20000083" w:usb1="2ADF3C10" w:usb2="00000016" w:usb3="00000000" w:csb0="60060107"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87445">
    <w:pPr>
      <w:pStyle w:val="2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AACEFC">
    <w:pPr>
      <w:pStyle w:val="24"/>
      <w:framePr w:wrap="around" w:vAnchor="text" w:hAnchor="margin" w:xAlign="center" w:y="1"/>
      <w:rPr>
        <w:rStyle w:val="42"/>
      </w:rPr>
    </w:pPr>
    <w:r>
      <w:fldChar w:fldCharType="begin"/>
    </w:r>
    <w:r>
      <w:rPr>
        <w:rStyle w:val="42"/>
      </w:rPr>
      <w:instrText xml:space="preserve">PAGE  </w:instrText>
    </w:r>
    <w:r>
      <w:fldChar w:fldCharType="end"/>
    </w:r>
  </w:p>
  <w:p w14:paraId="3D33D1C2">
    <w:pPr>
      <w:pStyle w:val="2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C576C1">
    <w:pPr>
      <w:pStyle w:val="24"/>
      <w:jc w:val="center"/>
    </w:pPr>
    <w:r>
      <w:fldChar w:fldCharType="begin"/>
    </w:r>
    <w:r>
      <w:instrText xml:space="preserve">PAGE   \* MERGEFORMAT</w:instrText>
    </w:r>
    <w:r>
      <w:fldChar w:fldCharType="separate"/>
    </w:r>
    <w:r>
      <w:rPr>
        <w:lang w:val="zh-CN"/>
      </w:rPr>
      <w:t>82</w:t>
    </w:r>
    <w: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54129D"/>
    <w:multiLevelType w:val="singleLevel"/>
    <w:tmpl w:val="9654129D"/>
    <w:lvl w:ilvl="0" w:tentative="0">
      <w:start w:val="7"/>
      <w:numFmt w:val="decimal"/>
      <w:suff w:val="nothing"/>
      <w:lvlText w:val="%1、"/>
      <w:lvlJc w:val="left"/>
    </w:lvl>
  </w:abstractNum>
  <w:abstractNum w:abstractNumId="1">
    <w:nsid w:val="96CFED31"/>
    <w:multiLevelType w:val="singleLevel"/>
    <w:tmpl w:val="96CFED31"/>
    <w:lvl w:ilvl="0" w:tentative="0">
      <w:start w:val="10"/>
      <w:numFmt w:val="chineseCounting"/>
      <w:suff w:val="nothing"/>
      <w:lvlText w:val="%1、"/>
      <w:lvlJc w:val="left"/>
      <w:rPr>
        <w:rFonts w:hint="eastAsia"/>
      </w:rPr>
    </w:lvl>
  </w:abstractNum>
  <w:abstractNum w:abstractNumId="2">
    <w:nsid w:val="DFDFACD6"/>
    <w:multiLevelType w:val="singleLevel"/>
    <w:tmpl w:val="DFDFACD6"/>
    <w:lvl w:ilvl="0" w:tentative="0">
      <w:start w:val="6"/>
      <w:numFmt w:val="chineseCounting"/>
      <w:suff w:val="nothing"/>
      <w:lvlText w:val="%1、"/>
      <w:lvlJc w:val="left"/>
      <w:rPr>
        <w:rFonts w:hint="eastAsia"/>
      </w:rPr>
    </w:lvl>
  </w:abstractNum>
  <w:abstractNum w:abstractNumId="3">
    <w:nsid w:val="084270C1"/>
    <w:multiLevelType w:val="singleLevel"/>
    <w:tmpl w:val="084270C1"/>
    <w:lvl w:ilvl="0" w:tentative="0">
      <w:start w:val="2"/>
      <w:numFmt w:val="decimal"/>
      <w:suff w:val="nothing"/>
      <w:lvlText w:val="%1、"/>
      <w:lvlJc w:val="left"/>
    </w:lvl>
  </w:abstractNum>
  <w:abstractNum w:abstractNumId="4">
    <w:nsid w:val="26295F25"/>
    <w:multiLevelType w:val="singleLevel"/>
    <w:tmpl w:val="26295F25"/>
    <w:lvl w:ilvl="0" w:tentative="0">
      <w:start w:val="3"/>
      <w:numFmt w:val="decimal"/>
      <w:suff w:val="nothing"/>
      <w:lvlText w:val="（%1）"/>
      <w:lvlJc w:val="left"/>
    </w:lvl>
  </w:abstractNum>
  <w:abstractNum w:abstractNumId="5">
    <w:nsid w:val="4AF6D3EF"/>
    <w:multiLevelType w:val="singleLevel"/>
    <w:tmpl w:val="4AF6D3EF"/>
    <w:lvl w:ilvl="0" w:tentative="0">
      <w:start w:val="11"/>
      <w:numFmt w:val="upperLetter"/>
      <w:suff w:val="nothing"/>
      <w:lvlText w:val="%1-"/>
      <w:lvlJc w:val="left"/>
    </w:lvl>
  </w:abstractNum>
  <w:abstractNum w:abstractNumId="6">
    <w:nsid w:val="52008D69"/>
    <w:multiLevelType w:val="singleLevel"/>
    <w:tmpl w:val="52008D69"/>
    <w:lvl w:ilvl="0" w:tentative="0">
      <w:start w:val="1"/>
      <w:numFmt w:val="bullet"/>
      <w:pStyle w:val="19"/>
      <w:lvlText w:val=""/>
      <w:lvlJc w:val="left"/>
      <w:pPr>
        <w:tabs>
          <w:tab w:val="left" w:pos="2040"/>
        </w:tabs>
        <w:ind w:left="2040" w:hanging="360"/>
      </w:pPr>
      <w:rPr>
        <w:rFonts w:hint="default" w:ascii="Wingdings" w:hAnsi="Wingdings"/>
      </w:rPr>
    </w:lvl>
  </w:abstractNum>
  <w:abstractNum w:abstractNumId="7">
    <w:nsid w:val="75FB1F0A"/>
    <w:multiLevelType w:val="singleLevel"/>
    <w:tmpl w:val="75FB1F0A"/>
    <w:lvl w:ilvl="0" w:tentative="0">
      <w:start w:val="5"/>
      <w:numFmt w:val="chineseCounting"/>
      <w:suff w:val="nothing"/>
      <w:lvlText w:val="%1、"/>
      <w:lvlJc w:val="left"/>
      <w:rPr>
        <w:rFonts w:hint="eastAsia"/>
      </w:rPr>
    </w:lvl>
  </w:abstractNum>
  <w:num w:numId="1">
    <w:abstractNumId w:val="6"/>
  </w:num>
  <w:num w:numId="2">
    <w:abstractNumId w:val="1"/>
  </w:num>
  <w:num w:numId="3">
    <w:abstractNumId w:val="4"/>
  </w:num>
  <w:num w:numId="4">
    <w:abstractNumId w:val="0"/>
  </w:num>
  <w:num w:numId="5">
    <w:abstractNumId w:val="3"/>
  </w:num>
  <w:num w:numId="6">
    <w:abstractNumId w:val="5"/>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6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I0YTZmMTg1OTc4YzBjZWMwOTU4MzZkZDQxMDg0MzcifQ=="/>
    <w:docVar w:name="KSO_WPS_MARK_KEY" w:val="f53ff3ba-ba01-449e-b0a6-0b564d570462"/>
  </w:docVars>
  <w:rsids>
    <w:rsidRoot w:val="00172A27"/>
    <w:rsid w:val="00001574"/>
    <w:rsid w:val="00005C75"/>
    <w:rsid w:val="000060B3"/>
    <w:rsid w:val="00012C3D"/>
    <w:rsid w:val="00013896"/>
    <w:rsid w:val="00020DF3"/>
    <w:rsid w:val="000309C9"/>
    <w:rsid w:val="00031DA1"/>
    <w:rsid w:val="00037221"/>
    <w:rsid w:val="000375BD"/>
    <w:rsid w:val="000418A5"/>
    <w:rsid w:val="0004364B"/>
    <w:rsid w:val="0005148D"/>
    <w:rsid w:val="00056599"/>
    <w:rsid w:val="00061B1F"/>
    <w:rsid w:val="00063F97"/>
    <w:rsid w:val="00064238"/>
    <w:rsid w:val="0006539F"/>
    <w:rsid w:val="0006578C"/>
    <w:rsid w:val="000664B0"/>
    <w:rsid w:val="0006728D"/>
    <w:rsid w:val="000675F2"/>
    <w:rsid w:val="000678D7"/>
    <w:rsid w:val="00067D53"/>
    <w:rsid w:val="000703B7"/>
    <w:rsid w:val="000727A5"/>
    <w:rsid w:val="000733C4"/>
    <w:rsid w:val="00074783"/>
    <w:rsid w:val="00076BF9"/>
    <w:rsid w:val="00077DC1"/>
    <w:rsid w:val="00080254"/>
    <w:rsid w:val="00080288"/>
    <w:rsid w:val="0008070B"/>
    <w:rsid w:val="000810AC"/>
    <w:rsid w:val="00081A02"/>
    <w:rsid w:val="00082231"/>
    <w:rsid w:val="00084402"/>
    <w:rsid w:val="0008797F"/>
    <w:rsid w:val="00092A75"/>
    <w:rsid w:val="00092D38"/>
    <w:rsid w:val="0009377B"/>
    <w:rsid w:val="000A20C9"/>
    <w:rsid w:val="000A52AA"/>
    <w:rsid w:val="000A62CB"/>
    <w:rsid w:val="000A7FDC"/>
    <w:rsid w:val="000B0258"/>
    <w:rsid w:val="000B058F"/>
    <w:rsid w:val="000B1251"/>
    <w:rsid w:val="000B2629"/>
    <w:rsid w:val="000B4467"/>
    <w:rsid w:val="000B4DB9"/>
    <w:rsid w:val="000B6049"/>
    <w:rsid w:val="000B68CC"/>
    <w:rsid w:val="000C09AC"/>
    <w:rsid w:val="000C13C9"/>
    <w:rsid w:val="000C41FD"/>
    <w:rsid w:val="000C767F"/>
    <w:rsid w:val="000C7688"/>
    <w:rsid w:val="000C7D51"/>
    <w:rsid w:val="000D176F"/>
    <w:rsid w:val="000D369C"/>
    <w:rsid w:val="000D3D02"/>
    <w:rsid w:val="000D519C"/>
    <w:rsid w:val="000D5A44"/>
    <w:rsid w:val="000E3ED2"/>
    <w:rsid w:val="000E59D1"/>
    <w:rsid w:val="000E68E7"/>
    <w:rsid w:val="00100C1D"/>
    <w:rsid w:val="00104BCF"/>
    <w:rsid w:val="00106855"/>
    <w:rsid w:val="00106E4E"/>
    <w:rsid w:val="00111997"/>
    <w:rsid w:val="00115D42"/>
    <w:rsid w:val="00115F42"/>
    <w:rsid w:val="00127AAC"/>
    <w:rsid w:val="00131F42"/>
    <w:rsid w:val="001357F1"/>
    <w:rsid w:val="00136BC4"/>
    <w:rsid w:val="00137820"/>
    <w:rsid w:val="00140FA8"/>
    <w:rsid w:val="00142FEB"/>
    <w:rsid w:val="00143A2D"/>
    <w:rsid w:val="00145A41"/>
    <w:rsid w:val="00146049"/>
    <w:rsid w:val="00147968"/>
    <w:rsid w:val="001503CE"/>
    <w:rsid w:val="00151675"/>
    <w:rsid w:val="00152F3E"/>
    <w:rsid w:val="00155FAF"/>
    <w:rsid w:val="00156F24"/>
    <w:rsid w:val="00157435"/>
    <w:rsid w:val="00162C19"/>
    <w:rsid w:val="00170696"/>
    <w:rsid w:val="00172A27"/>
    <w:rsid w:val="001745F4"/>
    <w:rsid w:val="00174A01"/>
    <w:rsid w:val="0017504D"/>
    <w:rsid w:val="0017671A"/>
    <w:rsid w:val="00177422"/>
    <w:rsid w:val="00177EA3"/>
    <w:rsid w:val="00184590"/>
    <w:rsid w:val="00186358"/>
    <w:rsid w:val="001870D1"/>
    <w:rsid w:val="0018781E"/>
    <w:rsid w:val="001879CD"/>
    <w:rsid w:val="0019262D"/>
    <w:rsid w:val="00192664"/>
    <w:rsid w:val="0019459B"/>
    <w:rsid w:val="00196D32"/>
    <w:rsid w:val="001A1B35"/>
    <w:rsid w:val="001A3D43"/>
    <w:rsid w:val="001A48A2"/>
    <w:rsid w:val="001A492C"/>
    <w:rsid w:val="001A6F61"/>
    <w:rsid w:val="001A7962"/>
    <w:rsid w:val="001B3619"/>
    <w:rsid w:val="001B3FAD"/>
    <w:rsid w:val="001B72B8"/>
    <w:rsid w:val="001C2ED8"/>
    <w:rsid w:val="001C3A65"/>
    <w:rsid w:val="001C4744"/>
    <w:rsid w:val="001C69B3"/>
    <w:rsid w:val="001C6DA8"/>
    <w:rsid w:val="001D5595"/>
    <w:rsid w:val="001D7874"/>
    <w:rsid w:val="001D7F22"/>
    <w:rsid w:val="001F0F17"/>
    <w:rsid w:val="001F1FC9"/>
    <w:rsid w:val="001F3347"/>
    <w:rsid w:val="001F3537"/>
    <w:rsid w:val="001F69E4"/>
    <w:rsid w:val="001F7848"/>
    <w:rsid w:val="001F7F6E"/>
    <w:rsid w:val="00201F00"/>
    <w:rsid w:val="002125B4"/>
    <w:rsid w:val="00212C6C"/>
    <w:rsid w:val="002155B8"/>
    <w:rsid w:val="002164D0"/>
    <w:rsid w:val="002216B2"/>
    <w:rsid w:val="00221EDF"/>
    <w:rsid w:val="00223D37"/>
    <w:rsid w:val="00223D87"/>
    <w:rsid w:val="00224839"/>
    <w:rsid w:val="002249B2"/>
    <w:rsid w:val="00225E03"/>
    <w:rsid w:val="00226574"/>
    <w:rsid w:val="00226BB0"/>
    <w:rsid w:val="002278EC"/>
    <w:rsid w:val="0023280E"/>
    <w:rsid w:val="00234803"/>
    <w:rsid w:val="002353BE"/>
    <w:rsid w:val="00236437"/>
    <w:rsid w:val="002377D1"/>
    <w:rsid w:val="00242044"/>
    <w:rsid w:val="00242D81"/>
    <w:rsid w:val="00243392"/>
    <w:rsid w:val="00243822"/>
    <w:rsid w:val="00243F23"/>
    <w:rsid w:val="00244085"/>
    <w:rsid w:val="002506BC"/>
    <w:rsid w:val="002517BA"/>
    <w:rsid w:val="002534E7"/>
    <w:rsid w:val="00254175"/>
    <w:rsid w:val="00254345"/>
    <w:rsid w:val="00256B6B"/>
    <w:rsid w:val="00260221"/>
    <w:rsid w:val="00264557"/>
    <w:rsid w:val="002665E1"/>
    <w:rsid w:val="00271768"/>
    <w:rsid w:val="00271CC4"/>
    <w:rsid w:val="00273FC2"/>
    <w:rsid w:val="00274A9F"/>
    <w:rsid w:val="002805AB"/>
    <w:rsid w:val="00284204"/>
    <w:rsid w:val="002843FB"/>
    <w:rsid w:val="002853D2"/>
    <w:rsid w:val="00286593"/>
    <w:rsid w:val="00291773"/>
    <w:rsid w:val="00292BE7"/>
    <w:rsid w:val="00294D55"/>
    <w:rsid w:val="00296565"/>
    <w:rsid w:val="002A168C"/>
    <w:rsid w:val="002A3DC7"/>
    <w:rsid w:val="002B017B"/>
    <w:rsid w:val="002B3B70"/>
    <w:rsid w:val="002B49E2"/>
    <w:rsid w:val="002B6B4C"/>
    <w:rsid w:val="002B7B00"/>
    <w:rsid w:val="002B7C44"/>
    <w:rsid w:val="002C22DF"/>
    <w:rsid w:val="002C2B17"/>
    <w:rsid w:val="002D0060"/>
    <w:rsid w:val="002D0D2A"/>
    <w:rsid w:val="002D1113"/>
    <w:rsid w:val="002D24F7"/>
    <w:rsid w:val="002D3DD0"/>
    <w:rsid w:val="002D7A29"/>
    <w:rsid w:val="002D7BB5"/>
    <w:rsid w:val="002D7E06"/>
    <w:rsid w:val="002E129C"/>
    <w:rsid w:val="002E1F3A"/>
    <w:rsid w:val="002E239C"/>
    <w:rsid w:val="002E298A"/>
    <w:rsid w:val="002E47FF"/>
    <w:rsid w:val="002F1BF1"/>
    <w:rsid w:val="002F758D"/>
    <w:rsid w:val="002F7677"/>
    <w:rsid w:val="002F7A35"/>
    <w:rsid w:val="002F7F81"/>
    <w:rsid w:val="00300593"/>
    <w:rsid w:val="00301978"/>
    <w:rsid w:val="0030332C"/>
    <w:rsid w:val="003051C2"/>
    <w:rsid w:val="003073C5"/>
    <w:rsid w:val="00310C29"/>
    <w:rsid w:val="00312296"/>
    <w:rsid w:val="00314F0E"/>
    <w:rsid w:val="00316A04"/>
    <w:rsid w:val="00321D2B"/>
    <w:rsid w:val="00321D8E"/>
    <w:rsid w:val="00322B28"/>
    <w:rsid w:val="00324065"/>
    <w:rsid w:val="00325928"/>
    <w:rsid w:val="003263F0"/>
    <w:rsid w:val="00327760"/>
    <w:rsid w:val="00332863"/>
    <w:rsid w:val="0033289C"/>
    <w:rsid w:val="00332FF6"/>
    <w:rsid w:val="0033684D"/>
    <w:rsid w:val="00337B42"/>
    <w:rsid w:val="00337BEA"/>
    <w:rsid w:val="003410A2"/>
    <w:rsid w:val="00341B42"/>
    <w:rsid w:val="003431BB"/>
    <w:rsid w:val="0034348F"/>
    <w:rsid w:val="003441C1"/>
    <w:rsid w:val="003474C4"/>
    <w:rsid w:val="00347578"/>
    <w:rsid w:val="00350CDF"/>
    <w:rsid w:val="00352177"/>
    <w:rsid w:val="00356653"/>
    <w:rsid w:val="0035743F"/>
    <w:rsid w:val="00357BE2"/>
    <w:rsid w:val="00357C28"/>
    <w:rsid w:val="0036170C"/>
    <w:rsid w:val="003635DC"/>
    <w:rsid w:val="00366E0F"/>
    <w:rsid w:val="00374301"/>
    <w:rsid w:val="003768B2"/>
    <w:rsid w:val="00377007"/>
    <w:rsid w:val="00381A72"/>
    <w:rsid w:val="00383F4D"/>
    <w:rsid w:val="00384676"/>
    <w:rsid w:val="00385143"/>
    <w:rsid w:val="00386F3C"/>
    <w:rsid w:val="00390857"/>
    <w:rsid w:val="0039476E"/>
    <w:rsid w:val="003967D8"/>
    <w:rsid w:val="0039721C"/>
    <w:rsid w:val="00397F95"/>
    <w:rsid w:val="003A1646"/>
    <w:rsid w:val="003A4BF3"/>
    <w:rsid w:val="003A5318"/>
    <w:rsid w:val="003B07B1"/>
    <w:rsid w:val="003B24B6"/>
    <w:rsid w:val="003B420D"/>
    <w:rsid w:val="003B6D56"/>
    <w:rsid w:val="003C0E52"/>
    <w:rsid w:val="003C2D19"/>
    <w:rsid w:val="003C6C16"/>
    <w:rsid w:val="003D0B89"/>
    <w:rsid w:val="003D42F1"/>
    <w:rsid w:val="003D5256"/>
    <w:rsid w:val="003D5FAA"/>
    <w:rsid w:val="003D794D"/>
    <w:rsid w:val="003E1B78"/>
    <w:rsid w:val="003E3058"/>
    <w:rsid w:val="003E76A9"/>
    <w:rsid w:val="003F0809"/>
    <w:rsid w:val="003F4A3F"/>
    <w:rsid w:val="003F5DBB"/>
    <w:rsid w:val="003F6A8C"/>
    <w:rsid w:val="003F755C"/>
    <w:rsid w:val="00402A80"/>
    <w:rsid w:val="00403067"/>
    <w:rsid w:val="00406F01"/>
    <w:rsid w:val="00411FA6"/>
    <w:rsid w:val="00416D50"/>
    <w:rsid w:val="00416FD5"/>
    <w:rsid w:val="00417772"/>
    <w:rsid w:val="00420E6A"/>
    <w:rsid w:val="00425A9E"/>
    <w:rsid w:val="00426D6B"/>
    <w:rsid w:val="00431E6C"/>
    <w:rsid w:val="00432936"/>
    <w:rsid w:val="00433CE7"/>
    <w:rsid w:val="0043559A"/>
    <w:rsid w:val="004367C9"/>
    <w:rsid w:val="00437DD4"/>
    <w:rsid w:val="00440EB1"/>
    <w:rsid w:val="00440F62"/>
    <w:rsid w:val="00452738"/>
    <w:rsid w:val="00456091"/>
    <w:rsid w:val="00466321"/>
    <w:rsid w:val="00466B9F"/>
    <w:rsid w:val="00475581"/>
    <w:rsid w:val="004765DC"/>
    <w:rsid w:val="0048076A"/>
    <w:rsid w:val="004817DA"/>
    <w:rsid w:val="00482E25"/>
    <w:rsid w:val="00484B9B"/>
    <w:rsid w:val="004855F6"/>
    <w:rsid w:val="0048610E"/>
    <w:rsid w:val="0048612C"/>
    <w:rsid w:val="0048661E"/>
    <w:rsid w:val="00494670"/>
    <w:rsid w:val="00494DAE"/>
    <w:rsid w:val="004978EE"/>
    <w:rsid w:val="004A3639"/>
    <w:rsid w:val="004A3823"/>
    <w:rsid w:val="004A64F0"/>
    <w:rsid w:val="004A70CF"/>
    <w:rsid w:val="004B3A0F"/>
    <w:rsid w:val="004B72C1"/>
    <w:rsid w:val="004C1D08"/>
    <w:rsid w:val="004C3232"/>
    <w:rsid w:val="004C4BBB"/>
    <w:rsid w:val="004C5187"/>
    <w:rsid w:val="004C5C2B"/>
    <w:rsid w:val="004D1A2A"/>
    <w:rsid w:val="004D1DAD"/>
    <w:rsid w:val="004E6946"/>
    <w:rsid w:val="004E6BD5"/>
    <w:rsid w:val="004E6FDC"/>
    <w:rsid w:val="004F09CB"/>
    <w:rsid w:val="004F1AD8"/>
    <w:rsid w:val="004F1F57"/>
    <w:rsid w:val="004F2FBA"/>
    <w:rsid w:val="004F41DF"/>
    <w:rsid w:val="004F7FE7"/>
    <w:rsid w:val="00500B68"/>
    <w:rsid w:val="00501D96"/>
    <w:rsid w:val="005039CB"/>
    <w:rsid w:val="0050558F"/>
    <w:rsid w:val="00506286"/>
    <w:rsid w:val="00510813"/>
    <w:rsid w:val="00511990"/>
    <w:rsid w:val="00511DE0"/>
    <w:rsid w:val="00512780"/>
    <w:rsid w:val="00514870"/>
    <w:rsid w:val="00514B9B"/>
    <w:rsid w:val="00517F02"/>
    <w:rsid w:val="00523605"/>
    <w:rsid w:val="00524303"/>
    <w:rsid w:val="005258A2"/>
    <w:rsid w:val="00531504"/>
    <w:rsid w:val="0053236E"/>
    <w:rsid w:val="00535D92"/>
    <w:rsid w:val="00537CA1"/>
    <w:rsid w:val="005401AE"/>
    <w:rsid w:val="00540E7D"/>
    <w:rsid w:val="00541145"/>
    <w:rsid w:val="0054181E"/>
    <w:rsid w:val="00542E07"/>
    <w:rsid w:val="00544F95"/>
    <w:rsid w:val="0054532D"/>
    <w:rsid w:val="00545424"/>
    <w:rsid w:val="00550F4A"/>
    <w:rsid w:val="00554A7B"/>
    <w:rsid w:val="0055572C"/>
    <w:rsid w:val="0056106A"/>
    <w:rsid w:val="00562A3C"/>
    <w:rsid w:val="00563EAF"/>
    <w:rsid w:val="005720AE"/>
    <w:rsid w:val="005764BA"/>
    <w:rsid w:val="0057723B"/>
    <w:rsid w:val="00585D00"/>
    <w:rsid w:val="00586BFA"/>
    <w:rsid w:val="00594D77"/>
    <w:rsid w:val="00594EB1"/>
    <w:rsid w:val="005963DB"/>
    <w:rsid w:val="005969E4"/>
    <w:rsid w:val="005A06B7"/>
    <w:rsid w:val="005A1759"/>
    <w:rsid w:val="005A68A7"/>
    <w:rsid w:val="005A6F1C"/>
    <w:rsid w:val="005B750E"/>
    <w:rsid w:val="005C074B"/>
    <w:rsid w:val="005C715C"/>
    <w:rsid w:val="005D2918"/>
    <w:rsid w:val="005D36AB"/>
    <w:rsid w:val="005E173E"/>
    <w:rsid w:val="005E2B6D"/>
    <w:rsid w:val="005E4AC9"/>
    <w:rsid w:val="005E55C8"/>
    <w:rsid w:val="005E5EA9"/>
    <w:rsid w:val="005F1E6C"/>
    <w:rsid w:val="005F6CBE"/>
    <w:rsid w:val="0060133E"/>
    <w:rsid w:val="0060180E"/>
    <w:rsid w:val="00601FF5"/>
    <w:rsid w:val="0060348B"/>
    <w:rsid w:val="00606E16"/>
    <w:rsid w:val="00607C46"/>
    <w:rsid w:val="00615B29"/>
    <w:rsid w:val="00617CC3"/>
    <w:rsid w:val="006237E5"/>
    <w:rsid w:val="006279D4"/>
    <w:rsid w:val="00631B34"/>
    <w:rsid w:val="006324D1"/>
    <w:rsid w:val="00634387"/>
    <w:rsid w:val="00634ECB"/>
    <w:rsid w:val="006353FC"/>
    <w:rsid w:val="006377A6"/>
    <w:rsid w:val="00637825"/>
    <w:rsid w:val="00637A3D"/>
    <w:rsid w:val="006411EF"/>
    <w:rsid w:val="006422FE"/>
    <w:rsid w:val="0064483A"/>
    <w:rsid w:val="00647DEB"/>
    <w:rsid w:val="00650019"/>
    <w:rsid w:val="006524BB"/>
    <w:rsid w:val="00660B30"/>
    <w:rsid w:val="0066571D"/>
    <w:rsid w:val="00666FF4"/>
    <w:rsid w:val="00673AC1"/>
    <w:rsid w:val="006748B8"/>
    <w:rsid w:val="00676C37"/>
    <w:rsid w:val="006775C3"/>
    <w:rsid w:val="006833C9"/>
    <w:rsid w:val="0068775E"/>
    <w:rsid w:val="0069065C"/>
    <w:rsid w:val="0069290A"/>
    <w:rsid w:val="0069385F"/>
    <w:rsid w:val="0069775A"/>
    <w:rsid w:val="00697813"/>
    <w:rsid w:val="006A054C"/>
    <w:rsid w:val="006A1CC9"/>
    <w:rsid w:val="006A3EE8"/>
    <w:rsid w:val="006A428C"/>
    <w:rsid w:val="006A72BF"/>
    <w:rsid w:val="006A742A"/>
    <w:rsid w:val="006B03F2"/>
    <w:rsid w:val="006B0752"/>
    <w:rsid w:val="006B37DC"/>
    <w:rsid w:val="006B43FC"/>
    <w:rsid w:val="006B46C5"/>
    <w:rsid w:val="006B4F68"/>
    <w:rsid w:val="006B6EC4"/>
    <w:rsid w:val="006C0592"/>
    <w:rsid w:val="006C218E"/>
    <w:rsid w:val="006C2674"/>
    <w:rsid w:val="006C272E"/>
    <w:rsid w:val="006C3EB8"/>
    <w:rsid w:val="006C5148"/>
    <w:rsid w:val="006C5479"/>
    <w:rsid w:val="006C6193"/>
    <w:rsid w:val="006C61E8"/>
    <w:rsid w:val="006D13B5"/>
    <w:rsid w:val="006D1EE2"/>
    <w:rsid w:val="006E12FF"/>
    <w:rsid w:val="006E27B2"/>
    <w:rsid w:val="006E607E"/>
    <w:rsid w:val="006E7E8A"/>
    <w:rsid w:val="006F1623"/>
    <w:rsid w:val="006F3A3F"/>
    <w:rsid w:val="00701462"/>
    <w:rsid w:val="00702D1B"/>
    <w:rsid w:val="00706C5D"/>
    <w:rsid w:val="00710042"/>
    <w:rsid w:val="007123E1"/>
    <w:rsid w:val="00712BDC"/>
    <w:rsid w:val="00714A68"/>
    <w:rsid w:val="00715C00"/>
    <w:rsid w:val="00716AF3"/>
    <w:rsid w:val="007178A4"/>
    <w:rsid w:val="00721134"/>
    <w:rsid w:val="00722364"/>
    <w:rsid w:val="00725DD6"/>
    <w:rsid w:val="00731C61"/>
    <w:rsid w:val="00732922"/>
    <w:rsid w:val="007333EF"/>
    <w:rsid w:val="00733A5F"/>
    <w:rsid w:val="0073403D"/>
    <w:rsid w:val="0073580B"/>
    <w:rsid w:val="007361B3"/>
    <w:rsid w:val="00736B0F"/>
    <w:rsid w:val="00743E68"/>
    <w:rsid w:val="00745779"/>
    <w:rsid w:val="007457F3"/>
    <w:rsid w:val="00750CB9"/>
    <w:rsid w:val="0075162E"/>
    <w:rsid w:val="0075277C"/>
    <w:rsid w:val="00754034"/>
    <w:rsid w:val="00756556"/>
    <w:rsid w:val="007568FA"/>
    <w:rsid w:val="007618C4"/>
    <w:rsid w:val="00762390"/>
    <w:rsid w:val="00762C9A"/>
    <w:rsid w:val="0076320C"/>
    <w:rsid w:val="00767945"/>
    <w:rsid w:val="00767980"/>
    <w:rsid w:val="00770B19"/>
    <w:rsid w:val="0077324C"/>
    <w:rsid w:val="0077463F"/>
    <w:rsid w:val="00774C96"/>
    <w:rsid w:val="007836EA"/>
    <w:rsid w:val="00784CDA"/>
    <w:rsid w:val="00786CBB"/>
    <w:rsid w:val="007906C4"/>
    <w:rsid w:val="00792525"/>
    <w:rsid w:val="007940EA"/>
    <w:rsid w:val="00794FAE"/>
    <w:rsid w:val="007967E8"/>
    <w:rsid w:val="007A2170"/>
    <w:rsid w:val="007A22BF"/>
    <w:rsid w:val="007A3323"/>
    <w:rsid w:val="007A440E"/>
    <w:rsid w:val="007B31F5"/>
    <w:rsid w:val="007B3511"/>
    <w:rsid w:val="007B72B8"/>
    <w:rsid w:val="007B7A58"/>
    <w:rsid w:val="007C0C69"/>
    <w:rsid w:val="007C21B5"/>
    <w:rsid w:val="007C355A"/>
    <w:rsid w:val="007C4534"/>
    <w:rsid w:val="007C7D5B"/>
    <w:rsid w:val="007D675D"/>
    <w:rsid w:val="007E00E2"/>
    <w:rsid w:val="007E0CEA"/>
    <w:rsid w:val="007E4BD2"/>
    <w:rsid w:val="007F4298"/>
    <w:rsid w:val="007F5416"/>
    <w:rsid w:val="00800226"/>
    <w:rsid w:val="00801393"/>
    <w:rsid w:val="00802F88"/>
    <w:rsid w:val="00803800"/>
    <w:rsid w:val="0081293E"/>
    <w:rsid w:val="00814CE1"/>
    <w:rsid w:val="00815465"/>
    <w:rsid w:val="00815E63"/>
    <w:rsid w:val="00816ECE"/>
    <w:rsid w:val="00817E9A"/>
    <w:rsid w:val="0082029F"/>
    <w:rsid w:val="00826293"/>
    <w:rsid w:val="008306BD"/>
    <w:rsid w:val="008310EF"/>
    <w:rsid w:val="00831A80"/>
    <w:rsid w:val="00833743"/>
    <w:rsid w:val="008340A4"/>
    <w:rsid w:val="00834A5A"/>
    <w:rsid w:val="00836084"/>
    <w:rsid w:val="00840B38"/>
    <w:rsid w:val="00844533"/>
    <w:rsid w:val="008463D2"/>
    <w:rsid w:val="008500FC"/>
    <w:rsid w:val="0085040C"/>
    <w:rsid w:val="00851894"/>
    <w:rsid w:val="008525EE"/>
    <w:rsid w:val="00853876"/>
    <w:rsid w:val="00856765"/>
    <w:rsid w:val="008604BB"/>
    <w:rsid w:val="00867F5A"/>
    <w:rsid w:val="0087135F"/>
    <w:rsid w:val="00871DD2"/>
    <w:rsid w:val="00872D94"/>
    <w:rsid w:val="00873E20"/>
    <w:rsid w:val="0087630C"/>
    <w:rsid w:val="00880364"/>
    <w:rsid w:val="00885ECF"/>
    <w:rsid w:val="00891592"/>
    <w:rsid w:val="00891E9E"/>
    <w:rsid w:val="00893ECF"/>
    <w:rsid w:val="00897CE8"/>
    <w:rsid w:val="008A246A"/>
    <w:rsid w:val="008A2F68"/>
    <w:rsid w:val="008A4B7A"/>
    <w:rsid w:val="008B0E27"/>
    <w:rsid w:val="008B4FA6"/>
    <w:rsid w:val="008B5282"/>
    <w:rsid w:val="008B6C87"/>
    <w:rsid w:val="008B7150"/>
    <w:rsid w:val="008B7C17"/>
    <w:rsid w:val="008C2D01"/>
    <w:rsid w:val="008C40E6"/>
    <w:rsid w:val="008C60FB"/>
    <w:rsid w:val="008C6165"/>
    <w:rsid w:val="008D0C94"/>
    <w:rsid w:val="008D0F7A"/>
    <w:rsid w:val="008D4357"/>
    <w:rsid w:val="008D5AA2"/>
    <w:rsid w:val="008D68E4"/>
    <w:rsid w:val="008E0506"/>
    <w:rsid w:val="008E0BB1"/>
    <w:rsid w:val="008E0CFF"/>
    <w:rsid w:val="008E3327"/>
    <w:rsid w:val="008E5D6B"/>
    <w:rsid w:val="008E6EA7"/>
    <w:rsid w:val="008E76F0"/>
    <w:rsid w:val="008E7B69"/>
    <w:rsid w:val="008F15FE"/>
    <w:rsid w:val="008F2D29"/>
    <w:rsid w:val="008F3836"/>
    <w:rsid w:val="008F5000"/>
    <w:rsid w:val="008F5187"/>
    <w:rsid w:val="008F60D8"/>
    <w:rsid w:val="00901A0E"/>
    <w:rsid w:val="0090220D"/>
    <w:rsid w:val="00902727"/>
    <w:rsid w:val="0090312B"/>
    <w:rsid w:val="00903EC0"/>
    <w:rsid w:val="00905E26"/>
    <w:rsid w:val="0091736D"/>
    <w:rsid w:val="00924403"/>
    <w:rsid w:val="00924A2D"/>
    <w:rsid w:val="00925740"/>
    <w:rsid w:val="0093037A"/>
    <w:rsid w:val="00931675"/>
    <w:rsid w:val="00931D16"/>
    <w:rsid w:val="009377B4"/>
    <w:rsid w:val="0094154D"/>
    <w:rsid w:val="00942DA9"/>
    <w:rsid w:val="00943CCE"/>
    <w:rsid w:val="009448CE"/>
    <w:rsid w:val="00947346"/>
    <w:rsid w:val="0095155F"/>
    <w:rsid w:val="00954429"/>
    <w:rsid w:val="0095489E"/>
    <w:rsid w:val="009563CE"/>
    <w:rsid w:val="009619EE"/>
    <w:rsid w:val="00962517"/>
    <w:rsid w:val="009630C2"/>
    <w:rsid w:val="00965626"/>
    <w:rsid w:val="00966D86"/>
    <w:rsid w:val="009679A4"/>
    <w:rsid w:val="0097012E"/>
    <w:rsid w:val="00971985"/>
    <w:rsid w:val="00972BB1"/>
    <w:rsid w:val="00972F25"/>
    <w:rsid w:val="00974271"/>
    <w:rsid w:val="009754BC"/>
    <w:rsid w:val="00976328"/>
    <w:rsid w:val="0097680D"/>
    <w:rsid w:val="009779D3"/>
    <w:rsid w:val="00980548"/>
    <w:rsid w:val="009808DA"/>
    <w:rsid w:val="00980E0F"/>
    <w:rsid w:val="00982438"/>
    <w:rsid w:val="0098404C"/>
    <w:rsid w:val="009840ED"/>
    <w:rsid w:val="00985283"/>
    <w:rsid w:val="00995992"/>
    <w:rsid w:val="00997070"/>
    <w:rsid w:val="00997FC2"/>
    <w:rsid w:val="009A03E5"/>
    <w:rsid w:val="009A061D"/>
    <w:rsid w:val="009A07D6"/>
    <w:rsid w:val="009A0F3B"/>
    <w:rsid w:val="009A1BB4"/>
    <w:rsid w:val="009A20C2"/>
    <w:rsid w:val="009A230A"/>
    <w:rsid w:val="009A2628"/>
    <w:rsid w:val="009A29CA"/>
    <w:rsid w:val="009A3200"/>
    <w:rsid w:val="009A75F3"/>
    <w:rsid w:val="009A7BF0"/>
    <w:rsid w:val="009B0897"/>
    <w:rsid w:val="009B1B85"/>
    <w:rsid w:val="009B3173"/>
    <w:rsid w:val="009B5A5C"/>
    <w:rsid w:val="009B7BD9"/>
    <w:rsid w:val="009C132C"/>
    <w:rsid w:val="009C690D"/>
    <w:rsid w:val="009C7DD5"/>
    <w:rsid w:val="009E227D"/>
    <w:rsid w:val="009E3FE4"/>
    <w:rsid w:val="009E5019"/>
    <w:rsid w:val="009F0712"/>
    <w:rsid w:val="009F779F"/>
    <w:rsid w:val="00A04F1B"/>
    <w:rsid w:val="00A0501B"/>
    <w:rsid w:val="00A0698B"/>
    <w:rsid w:val="00A1107A"/>
    <w:rsid w:val="00A1380A"/>
    <w:rsid w:val="00A143D6"/>
    <w:rsid w:val="00A14947"/>
    <w:rsid w:val="00A32A83"/>
    <w:rsid w:val="00A3620F"/>
    <w:rsid w:val="00A368DB"/>
    <w:rsid w:val="00A40D83"/>
    <w:rsid w:val="00A41018"/>
    <w:rsid w:val="00A42030"/>
    <w:rsid w:val="00A423AA"/>
    <w:rsid w:val="00A43CD0"/>
    <w:rsid w:val="00A50994"/>
    <w:rsid w:val="00A51046"/>
    <w:rsid w:val="00A52D77"/>
    <w:rsid w:val="00A53A9F"/>
    <w:rsid w:val="00A53EC6"/>
    <w:rsid w:val="00A55BA1"/>
    <w:rsid w:val="00A55C0F"/>
    <w:rsid w:val="00A60A36"/>
    <w:rsid w:val="00A61A72"/>
    <w:rsid w:val="00A735DD"/>
    <w:rsid w:val="00A75276"/>
    <w:rsid w:val="00A83071"/>
    <w:rsid w:val="00A8713F"/>
    <w:rsid w:val="00A90BA1"/>
    <w:rsid w:val="00A955AA"/>
    <w:rsid w:val="00A96191"/>
    <w:rsid w:val="00A97A9A"/>
    <w:rsid w:val="00A97AFF"/>
    <w:rsid w:val="00AA0671"/>
    <w:rsid w:val="00AA09A4"/>
    <w:rsid w:val="00AA2531"/>
    <w:rsid w:val="00AA753B"/>
    <w:rsid w:val="00AB0857"/>
    <w:rsid w:val="00AB1E09"/>
    <w:rsid w:val="00AB5330"/>
    <w:rsid w:val="00AB7747"/>
    <w:rsid w:val="00AC0D7F"/>
    <w:rsid w:val="00AC1410"/>
    <w:rsid w:val="00AC14CE"/>
    <w:rsid w:val="00AC2A56"/>
    <w:rsid w:val="00AD055E"/>
    <w:rsid w:val="00AD0E61"/>
    <w:rsid w:val="00AD47A7"/>
    <w:rsid w:val="00AD561B"/>
    <w:rsid w:val="00AE3475"/>
    <w:rsid w:val="00AF0CBF"/>
    <w:rsid w:val="00AF257F"/>
    <w:rsid w:val="00AF33CF"/>
    <w:rsid w:val="00AF3426"/>
    <w:rsid w:val="00AF4D50"/>
    <w:rsid w:val="00AF58DE"/>
    <w:rsid w:val="00AF6002"/>
    <w:rsid w:val="00AF6179"/>
    <w:rsid w:val="00B01FF5"/>
    <w:rsid w:val="00B02ACE"/>
    <w:rsid w:val="00B02B55"/>
    <w:rsid w:val="00B075F4"/>
    <w:rsid w:val="00B1295A"/>
    <w:rsid w:val="00B166D5"/>
    <w:rsid w:val="00B20A45"/>
    <w:rsid w:val="00B22C5C"/>
    <w:rsid w:val="00B24F30"/>
    <w:rsid w:val="00B25721"/>
    <w:rsid w:val="00B27F45"/>
    <w:rsid w:val="00B3046D"/>
    <w:rsid w:val="00B31ABF"/>
    <w:rsid w:val="00B32BE6"/>
    <w:rsid w:val="00B33BE3"/>
    <w:rsid w:val="00B37268"/>
    <w:rsid w:val="00B403AA"/>
    <w:rsid w:val="00B464AC"/>
    <w:rsid w:val="00B46B4A"/>
    <w:rsid w:val="00B53B5D"/>
    <w:rsid w:val="00B56AF7"/>
    <w:rsid w:val="00B6055E"/>
    <w:rsid w:val="00B608B5"/>
    <w:rsid w:val="00B6317D"/>
    <w:rsid w:val="00B64B74"/>
    <w:rsid w:val="00B71C85"/>
    <w:rsid w:val="00B71F65"/>
    <w:rsid w:val="00B73EC2"/>
    <w:rsid w:val="00B7723F"/>
    <w:rsid w:val="00B80534"/>
    <w:rsid w:val="00B83F39"/>
    <w:rsid w:val="00B8433C"/>
    <w:rsid w:val="00B87491"/>
    <w:rsid w:val="00BA29E9"/>
    <w:rsid w:val="00BA7142"/>
    <w:rsid w:val="00BA731D"/>
    <w:rsid w:val="00BA7360"/>
    <w:rsid w:val="00BB237C"/>
    <w:rsid w:val="00BB2963"/>
    <w:rsid w:val="00BB41A3"/>
    <w:rsid w:val="00BB5415"/>
    <w:rsid w:val="00BC32DC"/>
    <w:rsid w:val="00BC35B6"/>
    <w:rsid w:val="00BC3B8A"/>
    <w:rsid w:val="00BD0F74"/>
    <w:rsid w:val="00BD1B51"/>
    <w:rsid w:val="00BD35F3"/>
    <w:rsid w:val="00BD4596"/>
    <w:rsid w:val="00BD653E"/>
    <w:rsid w:val="00BE02B4"/>
    <w:rsid w:val="00BE0DBA"/>
    <w:rsid w:val="00BE1405"/>
    <w:rsid w:val="00BE312D"/>
    <w:rsid w:val="00BF181D"/>
    <w:rsid w:val="00BF1C20"/>
    <w:rsid w:val="00BF1F9C"/>
    <w:rsid w:val="00C0123D"/>
    <w:rsid w:val="00C03941"/>
    <w:rsid w:val="00C060D4"/>
    <w:rsid w:val="00C072FD"/>
    <w:rsid w:val="00C10578"/>
    <w:rsid w:val="00C135BC"/>
    <w:rsid w:val="00C15C95"/>
    <w:rsid w:val="00C20486"/>
    <w:rsid w:val="00C242D2"/>
    <w:rsid w:val="00C24B33"/>
    <w:rsid w:val="00C2596A"/>
    <w:rsid w:val="00C27537"/>
    <w:rsid w:val="00C31481"/>
    <w:rsid w:val="00C328FE"/>
    <w:rsid w:val="00C33507"/>
    <w:rsid w:val="00C35822"/>
    <w:rsid w:val="00C35D30"/>
    <w:rsid w:val="00C41B60"/>
    <w:rsid w:val="00C4409D"/>
    <w:rsid w:val="00C441DF"/>
    <w:rsid w:val="00C44E72"/>
    <w:rsid w:val="00C45A06"/>
    <w:rsid w:val="00C47E5B"/>
    <w:rsid w:val="00C5458C"/>
    <w:rsid w:val="00C576C4"/>
    <w:rsid w:val="00C6144C"/>
    <w:rsid w:val="00C61E4B"/>
    <w:rsid w:val="00C62E72"/>
    <w:rsid w:val="00C62F66"/>
    <w:rsid w:val="00C64BFF"/>
    <w:rsid w:val="00C64F88"/>
    <w:rsid w:val="00C679A2"/>
    <w:rsid w:val="00C704E9"/>
    <w:rsid w:val="00C72162"/>
    <w:rsid w:val="00C72FCA"/>
    <w:rsid w:val="00C763C9"/>
    <w:rsid w:val="00C76CC1"/>
    <w:rsid w:val="00C80057"/>
    <w:rsid w:val="00C82232"/>
    <w:rsid w:val="00C82913"/>
    <w:rsid w:val="00C83BDE"/>
    <w:rsid w:val="00C85400"/>
    <w:rsid w:val="00C8665B"/>
    <w:rsid w:val="00C95685"/>
    <w:rsid w:val="00C972B1"/>
    <w:rsid w:val="00CA2CCE"/>
    <w:rsid w:val="00CA43FD"/>
    <w:rsid w:val="00CA7EF8"/>
    <w:rsid w:val="00CB0004"/>
    <w:rsid w:val="00CB0A3D"/>
    <w:rsid w:val="00CB4B97"/>
    <w:rsid w:val="00CC035B"/>
    <w:rsid w:val="00CC0DFB"/>
    <w:rsid w:val="00CC11E5"/>
    <w:rsid w:val="00CC45CD"/>
    <w:rsid w:val="00CC489B"/>
    <w:rsid w:val="00CD02E4"/>
    <w:rsid w:val="00CD19B4"/>
    <w:rsid w:val="00CD2BCD"/>
    <w:rsid w:val="00CD3A4C"/>
    <w:rsid w:val="00CD59D6"/>
    <w:rsid w:val="00CE10E9"/>
    <w:rsid w:val="00CE2910"/>
    <w:rsid w:val="00CE5393"/>
    <w:rsid w:val="00CE54DF"/>
    <w:rsid w:val="00CE7BB6"/>
    <w:rsid w:val="00CF36BE"/>
    <w:rsid w:val="00CF6000"/>
    <w:rsid w:val="00CF60BB"/>
    <w:rsid w:val="00D003F3"/>
    <w:rsid w:val="00D0364F"/>
    <w:rsid w:val="00D06834"/>
    <w:rsid w:val="00D10699"/>
    <w:rsid w:val="00D11B2C"/>
    <w:rsid w:val="00D139AD"/>
    <w:rsid w:val="00D14FEF"/>
    <w:rsid w:val="00D23DB6"/>
    <w:rsid w:val="00D27F70"/>
    <w:rsid w:val="00D3037C"/>
    <w:rsid w:val="00D308ED"/>
    <w:rsid w:val="00D30F1D"/>
    <w:rsid w:val="00D3105E"/>
    <w:rsid w:val="00D317EE"/>
    <w:rsid w:val="00D3292F"/>
    <w:rsid w:val="00D36D86"/>
    <w:rsid w:val="00D37504"/>
    <w:rsid w:val="00D428AA"/>
    <w:rsid w:val="00D50A34"/>
    <w:rsid w:val="00D52187"/>
    <w:rsid w:val="00D53EFA"/>
    <w:rsid w:val="00D54265"/>
    <w:rsid w:val="00D5520E"/>
    <w:rsid w:val="00D6033F"/>
    <w:rsid w:val="00D61321"/>
    <w:rsid w:val="00D70895"/>
    <w:rsid w:val="00D73232"/>
    <w:rsid w:val="00D7438F"/>
    <w:rsid w:val="00D75873"/>
    <w:rsid w:val="00D808B8"/>
    <w:rsid w:val="00D813E1"/>
    <w:rsid w:val="00D82BD9"/>
    <w:rsid w:val="00D8353F"/>
    <w:rsid w:val="00D8644A"/>
    <w:rsid w:val="00D879F5"/>
    <w:rsid w:val="00D91BF4"/>
    <w:rsid w:val="00D92D73"/>
    <w:rsid w:val="00D94A7C"/>
    <w:rsid w:val="00D95896"/>
    <w:rsid w:val="00D9654D"/>
    <w:rsid w:val="00D97457"/>
    <w:rsid w:val="00DA0333"/>
    <w:rsid w:val="00DA4965"/>
    <w:rsid w:val="00DA5559"/>
    <w:rsid w:val="00DA74FD"/>
    <w:rsid w:val="00DB2983"/>
    <w:rsid w:val="00DB4089"/>
    <w:rsid w:val="00DB784D"/>
    <w:rsid w:val="00DC1257"/>
    <w:rsid w:val="00DC1A94"/>
    <w:rsid w:val="00DC2047"/>
    <w:rsid w:val="00DC3DC0"/>
    <w:rsid w:val="00DC5B2B"/>
    <w:rsid w:val="00DD0426"/>
    <w:rsid w:val="00DD318D"/>
    <w:rsid w:val="00DD36F9"/>
    <w:rsid w:val="00DD51C6"/>
    <w:rsid w:val="00DD6830"/>
    <w:rsid w:val="00DE31E4"/>
    <w:rsid w:val="00DE35EC"/>
    <w:rsid w:val="00DE5FC0"/>
    <w:rsid w:val="00DF2E12"/>
    <w:rsid w:val="00DF4C7E"/>
    <w:rsid w:val="00DF4F41"/>
    <w:rsid w:val="00DF514A"/>
    <w:rsid w:val="00DF5A33"/>
    <w:rsid w:val="00DF64A6"/>
    <w:rsid w:val="00DF6690"/>
    <w:rsid w:val="00DF6804"/>
    <w:rsid w:val="00E00229"/>
    <w:rsid w:val="00E00709"/>
    <w:rsid w:val="00E01689"/>
    <w:rsid w:val="00E0358D"/>
    <w:rsid w:val="00E04187"/>
    <w:rsid w:val="00E04323"/>
    <w:rsid w:val="00E0547E"/>
    <w:rsid w:val="00E070A2"/>
    <w:rsid w:val="00E0784F"/>
    <w:rsid w:val="00E111D8"/>
    <w:rsid w:val="00E127EE"/>
    <w:rsid w:val="00E15BB4"/>
    <w:rsid w:val="00E20614"/>
    <w:rsid w:val="00E234C3"/>
    <w:rsid w:val="00E248D1"/>
    <w:rsid w:val="00E2656A"/>
    <w:rsid w:val="00E26B0C"/>
    <w:rsid w:val="00E26CE3"/>
    <w:rsid w:val="00E30B40"/>
    <w:rsid w:val="00E30CC7"/>
    <w:rsid w:val="00E33EC9"/>
    <w:rsid w:val="00E34F08"/>
    <w:rsid w:val="00E35339"/>
    <w:rsid w:val="00E3587E"/>
    <w:rsid w:val="00E412D0"/>
    <w:rsid w:val="00E4155A"/>
    <w:rsid w:val="00E427FE"/>
    <w:rsid w:val="00E44B93"/>
    <w:rsid w:val="00E45712"/>
    <w:rsid w:val="00E539C3"/>
    <w:rsid w:val="00E53E7C"/>
    <w:rsid w:val="00E5408A"/>
    <w:rsid w:val="00E56322"/>
    <w:rsid w:val="00E60982"/>
    <w:rsid w:val="00E62C62"/>
    <w:rsid w:val="00E64422"/>
    <w:rsid w:val="00E654C1"/>
    <w:rsid w:val="00E65879"/>
    <w:rsid w:val="00E65D97"/>
    <w:rsid w:val="00E67348"/>
    <w:rsid w:val="00E708F7"/>
    <w:rsid w:val="00E72A5A"/>
    <w:rsid w:val="00E73354"/>
    <w:rsid w:val="00E74E4A"/>
    <w:rsid w:val="00E82D91"/>
    <w:rsid w:val="00E83AFA"/>
    <w:rsid w:val="00E9242D"/>
    <w:rsid w:val="00E93678"/>
    <w:rsid w:val="00EA1075"/>
    <w:rsid w:val="00EA1EB0"/>
    <w:rsid w:val="00EA2FD2"/>
    <w:rsid w:val="00EA647D"/>
    <w:rsid w:val="00EB000E"/>
    <w:rsid w:val="00EB38EB"/>
    <w:rsid w:val="00EB5255"/>
    <w:rsid w:val="00EB5C47"/>
    <w:rsid w:val="00EB6DA6"/>
    <w:rsid w:val="00ED0639"/>
    <w:rsid w:val="00ED243A"/>
    <w:rsid w:val="00ED2EA6"/>
    <w:rsid w:val="00EE097B"/>
    <w:rsid w:val="00EE35A4"/>
    <w:rsid w:val="00EE3E98"/>
    <w:rsid w:val="00EF1861"/>
    <w:rsid w:val="00EF4755"/>
    <w:rsid w:val="00EF60DF"/>
    <w:rsid w:val="00EF7135"/>
    <w:rsid w:val="00F027DB"/>
    <w:rsid w:val="00F03EC4"/>
    <w:rsid w:val="00F1461D"/>
    <w:rsid w:val="00F14A7A"/>
    <w:rsid w:val="00F14F9C"/>
    <w:rsid w:val="00F16AA2"/>
    <w:rsid w:val="00F22985"/>
    <w:rsid w:val="00F32B32"/>
    <w:rsid w:val="00F3383E"/>
    <w:rsid w:val="00F41357"/>
    <w:rsid w:val="00F45E65"/>
    <w:rsid w:val="00F465A7"/>
    <w:rsid w:val="00F50B7C"/>
    <w:rsid w:val="00F51D37"/>
    <w:rsid w:val="00F532E6"/>
    <w:rsid w:val="00F54010"/>
    <w:rsid w:val="00F5482C"/>
    <w:rsid w:val="00F550E6"/>
    <w:rsid w:val="00F6175B"/>
    <w:rsid w:val="00F72BD4"/>
    <w:rsid w:val="00F74345"/>
    <w:rsid w:val="00F74DF5"/>
    <w:rsid w:val="00F77010"/>
    <w:rsid w:val="00F80A0A"/>
    <w:rsid w:val="00F82B19"/>
    <w:rsid w:val="00F83112"/>
    <w:rsid w:val="00F8586A"/>
    <w:rsid w:val="00F85B6B"/>
    <w:rsid w:val="00F906EC"/>
    <w:rsid w:val="00F9212D"/>
    <w:rsid w:val="00F9503F"/>
    <w:rsid w:val="00F9564C"/>
    <w:rsid w:val="00F95A4E"/>
    <w:rsid w:val="00F965DA"/>
    <w:rsid w:val="00F968BD"/>
    <w:rsid w:val="00FA0D60"/>
    <w:rsid w:val="00FA22BC"/>
    <w:rsid w:val="00FA2512"/>
    <w:rsid w:val="00FA2F8A"/>
    <w:rsid w:val="00FA406A"/>
    <w:rsid w:val="00FA40E4"/>
    <w:rsid w:val="00FA4C85"/>
    <w:rsid w:val="00FA5FAB"/>
    <w:rsid w:val="00FA7E73"/>
    <w:rsid w:val="00FB2073"/>
    <w:rsid w:val="00FB3276"/>
    <w:rsid w:val="00FB503A"/>
    <w:rsid w:val="00FB516C"/>
    <w:rsid w:val="00FC19D7"/>
    <w:rsid w:val="00FC37A0"/>
    <w:rsid w:val="00FD0236"/>
    <w:rsid w:val="00FD18F4"/>
    <w:rsid w:val="00FD441C"/>
    <w:rsid w:val="00FD54DB"/>
    <w:rsid w:val="00FD619F"/>
    <w:rsid w:val="00FE1D13"/>
    <w:rsid w:val="00FF16C3"/>
    <w:rsid w:val="00FF3F61"/>
    <w:rsid w:val="00FF478B"/>
    <w:rsid w:val="00FF5A43"/>
    <w:rsid w:val="0104489F"/>
    <w:rsid w:val="01050F22"/>
    <w:rsid w:val="01062826"/>
    <w:rsid w:val="010A4D14"/>
    <w:rsid w:val="0113099C"/>
    <w:rsid w:val="011329C0"/>
    <w:rsid w:val="011A7F65"/>
    <w:rsid w:val="01290F7E"/>
    <w:rsid w:val="01353C9B"/>
    <w:rsid w:val="01370B15"/>
    <w:rsid w:val="014B738E"/>
    <w:rsid w:val="01552C8F"/>
    <w:rsid w:val="01562B00"/>
    <w:rsid w:val="015A00C9"/>
    <w:rsid w:val="015D1E09"/>
    <w:rsid w:val="01732CED"/>
    <w:rsid w:val="017E78FD"/>
    <w:rsid w:val="018B4581"/>
    <w:rsid w:val="0194674A"/>
    <w:rsid w:val="01AA6C07"/>
    <w:rsid w:val="01AE6C9E"/>
    <w:rsid w:val="01B65B72"/>
    <w:rsid w:val="01BC6CC3"/>
    <w:rsid w:val="01CE0015"/>
    <w:rsid w:val="01CE60EA"/>
    <w:rsid w:val="01ED31DB"/>
    <w:rsid w:val="01F575D0"/>
    <w:rsid w:val="020241A8"/>
    <w:rsid w:val="020F24E6"/>
    <w:rsid w:val="021C74EE"/>
    <w:rsid w:val="023C6351"/>
    <w:rsid w:val="023D4C49"/>
    <w:rsid w:val="023E4F66"/>
    <w:rsid w:val="02431C1C"/>
    <w:rsid w:val="0255125B"/>
    <w:rsid w:val="025F5454"/>
    <w:rsid w:val="02697903"/>
    <w:rsid w:val="02857C60"/>
    <w:rsid w:val="028C54E2"/>
    <w:rsid w:val="02A824AD"/>
    <w:rsid w:val="02AA7B66"/>
    <w:rsid w:val="02D805E3"/>
    <w:rsid w:val="02D93FBF"/>
    <w:rsid w:val="02DD7687"/>
    <w:rsid w:val="02F3256B"/>
    <w:rsid w:val="02F96569"/>
    <w:rsid w:val="03001330"/>
    <w:rsid w:val="03062562"/>
    <w:rsid w:val="03340AC7"/>
    <w:rsid w:val="0338109D"/>
    <w:rsid w:val="034841F1"/>
    <w:rsid w:val="034A0929"/>
    <w:rsid w:val="03526E63"/>
    <w:rsid w:val="03697AD1"/>
    <w:rsid w:val="036A7762"/>
    <w:rsid w:val="03763FC0"/>
    <w:rsid w:val="03800D34"/>
    <w:rsid w:val="03AB1D56"/>
    <w:rsid w:val="03C2759E"/>
    <w:rsid w:val="03C82F65"/>
    <w:rsid w:val="03D67FC1"/>
    <w:rsid w:val="03E53FE7"/>
    <w:rsid w:val="03E7314F"/>
    <w:rsid w:val="03EA7B21"/>
    <w:rsid w:val="040B419E"/>
    <w:rsid w:val="040C1678"/>
    <w:rsid w:val="0410090F"/>
    <w:rsid w:val="041A1AD7"/>
    <w:rsid w:val="04245B63"/>
    <w:rsid w:val="04285B50"/>
    <w:rsid w:val="042B576D"/>
    <w:rsid w:val="042D5FCF"/>
    <w:rsid w:val="043C1D28"/>
    <w:rsid w:val="043D1975"/>
    <w:rsid w:val="04743FA1"/>
    <w:rsid w:val="04793EC6"/>
    <w:rsid w:val="047A0A2A"/>
    <w:rsid w:val="047E366C"/>
    <w:rsid w:val="04941AEE"/>
    <w:rsid w:val="049E38A8"/>
    <w:rsid w:val="049F24E9"/>
    <w:rsid w:val="04A30B33"/>
    <w:rsid w:val="04D07A99"/>
    <w:rsid w:val="04D342A7"/>
    <w:rsid w:val="04D4244D"/>
    <w:rsid w:val="04DF5BFC"/>
    <w:rsid w:val="04FA5F95"/>
    <w:rsid w:val="05015EA4"/>
    <w:rsid w:val="05097981"/>
    <w:rsid w:val="05162727"/>
    <w:rsid w:val="05192324"/>
    <w:rsid w:val="051C4A8C"/>
    <w:rsid w:val="05241B93"/>
    <w:rsid w:val="05244B26"/>
    <w:rsid w:val="0527431C"/>
    <w:rsid w:val="052D7D8E"/>
    <w:rsid w:val="054327B3"/>
    <w:rsid w:val="054E4737"/>
    <w:rsid w:val="055050EC"/>
    <w:rsid w:val="055E3F94"/>
    <w:rsid w:val="056F23F1"/>
    <w:rsid w:val="05785892"/>
    <w:rsid w:val="05903AC7"/>
    <w:rsid w:val="059246F3"/>
    <w:rsid w:val="059B08AD"/>
    <w:rsid w:val="059B35F0"/>
    <w:rsid w:val="059C6D06"/>
    <w:rsid w:val="05A37CA9"/>
    <w:rsid w:val="05A57228"/>
    <w:rsid w:val="05B17973"/>
    <w:rsid w:val="05BA2F88"/>
    <w:rsid w:val="05CB4645"/>
    <w:rsid w:val="05E2743F"/>
    <w:rsid w:val="05E27579"/>
    <w:rsid w:val="05E459BB"/>
    <w:rsid w:val="05EE467B"/>
    <w:rsid w:val="05F07BDA"/>
    <w:rsid w:val="05F83EAE"/>
    <w:rsid w:val="06086304"/>
    <w:rsid w:val="06251CB1"/>
    <w:rsid w:val="063E7D85"/>
    <w:rsid w:val="065639E3"/>
    <w:rsid w:val="06783E34"/>
    <w:rsid w:val="067A7DBD"/>
    <w:rsid w:val="06882281"/>
    <w:rsid w:val="06966CC5"/>
    <w:rsid w:val="06983515"/>
    <w:rsid w:val="069C4BAE"/>
    <w:rsid w:val="06A12A3F"/>
    <w:rsid w:val="06A7664A"/>
    <w:rsid w:val="06BC5543"/>
    <w:rsid w:val="06C1122A"/>
    <w:rsid w:val="06CB0518"/>
    <w:rsid w:val="06D619E5"/>
    <w:rsid w:val="06E05013"/>
    <w:rsid w:val="06F123FF"/>
    <w:rsid w:val="06FA79C7"/>
    <w:rsid w:val="07083707"/>
    <w:rsid w:val="07096175"/>
    <w:rsid w:val="070E664D"/>
    <w:rsid w:val="071A2341"/>
    <w:rsid w:val="071D38EA"/>
    <w:rsid w:val="071E5C62"/>
    <w:rsid w:val="07226686"/>
    <w:rsid w:val="07293586"/>
    <w:rsid w:val="07295285"/>
    <w:rsid w:val="07427EA2"/>
    <w:rsid w:val="074C7B58"/>
    <w:rsid w:val="07520C39"/>
    <w:rsid w:val="07523450"/>
    <w:rsid w:val="075410AD"/>
    <w:rsid w:val="07607F78"/>
    <w:rsid w:val="07636392"/>
    <w:rsid w:val="076B6F9C"/>
    <w:rsid w:val="076F3599"/>
    <w:rsid w:val="07770C56"/>
    <w:rsid w:val="077A4850"/>
    <w:rsid w:val="078628A5"/>
    <w:rsid w:val="078F2171"/>
    <w:rsid w:val="07967786"/>
    <w:rsid w:val="079F6A45"/>
    <w:rsid w:val="07A43B52"/>
    <w:rsid w:val="07AB35ED"/>
    <w:rsid w:val="07C218AA"/>
    <w:rsid w:val="07C24BDF"/>
    <w:rsid w:val="07D1497E"/>
    <w:rsid w:val="07D57FFA"/>
    <w:rsid w:val="07D86EF1"/>
    <w:rsid w:val="07E542CE"/>
    <w:rsid w:val="08403DF8"/>
    <w:rsid w:val="08585DDB"/>
    <w:rsid w:val="08680181"/>
    <w:rsid w:val="086F65BE"/>
    <w:rsid w:val="0877206C"/>
    <w:rsid w:val="087C32C1"/>
    <w:rsid w:val="08845130"/>
    <w:rsid w:val="08861A86"/>
    <w:rsid w:val="089271BB"/>
    <w:rsid w:val="0897495F"/>
    <w:rsid w:val="089C1771"/>
    <w:rsid w:val="08A920EC"/>
    <w:rsid w:val="08B64D9E"/>
    <w:rsid w:val="08BE7D7E"/>
    <w:rsid w:val="08CD6049"/>
    <w:rsid w:val="08CD77B7"/>
    <w:rsid w:val="08D2116D"/>
    <w:rsid w:val="08D4738B"/>
    <w:rsid w:val="08DF54EB"/>
    <w:rsid w:val="08E753B1"/>
    <w:rsid w:val="08F54F04"/>
    <w:rsid w:val="09171889"/>
    <w:rsid w:val="092217DD"/>
    <w:rsid w:val="092263E9"/>
    <w:rsid w:val="093A7294"/>
    <w:rsid w:val="093D455B"/>
    <w:rsid w:val="093F1C38"/>
    <w:rsid w:val="094425CE"/>
    <w:rsid w:val="096B14AE"/>
    <w:rsid w:val="09776735"/>
    <w:rsid w:val="098737D9"/>
    <w:rsid w:val="098E0D0B"/>
    <w:rsid w:val="098F41C8"/>
    <w:rsid w:val="09A11DAA"/>
    <w:rsid w:val="09A64D6B"/>
    <w:rsid w:val="09B338C1"/>
    <w:rsid w:val="09BF46A7"/>
    <w:rsid w:val="09CA4D1C"/>
    <w:rsid w:val="09CD72EE"/>
    <w:rsid w:val="09E1792E"/>
    <w:rsid w:val="09E64ED3"/>
    <w:rsid w:val="09E73716"/>
    <w:rsid w:val="09EB2D60"/>
    <w:rsid w:val="09EE2A35"/>
    <w:rsid w:val="09F16D93"/>
    <w:rsid w:val="09F22415"/>
    <w:rsid w:val="0A00526F"/>
    <w:rsid w:val="0A17079C"/>
    <w:rsid w:val="0A2301F9"/>
    <w:rsid w:val="0A2515A2"/>
    <w:rsid w:val="0A263993"/>
    <w:rsid w:val="0A2D3AC2"/>
    <w:rsid w:val="0A521502"/>
    <w:rsid w:val="0A552162"/>
    <w:rsid w:val="0A907AB6"/>
    <w:rsid w:val="0A941DCC"/>
    <w:rsid w:val="0A9C6C24"/>
    <w:rsid w:val="0A9D0686"/>
    <w:rsid w:val="0AA755DF"/>
    <w:rsid w:val="0AA94D7B"/>
    <w:rsid w:val="0AAB27B8"/>
    <w:rsid w:val="0AAC20D0"/>
    <w:rsid w:val="0AB253FA"/>
    <w:rsid w:val="0ABD5529"/>
    <w:rsid w:val="0AC8394F"/>
    <w:rsid w:val="0ACD15DD"/>
    <w:rsid w:val="0AD57BB7"/>
    <w:rsid w:val="0ADE12BE"/>
    <w:rsid w:val="0B120D44"/>
    <w:rsid w:val="0B2220C4"/>
    <w:rsid w:val="0B253C0E"/>
    <w:rsid w:val="0B36413A"/>
    <w:rsid w:val="0B4103B8"/>
    <w:rsid w:val="0B4767AA"/>
    <w:rsid w:val="0B4D153D"/>
    <w:rsid w:val="0B4D55A3"/>
    <w:rsid w:val="0B530234"/>
    <w:rsid w:val="0B5A482D"/>
    <w:rsid w:val="0B5C5323"/>
    <w:rsid w:val="0B6158EF"/>
    <w:rsid w:val="0B635AAF"/>
    <w:rsid w:val="0B684866"/>
    <w:rsid w:val="0B695524"/>
    <w:rsid w:val="0B6B4073"/>
    <w:rsid w:val="0B6F3216"/>
    <w:rsid w:val="0B736BDE"/>
    <w:rsid w:val="0B776C1D"/>
    <w:rsid w:val="0B9F65A0"/>
    <w:rsid w:val="0BB73EDD"/>
    <w:rsid w:val="0BBB7238"/>
    <w:rsid w:val="0BC96FE7"/>
    <w:rsid w:val="0BD035A3"/>
    <w:rsid w:val="0BD27BF6"/>
    <w:rsid w:val="0BE23F55"/>
    <w:rsid w:val="0BEB0839"/>
    <w:rsid w:val="0BED0614"/>
    <w:rsid w:val="0BF11E06"/>
    <w:rsid w:val="0BF136C8"/>
    <w:rsid w:val="0BF2484F"/>
    <w:rsid w:val="0BF53363"/>
    <w:rsid w:val="0C01418B"/>
    <w:rsid w:val="0C154C72"/>
    <w:rsid w:val="0C261F87"/>
    <w:rsid w:val="0C280C26"/>
    <w:rsid w:val="0C307985"/>
    <w:rsid w:val="0C33224E"/>
    <w:rsid w:val="0C3B3C7D"/>
    <w:rsid w:val="0C447A21"/>
    <w:rsid w:val="0C485BF0"/>
    <w:rsid w:val="0C534FC8"/>
    <w:rsid w:val="0C61437A"/>
    <w:rsid w:val="0C845CBB"/>
    <w:rsid w:val="0C9152FC"/>
    <w:rsid w:val="0C9B0AAC"/>
    <w:rsid w:val="0CAB2EAE"/>
    <w:rsid w:val="0CC647E4"/>
    <w:rsid w:val="0CDF3CDE"/>
    <w:rsid w:val="0CE606E0"/>
    <w:rsid w:val="0CFD2764"/>
    <w:rsid w:val="0D093C06"/>
    <w:rsid w:val="0D164A8D"/>
    <w:rsid w:val="0D1F5CC7"/>
    <w:rsid w:val="0D226789"/>
    <w:rsid w:val="0D2A511F"/>
    <w:rsid w:val="0D314E4B"/>
    <w:rsid w:val="0D32038A"/>
    <w:rsid w:val="0D381BF9"/>
    <w:rsid w:val="0D3F2E7B"/>
    <w:rsid w:val="0D40092C"/>
    <w:rsid w:val="0D425653"/>
    <w:rsid w:val="0D500A66"/>
    <w:rsid w:val="0D560DA7"/>
    <w:rsid w:val="0D621C7D"/>
    <w:rsid w:val="0D6B156C"/>
    <w:rsid w:val="0D6D6F31"/>
    <w:rsid w:val="0D9E0B2F"/>
    <w:rsid w:val="0DA742F5"/>
    <w:rsid w:val="0DB11139"/>
    <w:rsid w:val="0DE97111"/>
    <w:rsid w:val="0DEB19DA"/>
    <w:rsid w:val="0DFB43F4"/>
    <w:rsid w:val="0E047F21"/>
    <w:rsid w:val="0E181382"/>
    <w:rsid w:val="0E3B02ED"/>
    <w:rsid w:val="0E44763D"/>
    <w:rsid w:val="0E4548E4"/>
    <w:rsid w:val="0E572FD9"/>
    <w:rsid w:val="0E5E6115"/>
    <w:rsid w:val="0E6207EF"/>
    <w:rsid w:val="0E6503E6"/>
    <w:rsid w:val="0E6C0D3C"/>
    <w:rsid w:val="0E73034D"/>
    <w:rsid w:val="0E803C07"/>
    <w:rsid w:val="0E8529F3"/>
    <w:rsid w:val="0E8E6F27"/>
    <w:rsid w:val="0E925DBF"/>
    <w:rsid w:val="0E952237"/>
    <w:rsid w:val="0E962A27"/>
    <w:rsid w:val="0EAF2E68"/>
    <w:rsid w:val="0EB366F4"/>
    <w:rsid w:val="0EBE1D5D"/>
    <w:rsid w:val="0ECE759D"/>
    <w:rsid w:val="0ED4600A"/>
    <w:rsid w:val="0ED51EBD"/>
    <w:rsid w:val="0ED90715"/>
    <w:rsid w:val="0EDA59CA"/>
    <w:rsid w:val="0EE20AF5"/>
    <w:rsid w:val="0EF935B0"/>
    <w:rsid w:val="0F0A2138"/>
    <w:rsid w:val="0F13775A"/>
    <w:rsid w:val="0F1F5CA4"/>
    <w:rsid w:val="0F3D26D8"/>
    <w:rsid w:val="0F40133B"/>
    <w:rsid w:val="0F464449"/>
    <w:rsid w:val="0F4F76A4"/>
    <w:rsid w:val="0F5558E9"/>
    <w:rsid w:val="0F597DAF"/>
    <w:rsid w:val="0F5F45FE"/>
    <w:rsid w:val="0F6D05A8"/>
    <w:rsid w:val="0F7A7415"/>
    <w:rsid w:val="0F8A55C9"/>
    <w:rsid w:val="0F9A112B"/>
    <w:rsid w:val="0F9A6FD8"/>
    <w:rsid w:val="0FA5026E"/>
    <w:rsid w:val="0FA87712"/>
    <w:rsid w:val="0FC3194F"/>
    <w:rsid w:val="0FC343BC"/>
    <w:rsid w:val="0FC45DC4"/>
    <w:rsid w:val="0FCA1ABD"/>
    <w:rsid w:val="0FEB1C2B"/>
    <w:rsid w:val="0FF54858"/>
    <w:rsid w:val="0FFC1742"/>
    <w:rsid w:val="0FFD4423"/>
    <w:rsid w:val="101363C6"/>
    <w:rsid w:val="101B27F4"/>
    <w:rsid w:val="102609E2"/>
    <w:rsid w:val="102C54D9"/>
    <w:rsid w:val="103E0CC5"/>
    <w:rsid w:val="103F5AE5"/>
    <w:rsid w:val="104A5DBA"/>
    <w:rsid w:val="105570A4"/>
    <w:rsid w:val="10581C5B"/>
    <w:rsid w:val="106A48A6"/>
    <w:rsid w:val="106D2F64"/>
    <w:rsid w:val="107048C7"/>
    <w:rsid w:val="107C0D77"/>
    <w:rsid w:val="107D5628"/>
    <w:rsid w:val="10853B00"/>
    <w:rsid w:val="1087158C"/>
    <w:rsid w:val="108E6806"/>
    <w:rsid w:val="10916A43"/>
    <w:rsid w:val="10B36BDF"/>
    <w:rsid w:val="10B63710"/>
    <w:rsid w:val="10B71B0D"/>
    <w:rsid w:val="10BD6158"/>
    <w:rsid w:val="10C25051"/>
    <w:rsid w:val="10C81313"/>
    <w:rsid w:val="10CA312F"/>
    <w:rsid w:val="10CD7873"/>
    <w:rsid w:val="10D360C6"/>
    <w:rsid w:val="10E07FDD"/>
    <w:rsid w:val="10E12DA8"/>
    <w:rsid w:val="10E27857"/>
    <w:rsid w:val="10EE47E1"/>
    <w:rsid w:val="10EF23AF"/>
    <w:rsid w:val="10F10820"/>
    <w:rsid w:val="10F10D1C"/>
    <w:rsid w:val="10FC3CF2"/>
    <w:rsid w:val="11001706"/>
    <w:rsid w:val="11094FBB"/>
    <w:rsid w:val="111C2F7A"/>
    <w:rsid w:val="111C7C16"/>
    <w:rsid w:val="11461CB7"/>
    <w:rsid w:val="114C6BD9"/>
    <w:rsid w:val="1157181C"/>
    <w:rsid w:val="11665CA1"/>
    <w:rsid w:val="11785F25"/>
    <w:rsid w:val="11802272"/>
    <w:rsid w:val="1185790C"/>
    <w:rsid w:val="11992758"/>
    <w:rsid w:val="119C412E"/>
    <w:rsid w:val="11A16A45"/>
    <w:rsid w:val="11A212DE"/>
    <w:rsid w:val="11BE4A5A"/>
    <w:rsid w:val="11CE1522"/>
    <w:rsid w:val="11E92DBD"/>
    <w:rsid w:val="11EA6241"/>
    <w:rsid w:val="11ED12D4"/>
    <w:rsid w:val="11EE0831"/>
    <w:rsid w:val="120E0F94"/>
    <w:rsid w:val="12107727"/>
    <w:rsid w:val="123062A5"/>
    <w:rsid w:val="124F0CE2"/>
    <w:rsid w:val="12677CA7"/>
    <w:rsid w:val="12752BD6"/>
    <w:rsid w:val="12863E8D"/>
    <w:rsid w:val="12911462"/>
    <w:rsid w:val="129C2E5B"/>
    <w:rsid w:val="12A06803"/>
    <w:rsid w:val="12B34FE4"/>
    <w:rsid w:val="12B75405"/>
    <w:rsid w:val="12B94ED8"/>
    <w:rsid w:val="12C1040A"/>
    <w:rsid w:val="12D34A4C"/>
    <w:rsid w:val="12D876BB"/>
    <w:rsid w:val="12DD4714"/>
    <w:rsid w:val="12E25268"/>
    <w:rsid w:val="12F45F4B"/>
    <w:rsid w:val="12FC3475"/>
    <w:rsid w:val="130611B7"/>
    <w:rsid w:val="130B0E79"/>
    <w:rsid w:val="130E5059"/>
    <w:rsid w:val="1310343B"/>
    <w:rsid w:val="132468BA"/>
    <w:rsid w:val="134028B9"/>
    <w:rsid w:val="1341677D"/>
    <w:rsid w:val="1356560D"/>
    <w:rsid w:val="135A67E0"/>
    <w:rsid w:val="135B2690"/>
    <w:rsid w:val="135E54B7"/>
    <w:rsid w:val="13653AA2"/>
    <w:rsid w:val="13734411"/>
    <w:rsid w:val="137A4050"/>
    <w:rsid w:val="13951726"/>
    <w:rsid w:val="13A4534E"/>
    <w:rsid w:val="13A454A5"/>
    <w:rsid w:val="13A567C1"/>
    <w:rsid w:val="13B011C1"/>
    <w:rsid w:val="13B45FCE"/>
    <w:rsid w:val="13BB3745"/>
    <w:rsid w:val="13C73303"/>
    <w:rsid w:val="13E12B89"/>
    <w:rsid w:val="13EB1F29"/>
    <w:rsid w:val="13FD1F2D"/>
    <w:rsid w:val="140F2B0D"/>
    <w:rsid w:val="141254DF"/>
    <w:rsid w:val="14193684"/>
    <w:rsid w:val="14217ED8"/>
    <w:rsid w:val="14250267"/>
    <w:rsid w:val="1427497D"/>
    <w:rsid w:val="142F0221"/>
    <w:rsid w:val="14396509"/>
    <w:rsid w:val="1446202E"/>
    <w:rsid w:val="144E3F05"/>
    <w:rsid w:val="1457788F"/>
    <w:rsid w:val="145D4D68"/>
    <w:rsid w:val="14622C47"/>
    <w:rsid w:val="14733F9D"/>
    <w:rsid w:val="1474673F"/>
    <w:rsid w:val="1476520D"/>
    <w:rsid w:val="147C45D4"/>
    <w:rsid w:val="147D1830"/>
    <w:rsid w:val="14A04AA9"/>
    <w:rsid w:val="14AC46B5"/>
    <w:rsid w:val="14AF01EF"/>
    <w:rsid w:val="14B7771F"/>
    <w:rsid w:val="14C12607"/>
    <w:rsid w:val="14C14846"/>
    <w:rsid w:val="14CA2EEF"/>
    <w:rsid w:val="14CF6312"/>
    <w:rsid w:val="14DA3A98"/>
    <w:rsid w:val="14DD2C3C"/>
    <w:rsid w:val="14E66B52"/>
    <w:rsid w:val="14E80BAF"/>
    <w:rsid w:val="14E83677"/>
    <w:rsid w:val="14F46F25"/>
    <w:rsid w:val="150A01A8"/>
    <w:rsid w:val="150F1F18"/>
    <w:rsid w:val="151374A4"/>
    <w:rsid w:val="1526348C"/>
    <w:rsid w:val="15410D79"/>
    <w:rsid w:val="15476DC9"/>
    <w:rsid w:val="154C156B"/>
    <w:rsid w:val="155129EC"/>
    <w:rsid w:val="15520056"/>
    <w:rsid w:val="155C20CE"/>
    <w:rsid w:val="15616E18"/>
    <w:rsid w:val="156B73DA"/>
    <w:rsid w:val="15725639"/>
    <w:rsid w:val="157E5D12"/>
    <w:rsid w:val="158228B5"/>
    <w:rsid w:val="15B1127C"/>
    <w:rsid w:val="15BF7896"/>
    <w:rsid w:val="15C824EE"/>
    <w:rsid w:val="15D55F4B"/>
    <w:rsid w:val="15E017B4"/>
    <w:rsid w:val="15E433A4"/>
    <w:rsid w:val="15F11642"/>
    <w:rsid w:val="15F83092"/>
    <w:rsid w:val="16044542"/>
    <w:rsid w:val="16087E1D"/>
    <w:rsid w:val="161522E3"/>
    <w:rsid w:val="161C396F"/>
    <w:rsid w:val="162661BF"/>
    <w:rsid w:val="162B5B89"/>
    <w:rsid w:val="162E5D6A"/>
    <w:rsid w:val="16356B14"/>
    <w:rsid w:val="163D66D0"/>
    <w:rsid w:val="164823DD"/>
    <w:rsid w:val="164F79D1"/>
    <w:rsid w:val="165D5936"/>
    <w:rsid w:val="165F10AC"/>
    <w:rsid w:val="166434F9"/>
    <w:rsid w:val="166A21D8"/>
    <w:rsid w:val="166E19A0"/>
    <w:rsid w:val="16700802"/>
    <w:rsid w:val="16724B5F"/>
    <w:rsid w:val="1682734C"/>
    <w:rsid w:val="168343B9"/>
    <w:rsid w:val="16907088"/>
    <w:rsid w:val="169357E2"/>
    <w:rsid w:val="169E7CC4"/>
    <w:rsid w:val="16AB019A"/>
    <w:rsid w:val="16B42E4D"/>
    <w:rsid w:val="16CF0849"/>
    <w:rsid w:val="16CF51DA"/>
    <w:rsid w:val="16EA68AC"/>
    <w:rsid w:val="16F50132"/>
    <w:rsid w:val="16FF17EB"/>
    <w:rsid w:val="170556EF"/>
    <w:rsid w:val="17057D5A"/>
    <w:rsid w:val="170E36F0"/>
    <w:rsid w:val="17283764"/>
    <w:rsid w:val="1729018C"/>
    <w:rsid w:val="172E618A"/>
    <w:rsid w:val="17362B2A"/>
    <w:rsid w:val="173E77A1"/>
    <w:rsid w:val="17494DEC"/>
    <w:rsid w:val="174E6D9B"/>
    <w:rsid w:val="17570732"/>
    <w:rsid w:val="17701D14"/>
    <w:rsid w:val="17735226"/>
    <w:rsid w:val="1778694E"/>
    <w:rsid w:val="177A7AF8"/>
    <w:rsid w:val="1783046A"/>
    <w:rsid w:val="178B26DA"/>
    <w:rsid w:val="178B2A47"/>
    <w:rsid w:val="17973D0C"/>
    <w:rsid w:val="17990B8C"/>
    <w:rsid w:val="17A02BEC"/>
    <w:rsid w:val="17C0574B"/>
    <w:rsid w:val="17DC1F43"/>
    <w:rsid w:val="17E17B56"/>
    <w:rsid w:val="17EE11EA"/>
    <w:rsid w:val="18063D42"/>
    <w:rsid w:val="18104592"/>
    <w:rsid w:val="18163B97"/>
    <w:rsid w:val="181F6EC6"/>
    <w:rsid w:val="18251A52"/>
    <w:rsid w:val="182E0907"/>
    <w:rsid w:val="183700AD"/>
    <w:rsid w:val="184A1EC4"/>
    <w:rsid w:val="184E755E"/>
    <w:rsid w:val="18506E92"/>
    <w:rsid w:val="18511A82"/>
    <w:rsid w:val="1864285E"/>
    <w:rsid w:val="18683488"/>
    <w:rsid w:val="186B26C9"/>
    <w:rsid w:val="186F1756"/>
    <w:rsid w:val="189F624C"/>
    <w:rsid w:val="18A5147C"/>
    <w:rsid w:val="18B40CAF"/>
    <w:rsid w:val="18CE1ABE"/>
    <w:rsid w:val="18DF7C27"/>
    <w:rsid w:val="18E13DDD"/>
    <w:rsid w:val="18E60D77"/>
    <w:rsid w:val="191B0FB0"/>
    <w:rsid w:val="192D2295"/>
    <w:rsid w:val="19307256"/>
    <w:rsid w:val="194904B6"/>
    <w:rsid w:val="19535141"/>
    <w:rsid w:val="195C2386"/>
    <w:rsid w:val="196E487B"/>
    <w:rsid w:val="196E5073"/>
    <w:rsid w:val="196F567B"/>
    <w:rsid w:val="19792055"/>
    <w:rsid w:val="198F5C7F"/>
    <w:rsid w:val="19A52E59"/>
    <w:rsid w:val="19AC29B3"/>
    <w:rsid w:val="19AE689D"/>
    <w:rsid w:val="19BC0B5C"/>
    <w:rsid w:val="19C93CEE"/>
    <w:rsid w:val="19CC77A8"/>
    <w:rsid w:val="19DE5320"/>
    <w:rsid w:val="19EE42E5"/>
    <w:rsid w:val="19F130D6"/>
    <w:rsid w:val="1A004525"/>
    <w:rsid w:val="1A060CC4"/>
    <w:rsid w:val="1A1B4EBB"/>
    <w:rsid w:val="1A1C66C0"/>
    <w:rsid w:val="1A245CB0"/>
    <w:rsid w:val="1A253F8B"/>
    <w:rsid w:val="1A2C068F"/>
    <w:rsid w:val="1A2D5236"/>
    <w:rsid w:val="1A3348FA"/>
    <w:rsid w:val="1A3A27BE"/>
    <w:rsid w:val="1A42393B"/>
    <w:rsid w:val="1A491FFE"/>
    <w:rsid w:val="1A493726"/>
    <w:rsid w:val="1A493F34"/>
    <w:rsid w:val="1A5F6BFE"/>
    <w:rsid w:val="1A643F56"/>
    <w:rsid w:val="1A6B015E"/>
    <w:rsid w:val="1A7813D2"/>
    <w:rsid w:val="1A8840B8"/>
    <w:rsid w:val="1A907685"/>
    <w:rsid w:val="1AA13BAB"/>
    <w:rsid w:val="1AA47422"/>
    <w:rsid w:val="1AAD45DE"/>
    <w:rsid w:val="1ABC601A"/>
    <w:rsid w:val="1AE46D66"/>
    <w:rsid w:val="1AED4513"/>
    <w:rsid w:val="1AF80D87"/>
    <w:rsid w:val="1B046F80"/>
    <w:rsid w:val="1B0937EE"/>
    <w:rsid w:val="1B0F0FC9"/>
    <w:rsid w:val="1B146AEA"/>
    <w:rsid w:val="1B156EAD"/>
    <w:rsid w:val="1B215094"/>
    <w:rsid w:val="1B221486"/>
    <w:rsid w:val="1B2B1EFD"/>
    <w:rsid w:val="1B302CF8"/>
    <w:rsid w:val="1B3267B5"/>
    <w:rsid w:val="1B3E70B3"/>
    <w:rsid w:val="1B40161D"/>
    <w:rsid w:val="1B441859"/>
    <w:rsid w:val="1B601A68"/>
    <w:rsid w:val="1B6606B1"/>
    <w:rsid w:val="1B6E1451"/>
    <w:rsid w:val="1B723B41"/>
    <w:rsid w:val="1B784AAE"/>
    <w:rsid w:val="1B8362D7"/>
    <w:rsid w:val="1B8A72BF"/>
    <w:rsid w:val="1BAF1E25"/>
    <w:rsid w:val="1BB26E99"/>
    <w:rsid w:val="1BCA2078"/>
    <w:rsid w:val="1BCE259E"/>
    <w:rsid w:val="1BD80F9A"/>
    <w:rsid w:val="1BF06E94"/>
    <w:rsid w:val="1C3C0BFC"/>
    <w:rsid w:val="1C400BBA"/>
    <w:rsid w:val="1C4050AC"/>
    <w:rsid w:val="1C414D99"/>
    <w:rsid w:val="1C4F677C"/>
    <w:rsid w:val="1C5E7925"/>
    <w:rsid w:val="1C675895"/>
    <w:rsid w:val="1C722DF9"/>
    <w:rsid w:val="1C723B5F"/>
    <w:rsid w:val="1C7D2A7E"/>
    <w:rsid w:val="1C8B38FD"/>
    <w:rsid w:val="1C8C7FE8"/>
    <w:rsid w:val="1C9E406E"/>
    <w:rsid w:val="1CA0499E"/>
    <w:rsid w:val="1CA663C1"/>
    <w:rsid w:val="1CA826E6"/>
    <w:rsid w:val="1CB258D2"/>
    <w:rsid w:val="1CB671EA"/>
    <w:rsid w:val="1CB87339"/>
    <w:rsid w:val="1CC41337"/>
    <w:rsid w:val="1CC4362C"/>
    <w:rsid w:val="1CD5567F"/>
    <w:rsid w:val="1CD60DAC"/>
    <w:rsid w:val="1CE41049"/>
    <w:rsid w:val="1CEE7870"/>
    <w:rsid w:val="1CF83389"/>
    <w:rsid w:val="1CFD070F"/>
    <w:rsid w:val="1CFE38CA"/>
    <w:rsid w:val="1D1E3A9A"/>
    <w:rsid w:val="1D2174BA"/>
    <w:rsid w:val="1D222407"/>
    <w:rsid w:val="1D230DBB"/>
    <w:rsid w:val="1D2A6CAF"/>
    <w:rsid w:val="1D3261CF"/>
    <w:rsid w:val="1D4979BF"/>
    <w:rsid w:val="1D511EF5"/>
    <w:rsid w:val="1D5A62F8"/>
    <w:rsid w:val="1D5F6196"/>
    <w:rsid w:val="1D6132A5"/>
    <w:rsid w:val="1D67718B"/>
    <w:rsid w:val="1D715F82"/>
    <w:rsid w:val="1D7E2595"/>
    <w:rsid w:val="1D843E12"/>
    <w:rsid w:val="1D865774"/>
    <w:rsid w:val="1D8A7B33"/>
    <w:rsid w:val="1D8E56D5"/>
    <w:rsid w:val="1DB54E0A"/>
    <w:rsid w:val="1DBE2158"/>
    <w:rsid w:val="1DC763DA"/>
    <w:rsid w:val="1DDF50AF"/>
    <w:rsid w:val="1DEA52D0"/>
    <w:rsid w:val="1DEE5F29"/>
    <w:rsid w:val="1DF328FF"/>
    <w:rsid w:val="1DF6363A"/>
    <w:rsid w:val="1E045065"/>
    <w:rsid w:val="1E1A76E0"/>
    <w:rsid w:val="1E2626FA"/>
    <w:rsid w:val="1E3C0198"/>
    <w:rsid w:val="1E440104"/>
    <w:rsid w:val="1E476752"/>
    <w:rsid w:val="1E5A6545"/>
    <w:rsid w:val="1E706C30"/>
    <w:rsid w:val="1E7A43DA"/>
    <w:rsid w:val="1E876702"/>
    <w:rsid w:val="1E97639C"/>
    <w:rsid w:val="1E9C2236"/>
    <w:rsid w:val="1EA9662E"/>
    <w:rsid w:val="1ED532AA"/>
    <w:rsid w:val="1EE62EDA"/>
    <w:rsid w:val="1EEB636D"/>
    <w:rsid w:val="1EEF7A66"/>
    <w:rsid w:val="1EF35F08"/>
    <w:rsid w:val="1EF72ED2"/>
    <w:rsid w:val="1EF73EE6"/>
    <w:rsid w:val="1EFA36D8"/>
    <w:rsid w:val="1EFB2589"/>
    <w:rsid w:val="1F0A0A00"/>
    <w:rsid w:val="1F1021A7"/>
    <w:rsid w:val="1F1B0E9F"/>
    <w:rsid w:val="1F1E3AB9"/>
    <w:rsid w:val="1F22659B"/>
    <w:rsid w:val="1F256496"/>
    <w:rsid w:val="1F284714"/>
    <w:rsid w:val="1F300ED6"/>
    <w:rsid w:val="1F31398A"/>
    <w:rsid w:val="1F3273C0"/>
    <w:rsid w:val="1F337114"/>
    <w:rsid w:val="1F4B7FF0"/>
    <w:rsid w:val="1F542E91"/>
    <w:rsid w:val="1F5A0FCE"/>
    <w:rsid w:val="1FC0211F"/>
    <w:rsid w:val="1FD17792"/>
    <w:rsid w:val="1FE7539E"/>
    <w:rsid w:val="1FF87AA7"/>
    <w:rsid w:val="201725C8"/>
    <w:rsid w:val="203E1903"/>
    <w:rsid w:val="204F2D11"/>
    <w:rsid w:val="20567C7F"/>
    <w:rsid w:val="20671BE0"/>
    <w:rsid w:val="20694AAF"/>
    <w:rsid w:val="207D2617"/>
    <w:rsid w:val="208D7B59"/>
    <w:rsid w:val="20963CB8"/>
    <w:rsid w:val="20A81A1B"/>
    <w:rsid w:val="20B07FB6"/>
    <w:rsid w:val="20B646FB"/>
    <w:rsid w:val="20B83463"/>
    <w:rsid w:val="20BE06D8"/>
    <w:rsid w:val="20BE47F3"/>
    <w:rsid w:val="20C01A3F"/>
    <w:rsid w:val="20C25E13"/>
    <w:rsid w:val="20C55B80"/>
    <w:rsid w:val="20F93D9E"/>
    <w:rsid w:val="20F97D0C"/>
    <w:rsid w:val="20FC1D82"/>
    <w:rsid w:val="20FD69AC"/>
    <w:rsid w:val="21086CE8"/>
    <w:rsid w:val="211759E9"/>
    <w:rsid w:val="21232154"/>
    <w:rsid w:val="212A1ADD"/>
    <w:rsid w:val="213B74B1"/>
    <w:rsid w:val="213E082A"/>
    <w:rsid w:val="213E2B12"/>
    <w:rsid w:val="21564231"/>
    <w:rsid w:val="215801C5"/>
    <w:rsid w:val="215817BF"/>
    <w:rsid w:val="215A2310"/>
    <w:rsid w:val="215E2C7F"/>
    <w:rsid w:val="216271ED"/>
    <w:rsid w:val="216E3D9F"/>
    <w:rsid w:val="218076FC"/>
    <w:rsid w:val="21870D9B"/>
    <w:rsid w:val="21B027D1"/>
    <w:rsid w:val="21D06446"/>
    <w:rsid w:val="21D720BD"/>
    <w:rsid w:val="21D74A37"/>
    <w:rsid w:val="21DC4709"/>
    <w:rsid w:val="21DE318A"/>
    <w:rsid w:val="21EB4251"/>
    <w:rsid w:val="21ED2B8B"/>
    <w:rsid w:val="21EF5B80"/>
    <w:rsid w:val="21F005F2"/>
    <w:rsid w:val="21F438A1"/>
    <w:rsid w:val="21F5190C"/>
    <w:rsid w:val="21F54765"/>
    <w:rsid w:val="21FC6348"/>
    <w:rsid w:val="22021100"/>
    <w:rsid w:val="222D439C"/>
    <w:rsid w:val="224253F0"/>
    <w:rsid w:val="22576990"/>
    <w:rsid w:val="22620574"/>
    <w:rsid w:val="226B0AF4"/>
    <w:rsid w:val="22800532"/>
    <w:rsid w:val="22913C9C"/>
    <w:rsid w:val="22954500"/>
    <w:rsid w:val="22970C19"/>
    <w:rsid w:val="22A31F01"/>
    <w:rsid w:val="22AE2735"/>
    <w:rsid w:val="22B60790"/>
    <w:rsid w:val="22BF6C74"/>
    <w:rsid w:val="22E01BFD"/>
    <w:rsid w:val="22F47480"/>
    <w:rsid w:val="23152DEF"/>
    <w:rsid w:val="232161A5"/>
    <w:rsid w:val="2324123D"/>
    <w:rsid w:val="23397D99"/>
    <w:rsid w:val="234873C5"/>
    <w:rsid w:val="2349249A"/>
    <w:rsid w:val="234D12F5"/>
    <w:rsid w:val="234E0EAD"/>
    <w:rsid w:val="235D2328"/>
    <w:rsid w:val="235F406A"/>
    <w:rsid w:val="236314EC"/>
    <w:rsid w:val="236E72FF"/>
    <w:rsid w:val="23825596"/>
    <w:rsid w:val="238E1879"/>
    <w:rsid w:val="239261A4"/>
    <w:rsid w:val="23936964"/>
    <w:rsid w:val="2397216E"/>
    <w:rsid w:val="23AA3C1B"/>
    <w:rsid w:val="23B65CCF"/>
    <w:rsid w:val="23D76F7B"/>
    <w:rsid w:val="23D77792"/>
    <w:rsid w:val="23DE1C48"/>
    <w:rsid w:val="240210CD"/>
    <w:rsid w:val="240A66CC"/>
    <w:rsid w:val="24146AFA"/>
    <w:rsid w:val="241B47C6"/>
    <w:rsid w:val="24200CA8"/>
    <w:rsid w:val="2420255B"/>
    <w:rsid w:val="24256C70"/>
    <w:rsid w:val="242A0632"/>
    <w:rsid w:val="243274D6"/>
    <w:rsid w:val="24350851"/>
    <w:rsid w:val="24420510"/>
    <w:rsid w:val="24501758"/>
    <w:rsid w:val="245103E7"/>
    <w:rsid w:val="245711E5"/>
    <w:rsid w:val="24602EAF"/>
    <w:rsid w:val="24613E12"/>
    <w:rsid w:val="24636216"/>
    <w:rsid w:val="246378F9"/>
    <w:rsid w:val="246D60B4"/>
    <w:rsid w:val="24797F25"/>
    <w:rsid w:val="24871696"/>
    <w:rsid w:val="249441E7"/>
    <w:rsid w:val="24A73F1B"/>
    <w:rsid w:val="24A96FDF"/>
    <w:rsid w:val="24AD6F94"/>
    <w:rsid w:val="24BC4D30"/>
    <w:rsid w:val="24BF09F7"/>
    <w:rsid w:val="24BF1244"/>
    <w:rsid w:val="24C70119"/>
    <w:rsid w:val="24C828A4"/>
    <w:rsid w:val="24C95869"/>
    <w:rsid w:val="24DB5692"/>
    <w:rsid w:val="24DC57C6"/>
    <w:rsid w:val="24DE4D77"/>
    <w:rsid w:val="24EB5316"/>
    <w:rsid w:val="24EE63D5"/>
    <w:rsid w:val="24F175FB"/>
    <w:rsid w:val="24F64A11"/>
    <w:rsid w:val="25006ED6"/>
    <w:rsid w:val="251B7760"/>
    <w:rsid w:val="252D53FE"/>
    <w:rsid w:val="25357B79"/>
    <w:rsid w:val="253B09F0"/>
    <w:rsid w:val="25453733"/>
    <w:rsid w:val="25582B51"/>
    <w:rsid w:val="255B2F57"/>
    <w:rsid w:val="255B34C4"/>
    <w:rsid w:val="255D0202"/>
    <w:rsid w:val="255D0309"/>
    <w:rsid w:val="256D5B50"/>
    <w:rsid w:val="256F1F7A"/>
    <w:rsid w:val="25766C82"/>
    <w:rsid w:val="2579167C"/>
    <w:rsid w:val="259D23C5"/>
    <w:rsid w:val="25A7008D"/>
    <w:rsid w:val="25BF7D71"/>
    <w:rsid w:val="25C428AA"/>
    <w:rsid w:val="25CB5057"/>
    <w:rsid w:val="25DD1A19"/>
    <w:rsid w:val="25EC2D81"/>
    <w:rsid w:val="260E3B25"/>
    <w:rsid w:val="26152A76"/>
    <w:rsid w:val="2619765D"/>
    <w:rsid w:val="261B5796"/>
    <w:rsid w:val="261C1BC7"/>
    <w:rsid w:val="26203DD3"/>
    <w:rsid w:val="263910C2"/>
    <w:rsid w:val="264B5B5A"/>
    <w:rsid w:val="266F7803"/>
    <w:rsid w:val="26882DD6"/>
    <w:rsid w:val="2689328B"/>
    <w:rsid w:val="269335D7"/>
    <w:rsid w:val="26A11ED8"/>
    <w:rsid w:val="26B45E73"/>
    <w:rsid w:val="26B57469"/>
    <w:rsid w:val="26C303BD"/>
    <w:rsid w:val="26C708A4"/>
    <w:rsid w:val="26CA27A6"/>
    <w:rsid w:val="26E54FFA"/>
    <w:rsid w:val="26FF1A00"/>
    <w:rsid w:val="27060F34"/>
    <w:rsid w:val="27111A35"/>
    <w:rsid w:val="272229F5"/>
    <w:rsid w:val="27295B43"/>
    <w:rsid w:val="272967A7"/>
    <w:rsid w:val="27347AC7"/>
    <w:rsid w:val="27390203"/>
    <w:rsid w:val="273B094A"/>
    <w:rsid w:val="274A5031"/>
    <w:rsid w:val="27564A33"/>
    <w:rsid w:val="275875F0"/>
    <w:rsid w:val="276854B7"/>
    <w:rsid w:val="276E51C4"/>
    <w:rsid w:val="277057A2"/>
    <w:rsid w:val="277318EE"/>
    <w:rsid w:val="27784120"/>
    <w:rsid w:val="27791822"/>
    <w:rsid w:val="277C0833"/>
    <w:rsid w:val="278732A8"/>
    <w:rsid w:val="27882593"/>
    <w:rsid w:val="27895ED4"/>
    <w:rsid w:val="278A0006"/>
    <w:rsid w:val="278B3082"/>
    <w:rsid w:val="27943B5E"/>
    <w:rsid w:val="2799795B"/>
    <w:rsid w:val="279F13B7"/>
    <w:rsid w:val="27AD4264"/>
    <w:rsid w:val="27AE0604"/>
    <w:rsid w:val="27B77A08"/>
    <w:rsid w:val="27CB22DB"/>
    <w:rsid w:val="27E45C4A"/>
    <w:rsid w:val="27F50EC9"/>
    <w:rsid w:val="27FB2429"/>
    <w:rsid w:val="280C69BF"/>
    <w:rsid w:val="280F05BD"/>
    <w:rsid w:val="28150E1C"/>
    <w:rsid w:val="281C13D7"/>
    <w:rsid w:val="282533D4"/>
    <w:rsid w:val="282D1619"/>
    <w:rsid w:val="285700F7"/>
    <w:rsid w:val="285F431F"/>
    <w:rsid w:val="286F5D8A"/>
    <w:rsid w:val="287507EF"/>
    <w:rsid w:val="28810F26"/>
    <w:rsid w:val="28822BB2"/>
    <w:rsid w:val="28957095"/>
    <w:rsid w:val="28A1590B"/>
    <w:rsid w:val="28B937E3"/>
    <w:rsid w:val="28BB2A2E"/>
    <w:rsid w:val="28BC091A"/>
    <w:rsid w:val="28BE53D7"/>
    <w:rsid w:val="28C23795"/>
    <w:rsid w:val="28D97281"/>
    <w:rsid w:val="28F02203"/>
    <w:rsid w:val="28F45345"/>
    <w:rsid w:val="28FB1FB1"/>
    <w:rsid w:val="290707AE"/>
    <w:rsid w:val="290E0D2A"/>
    <w:rsid w:val="291057EC"/>
    <w:rsid w:val="291D00C1"/>
    <w:rsid w:val="29206EB8"/>
    <w:rsid w:val="2924451B"/>
    <w:rsid w:val="29260C46"/>
    <w:rsid w:val="292D3CBF"/>
    <w:rsid w:val="292E6592"/>
    <w:rsid w:val="2930208C"/>
    <w:rsid w:val="29306985"/>
    <w:rsid w:val="294767CC"/>
    <w:rsid w:val="29595666"/>
    <w:rsid w:val="296B2C69"/>
    <w:rsid w:val="29874881"/>
    <w:rsid w:val="298860A7"/>
    <w:rsid w:val="298879B0"/>
    <w:rsid w:val="29C26CF1"/>
    <w:rsid w:val="29C56A53"/>
    <w:rsid w:val="29D04F12"/>
    <w:rsid w:val="29E046F3"/>
    <w:rsid w:val="29E325E0"/>
    <w:rsid w:val="29E36F62"/>
    <w:rsid w:val="29E96BDB"/>
    <w:rsid w:val="29EE03B1"/>
    <w:rsid w:val="29EF60B3"/>
    <w:rsid w:val="2A102D7F"/>
    <w:rsid w:val="2A107423"/>
    <w:rsid w:val="2A112C64"/>
    <w:rsid w:val="2A1658DD"/>
    <w:rsid w:val="2A2859A7"/>
    <w:rsid w:val="2A452503"/>
    <w:rsid w:val="2A46703A"/>
    <w:rsid w:val="2A67039C"/>
    <w:rsid w:val="2A690CDE"/>
    <w:rsid w:val="2A83473D"/>
    <w:rsid w:val="2A8433EF"/>
    <w:rsid w:val="2A8738CE"/>
    <w:rsid w:val="2A89551A"/>
    <w:rsid w:val="2A9C4086"/>
    <w:rsid w:val="2AAE249A"/>
    <w:rsid w:val="2AAF31A4"/>
    <w:rsid w:val="2AB368A2"/>
    <w:rsid w:val="2AB40113"/>
    <w:rsid w:val="2ABD1DC1"/>
    <w:rsid w:val="2ABD408D"/>
    <w:rsid w:val="2AE43066"/>
    <w:rsid w:val="2AF57A7F"/>
    <w:rsid w:val="2B322CFF"/>
    <w:rsid w:val="2B3E78AB"/>
    <w:rsid w:val="2B482055"/>
    <w:rsid w:val="2B601015"/>
    <w:rsid w:val="2B68673A"/>
    <w:rsid w:val="2B6B29C1"/>
    <w:rsid w:val="2B726945"/>
    <w:rsid w:val="2B740D86"/>
    <w:rsid w:val="2B8C5B2D"/>
    <w:rsid w:val="2B984315"/>
    <w:rsid w:val="2B9A58C7"/>
    <w:rsid w:val="2BA105AB"/>
    <w:rsid w:val="2BA175E7"/>
    <w:rsid w:val="2BA936A8"/>
    <w:rsid w:val="2BC76F94"/>
    <w:rsid w:val="2BF101C6"/>
    <w:rsid w:val="2BF14F49"/>
    <w:rsid w:val="2BF6087F"/>
    <w:rsid w:val="2BFD13F2"/>
    <w:rsid w:val="2C06197A"/>
    <w:rsid w:val="2C101A68"/>
    <w:rsid w:val="2C1B375A"/>
    <w:rsid w:val="2C310A32"/>
    <w:rsid w:val="2C315A5A"/>
    <w:rsid w:val="2C341FAF"/>
    <w:rsid w:val="2C472611"/>
    <w:rsid w:val="2C490458"/>
    <w:rsid w:val="2C4B1C25"/>
    <w:rsid w:val="2C4D31BC"/>
    <w:rsid w:val="2C5C74CB"/>
    <w:rsid w:val="2C6721E1"/>
    <w:rsid w:val="2C6E727E"/>
    <w:rsid w:val="2C79350B"/>
    <w:rsid w:val="2C8E0E1B"/>
    <w:rsid w:val="2C9F5BEE"/>
    <w:rsid w:val="2CA91D07"/>
    <w:rsid w:val="2CB04F2A"/>
    <w:rsid w:val="2CB32C65"/>
    <w:rsid w:val="2CD13D68"/>
    <w:rsid w:val="2CD40AEC"/>
    <w:rsid w:val="2CF03B86"/>
    <w:rsid w:val="2D0226C1"/>
    <w:rsid w:val="2D155661"/>
    <w:rsid w:val="2D3B5B48"/>
    <w:rsid w:val="2D4349FC"/>
    <w:rsid w:val="2D46121F"/>
    <w:rsid w:val="2D5A0D69"/>
    <w:rsid w:val="2D686734"/>
    <w:rsid w:val="2D6D28D1"/>
    <w:rsid w:val="2D733205"/>
    <w:rsid w:val="2D7B4100"/>
    <w:rsid w:val="2D7E3F1B"/>
    <w:rsid w:val="2D83548E"/>
    <w:rsid w:val="2D865CBB"/>
    <w:rsid w:val="2D914B91"/>
    <w:rsid w:val="2D937A41"/>
    <w:rsid w:val="2D9E56F5"/>
    <w:rsid w:val="2DA21C45"/>
    <w:rsid w:val="2DAD7575"/>
    <w:rsid w:val="2DBD47AF"/>
    <w:rsid w:val="2DBF6AFD"/>
    <w:rsid w:val="2DC643DC"/>
    <w:rsid w:val="2DC8752B"/>
    <w:rsid w:val="2DCB28C4"/>
    <w:rsid w:val="2DCC0037"/>
    <w:rsid w:val="2DCC6256"/>
    <w:rsid w:val="2DD106AB"/>
    <w:rsid w:val="2DD42F67"/>
    <w:rsid w:val="2DD5398C"/>
    <w:rsid w:val="2DDD0F50"/>
    <w:rsid w:val="2DDE0446"/>
    <w:rsid w:val="2DE773D7"/>
    <w:rsid w:val="2DEC3392"/>
    <w:rsid w:val="2DF04233"/>
    <w:rsid w:val="2DF85FA5"/>
    <w:rsid w:val="2DFA2E6C"/>
    <w:rsid w:val="2DFD1189"/>
    <w:rsid w:val="2E00531A"/>
    <w:rsid w:val="2E142571"/>
    <w:rsid w:val="2E17317C"/>
    <w:rsid w:val="2E3F425A"/>
    <w:rsid w:val="2E4B2A1F"/>
    <w:rsid w:val="2E655317"/>
    <w:rsid w:val="2E666BF4"/>
    <w:rsid w:val="2E667F96"/>
    <w:rsid w:val="2E6E76B6"/>
    <w:rsid w:val="2E8226AB"/>
    <w:rsid w:val="2E840E29"/>
    <w:rsid w:val="2E88418E"/>
    <w:rsid w:val="2E8C4181"/>
    <w:rsid w:val="2E91335D"/>
    <w:rsid w:val="2EA036FD"/>
    <w:rsid w:val="2EB65313"/>
    <w:rsid w:val="2EDF4E64"/>
    <w:rsid w:val="2EE955B6"/>
    <w:rsid w:val="2EFC0F5B"/>
    <w:rsid w:val="2EFF75AE"/>
    <w:rsid w:val="2F123BF6"/>
    <w:rsid w:val="2F171375"/>
    <w:rsid w:val="2F281F5B"/>
    <w:rsid w:val="2F2A7C22"/>
    <w:rsid w:val="2F2D326E"/>
    <w:rsid w:val="2F304B53"/>
    <w:rsid w:val="2F314AF6"/>
    <w:rsid w:val="2F37693A"/>
    <w:rsid w:val="2F3B30BA"/>
    <w:rsid w:val="2F3E24DC"/>
    <w:rsid w:val="2F3E5559"/>
    <w:rsid w:val="2F486F5A"/>
    <w:rsid w:val="2F646479"/>
    <w:rsid w:val="2F715851"/>
    <w:rsid w:val="2F772EFF"/>
    <w:rsid w:val="2F995D16"/>
    <w:rsid w:val="2FA11C5A"/>
    <w:rsid w:val="2FA364BB"/>
    <w:rsid w:val="2FA816F2"/>
    <w:rsid w:val="2FAC1F57"/>
    <w:rsid w:val="2FB95AF7"/>
    <w:rsid w:val="2FC46B0F"/>
    <w:rsid w:val="2FCA0CC1"/>
    <w:rsid w:val="2FCB4EC2"/>
    <w:rsid w:val="2FD065E6"/>
    <w:rsid w:val="2FD96870"/>
    <w:rsid w:val="2FDB5451"/>
    <w:rsid w:val="2FEE005A"/>
    <w:rsid w:val="2FF526C4"/>
    <w:rsid w:val="2FF95846"/>
    <w:rsid w:val="2FFC3E69"/>
    <w:rsid w:val="3014220E"/>
    <w:rsid w:val="304A7E5C"/>
    <w:rsid w:val="304B648B"/>
    <w:rsid w:val="30556F21"/>
    <w:rsid w:val="30580BC9"/>
    <w:rsid w:val="30582E8C"/>
    <w:rsid w:val="306F7791"/>
    <w:rsid w:val="30811B1C"/>
    <w:rsid w:val="30894CF8"/>
    <w:rsid w:val="309C0CB9"/>
    <w:rsid w:val="309C5769"/>
    <w:rsid w:val="309D230B"/>
    <w:rsid w:val="30B31A6F"/>
    <w:rsid w:val="30B648BF"/>
    <w:rsid w:val="30C1750B"/>
    <w:rsid w:val="30C9346B"/>
    <w:rsid w:val="30CC5C33"/>
    <w:rsid w:val="30CC7694"/>
    <w:rsid w:val="30CE10D8"/>
    <w:rsid w:val="30EA5EA3"/>
    <w:rsid w:val="3101632D"/>
    <w:rsid w:val="310749C7"/>
    <w:rsid w:val="311658B2"/>
    <w:rsid w:val="311E2ED7"/>
    <w:rsid w:val="312F3536"/>
    <w:rsid w:val="31301A13"/>
    <w:rsid w:val="31336A29"/>
    <w:rsid w:val="31502E13"/>
    <w:rsid w:val="315619EE"/>
    <w:rsid w:val="315C449C"/>
    <w:rsid w:val="317009C8"/>
    <w:rsid w:val="31973569"/>
    <w:rsid w:val="319C4DDC"/>
    <w:rsid w:val="31A35D55"/>
    <w:rsid w:val="31A52D7C"/>
    <w:rsid w:val="31A6733F"/>
    <w:rsid w:val="31AD3492"/>
    <w:rsid w:val="31B64C35"/>
    <w:rsid w:val="31B82709"/>
    <w:rsid w:val="31BB1F72"/>
    <w:rsid w:val="31C32FB3"/>
    <w:rsid w:val="31CA56CD"/>
    <w:rsid w:val="31D05482"/>
    <w:rsid w:val="31D21DDB"/>
    <w:rsid w:val="31D60A09"/>
    <w:rsid w:val="31DD0C01"/>
    <w:rsid w:val="32107E23"/>
    <w:rsid w:val="321E42A1"/>
    <w:rsid w:val="322622F1"/>
    <w:rsid w:val="322C5A5F"/>
    <w:rsid w:val="322F4696"/>
    <w:rsid w:val="323825C0"/>
    <w:rsid w:val="32400B34"/>
    <w:rsid w:val="324955B1"/>
    <w:rsid w:val="324C0530"/>
    <w:rsid w:val="326A3511"/>
    <w:rsid w:val="326B2FBA"/>
    <w:rsid w:val="32782174"/>
    <w:rsid w:val="3282669E"/>
    <w:rsid w:val="328738D6"/>
    <w:rsid w:val="329904E2"/>
    <w:rsid w:val="329E6876"/>
    <w:rsid w:val="32B13EF0"/>
    <w:rsid w:val="32CB07B0"/>
    <w:rsid w:val="32D271BB"/>
    <w:rsid w:val="32D60275"/>
    <w:rsid w:val="32EA2DD1"/>
    <w:rsid w:val="32EA634F"/>
    <w:rsid w:val="32EC0E2F"/>
    <w:rsid w:val="32FD445A"/>
    <w:rsid w:val="331103DB"/>
    <w:rsid w:val="3313181F"/>
    <w:rsid w:val="331C29E3"/>
    <w:rsid w:val="332B4CF8"/>
    <w:rsid w:val="333015F2"/>
    <w:rsid w:val="33340442"/>
    <w:rsid w:val="3340482E"/>
    <w:rsid w:val="334B6320"/>
    <w:rsid w:val="33754570"/>
    <w:rsid w:val="33A34812"/>
    <w:rsid w:val="33A97DE9"/>
    <w:rsid w:val="33C35E3D"/>
    <w:rsid w:val="33CD6DCE"/>
    <w:rsid w:val="33D934D4"/>
    <w:rsid w:val="33F14847"/>
    <w:rsid w:val="33FB7DDF"/>
    <w:rsid w:val="33FD496F"/>
    <w:rsid w:val="33FE2F6A"/>
    <w:rsid w:val="33FF150A"/>
    <w:rsid w:val="33FF4957"/>
    <w:rsid w:val="340E07E5"/>
    <w:rsid w:val="340E0AC5"/>
    <w:rsid w:val="341302A5"/>
    <w:rsid w:val="341F76BA"/>
    <w:rsid w:val="34211D56"/>
    <w:rsid w:val="34235BF7"/>
    <w:rsid w:val="343377C2"/>
    <w:rsid w:val="343F4989"/>
    <w:rsid w:val="34426A09"/>
    <w:rsid w:val="344D6B34"/>
    <w:rsid w:val="34544B8C"/>
    <w:rsid w:val="34553E62"/>
    <w:rsid w:val="345968B4"/>
    <w:rsid w:val="34616131"/>
    <w:rsid w:val="346A6D13"/>
    <w:rsid w:val="3470380D"/>
    <w:rsid w:val="3483766F"/>
    <w:rsid w:val="34873D1D"/>
    <w:rsid w:val="349A4B2E"/>
    <w:rsid w:val="349E40A1"/>
    <w:rsid w:val="349E798A"/>
    <w:rsid w:val="34C00358"/>
    <w:rsid w:val="34CF18F2"/>
    <w:rsid w:val="34D157FC"/>
    <w:rsid w:val="34E268A9"/>
    <w:rsid w:val="34EC66FC"/>
    <w:rsid w:val="34F605A6"/>
    <w:rsid w:val="34F71BE0"/>
    <w:rsid w:val="34F76F9A"/>
    <w:rsid w:val="34FD5382"/>
    <w:rsid w:val="35154BED"/>
    <w:rsid w:val="351934AF"/>
    <w:rsid w:val="35197557"/>
    <w:rsid w:val="352A6072"/>
    <w:rsid w:val="3538602B"/>
    <w:rsid w:val="35417A73"/>
    <w:rsid w:val="355C278C"/>
    <w:rsid w:val="35754D11"/>
    <w:rsid w:val="357F3B96"/>
    <w:rsid w:val="358C5FA8"/>
    <w:rsid w:val="359240AF"/>
    <w:rsid w:val="35951D47"/>
    <w:rsid w:val="359B7BE8"/>
    <w:rsid w:val="359F0002"/>
    <w:rsid w:val="35A65C58"/>
    <w:rsid w:val="35AE2ED8"/>
    <w:rsid w:val="35B7039F"/>
    <w:rsid w:val="35BE3788"/>
    <w:rsid w:val="35C11801"/>
    <w:rsid w:val="35C15DF1"/>
    <w:rsid w:val="35D0600D"/>
    <w:rsid w:val="35E86141"/>
    <w:rsid w:val="35EB4005"/>
    <w:rsid w:val="35ED1184"/>
    <w:rsid w:val="36032F7B"/>
    <w:rsid w:val="36074A7F"/>
    <w:rsid w:val="36256737"/>
    <w:rsid w:val="36351C92"/>
    <w:rsid w:val="3638210F"/>
    <w:rsid w:val="36395F40"/>
    <w:rsid w:val="363A4065"/>
    <w:rsid w:val="365C327A"/>
    <w:rsid w:val="365E75B8"/>
    <w:rsid w:val="36653C36"/>
    <w:rsid w:val="366559D1"/>
    <w:rsid w:val="366A6BFC"/>
    <w:rsid w:val="366F069E"/>
    <w:rsid w:val="3675422A"/>
    <w:rsid w:val="36853EC8"/>
    <w:rsid w:val="36923549"/>
    <w:rsid w:val="36984CEE"/>
    <w:rsid w:val="36A83FB6"/>
    <w:rsid w:val="36AA6A4A"/>
    <w:rsid w:val="36B75FBF"/>
    <w:rsid w:val="36BD0C45"/>
    <w:rsid w:val="36C24116"/>
    <w:rsid w:val="36FA32E8"/>
    <w:rsid w:val="37010E91"/>
    <w:rsid w:val="37124754"/>
    <w:rsid w:val="37136ACF"/>
    <w:rsid w:val="37174925"/>
    <w:rsid w:val="37304651"/>
    <w:rsid w:val="37377DF7"/>
    <w:rsid w:val="375047A9"/>
    <w:rsid w:val="37623B40"/>
    <w:rsid w:val="37821E5A"/>
    <w:rsid w:val="3787198A"/>
    <w:rsid w:val="37883FB6"/>
    <w:rsid w:val="379030B0"/>
    <w:rsid w:val="3797664B"/>
    <w:rsid w:val="379D0FA7"/>
    <w:rsid w:val="379F7664"/>
    <w:rsid w:val="37A56F33"/>
    <w:rsid w:val="37C66454"/>
    <w:rsid w:val="37C672B0"/>
    <w:rsid w:val="37E00298"/>
    <w:rsid w:val="37E377DD"/>
    <w:rsid w:val="37FF645A"/>
    <w:rsid w:val="3808716E"/>
    <w:rsid w:val="38255C30"/>
    <w:rsid w:val="38262F51"/>
    <w:rsid w:val="383A0D18"/>
    <w:rsid w:val="38484F32"/>
    <w:rsid w:val="3851621F"/>
    <w:rsid w:val="38550CF9"/>
    <w:rsid w:val="38595A02"/>
    <w:rsid w:val="385B4DC1"/>
    <w:rsid w:val="386521AE"/>
    <w:rsid w:val="386B3908"/>
    <w:rsid w:val="38747710"/>
    <w:rsid w:val="38856172"/>
    <w:rsid w:val="38954DBD"/>
    <w:rsid w:val="389740C7"/>
    <w:rsid w:val="389E4733"/>
    <w:rsid w:val="38A02D03"/>
    <w:rsid w:val="38B302F9"/>
    <w:rsid w:val="38C938B3"/>
    <w:rsid w:val="38CC7E22"/>
    <w:rsid w:val="38D03A70"/>
    <w:rsid w:val="38D46F68"/>
    <w:rsid w:val="38E32316"/>
    <w:rsid w:val="38E94099"/>
    <w:rsid w:val="38EB4866"/>
    <w:rsid w:val="38EC320B"/>
    <w:rsid w:val="38F12CD3"/>
    <w:rsid w:val="38F35BCD"/>
    <w:rsid w:val="38F94775"/>
    <w:rsid w:val="38FB1D96"/>
    <w:rsid w:val="38FD195C"/>
    <w:rsid w:val="3907278C"/>
    <w:rsid w:val="390E0092"/>
    <w:rsid w:val="39123113"/>
    <w:rsid w:val="391E60D4"/>
    <w:rsid w:val="392971ED"/>
    <w:rsid w:val="393178CC"/>
    <w:rsid w:val="39325651"/>
    <w:rsid w:val="393C64E3"/>
    <w:rsid w:val="3953673B"/>
    <w:rsid w:val="3960450D"/>
    <w:rsid w:val="39611A9D"/>
    <w:rsid w:val="3961729C"/>
    <w:rsid w:val="39675BD5"/>
    <w:rsid w:val="3971644D"/>
    <w:rsid w:val="39722FEA"/>
    <w:rsid w:val="39756525"/>
    <w:rsid w:val="39842563"/>
    <w:rsid w:val="398C3287"/>
    <w:rsid w:val="39926F59"/>
    <w:rsid w:val="39A50CEB"/>
    <w:rsid w:val="39AA5067"/>
    <w:rsid w:val="39AE1F9C"/>
    <w:rsid w:val="39B16E43"/>
    <w:rsid w:val="39BB7BFD"/>
    <w:rsid w:val="39BD78E5"/>
    <w:rsid w:val="39C53077"/>
    <w:rsid w:val="39D21A5C"/>
    <w:rsid w:val="39D64384"/>
    <w:rsid w:val="39F000E9"/>
    <w:rsid w:val="3A01329C"/>
    <w:rsid w:val="3A115FDE"/>
    <w:rsid w:val="3A135428"/>
    <w:rsid w:val="3A160766"/>
    <w:rsid w:val="3A1B3A62"/>
    <w:rsid w:val="3A1B59EC"/>
    <w:rsid w:val="3A1D3816"/>
    <w:rsid w:val="3A2170B4"/>
    <w:rsid w:val="3A383150"/>
    <w:rsid w:val="3A414926"/>
    <w:rsid w:val="3A4328A3"/>
    <w:rsid w:val="3A4456E2"/>
    <w:rsid w:val="3A473032"/>
    <w:rsid w:val="3A4D5F1B"/>
    <w:rsid w:val="3A4E0707"/>
    <w:rsid w:val="3A6E60A0"/>
    <w:rsid w:val="3A716702"/>
    <w:rsid w:val="3A775EF4"/>
    <w:rsid w:val="3A79572F"/>
    <w:rsid w:val="3A7A30FC"/>
    <w:rsid w:val="3A872856"/>
    <w:rsid w:val="3A9014F7"/>
    <w:rsid w:val="3A93178B"/>
    <w:rsid w:val="3A935D3D"/>
    <w:rsid w:val="3A9A39BA"/>
    <w:rsid w:val="3A9C2354"/>
    <w:rsid w:val="3A9E42BB"/>
    <w:rsid w:val="3AAA7EC8"/>
    <w:rsid w:val="3AAB07B2"/>
    <w:rsid w:val="3AAD4D50"/>
    <w:rsid w:val="3AB807D8"/>
    <w:rsid w:val="3ABF650C"/>
    <w:rsid w:val="3AC70DA6"/>
    <w:rsid w:val="3ACD2409"/>
    <w:rsid w:val="3AD93B51"/>
    <w:rsid w:val="3AE767A1"/>
    <w:rsid w:val="3AE82DC3"/>
    <w:rsid w:val="3AFA0DF0"/>
    <w:rsid w:val="3AFC43CA"/>
    <w:rsid w:val="3B0C275B"/>
    <w:rsid w:val="3B1C208D"/>
    <w:rsid w:val="3B240172"/>
    <w:rsid w:val="3B2908C7"/>
    <w:rsid w:val="3B2D3FFC"/>
    <w:rsid w:val="3B2D5091"/>
    <w:rsid w:val="3B2F3B39"/>
    <w:rsid w:val="3B372161"/>
    <w:rsid w:val="3B3763D1"/>
    <w:rsid w:val="3B3C7B91"/>
    <w:rsid w:val="3B4A6285"/>
    <w:rsid w:val="3B5D4EDB"/>
    <w:rsid w:val="3B5E26D6"/>
    <w:rsid w:val="3B695B6D"/>
    <w:rsid w:val="3B842468"/>
    <w:rsid w:val="3B8C1FB8"/>
    <w:rsid w:val="3B900568"/>
    <w:rsid w:val="3BAB7ECC"/>
    <w:rsid w:val="3BAE5737"/>
    <w:rsid w:val="3BB02368"/>
    <w:rsid w:val="3BB05953"/>
    <w:rsid w:val="3BEC2ED6"/>
    <w:rsid w:val="3BED08DD"/>
    <w:rsid w:val="3C02589D"/>
    <w:rsid w:val="3C0861A2"/>
    <w:rsid w:val="3C2F6E1E"/>
    <w:rsid w:val="3C3E15AA"/>
    <w:rsid w:val="3C434578"/>
    <w:rsid w:val="3C441C7A"/>
    <w:rsid w:val="3C462BDF"/>
    <w:rsid w:val="3C4F4B7F"/>
    <w:rsid w:val="3C4F64BA"/>
    <w:rsid w:val="3C56479D"/>
    <w:rsid w:val="3C6C362B"/>
    <w:rsid w:val="3C7E77FF"/>
    <w:rsid w:val="3C8918F4"/>
    <w:rsid w:val="3C8D7BBB"/>
    <w:rsid w:val="3C9230CF"/>
    <w:rsid w:val="3C9A5CBB"/>
    <w:rsid w:val="3CAD1E92"/>
    <w:rsid w:val="3CAE5B81"/>
    <w:rsid w:val="3CBA35CE"/>
    <w:rsid w:val="3CC83947"/>
    <w:rsid w:val="3CCC7D6B"/>
    <w:rsid w:val="3CDA245A"/>
    <w:rsid w:val="3CDE0247"/>
    <w:rsid w:val="3CE95D70"/>
    <w:rsid w:val="3CF13812"/>
    <w:rsid w:val="3CF16F82"/>
    <w:rsid w:val="3CF21356"/>
    <w:rsid w:val="3D1E06B7"/>
    <w:rsid w:val="3D3457F8"/>
    <w:rsid w:val="3D3517A3"/>
    <w:rsid w:val="3D37175C"/>
    <w:rsid w:val="3D42082D"/>
    <w:rsid w:val="3D4B7937"/>
    <w:rsid w:val="3D590FD7"/>
    <w:rsid w:val="3D5E0B43"/>
    <w:rsid w:val="3D60483E"/>
    <w:rsid w:val="3D6D55D2"/>
    <w:rsid w:val="3D73441D"/>
    <w:rsid w:val="3D843486"/>
    <w:rsid w:val="3D8643C7"/>
    <w:rsid w:val="3D88230C"/>
    <w:rsid w:val="3D987EEE"/>
    <w:rsid w:val="3D9B618E"/>
    <w:rsid w:val="3DA23079"/>
    <w:rsid w:val="3DB74392"/>
    <w:rsid w:val="3DBE0027"/>
    <w:rsid w:val="3DD0770C"/>
    <w:rsid w:val="3DD64ADE"/>
    <w:rsid w:val="3DDC17F3"/>
    <w:rsid w:val="3DE23A15"/>
    <w:rsid w:val="3DF47910"/>
    <w:rsid w:val="3E0B5223"/>
    <w:rsid w:val="3E13683E"/>
    <w:rsid w:val="3E186095"/>
    <w:rsid w:val="3E255998"/>
    <w:rsid w:val="3E2A55E9"/>
    <w:rsid w:val="3E372DE7"/>
    <w:rsid w:val="3E3970E4"/>
    <w:rsid w:val="3E4849B5"/>
    <w:rsid w:val="3E55060C"/>
    <w:rsid w:val="3E654ED8"/>
    <w:rsid w:val="3E6C0157"/>
    <w:rsid w:val="3E6D4854"/>
    <w:rsid w:val="3E722C65"/>
    <w:rsid w:val="3E7A4309"/>
    <w:rsid w:val="3E987AAD"/>
    <w:rsid w:val="3E9968CF"/>
    <w:rsid w:val="3EA70E44"/>
    <w:rsid w:val="3EBA1E20"/>
    <w:rsid w:val="3EC7157C"/>
    <w:rsid w:val="3ECC3043"/>
    <w:rsid w:val="3ED94D50"/>
    <w:rsid w:val="3EDA0523"/>
    <w:rsid w:val="3EF142B8"/>
    <w:rsid w:val="3F2672E7"/>
    <w:rsid w:val="3F280DC2"/>
    <w:rsid w:val="3F28516B"/>
    <w:rsid w:val="3F3058FB"/>
    <w:rsid w:val="3F3B42CC"/>
    <w:rsid w:val="3F402F9B"/>
    <w:rsid w:val="3F403DD5"/>
    <w:rsid w:val="3F5028CD"/>
    <w:rsid w:val="3F6D42D1"/>
    <w:rsid w:val="3F727C6F"/>
    <w:rsid w:val="3F886A31"/>
    <w:rsid w:val="3FA2549A"/>
    <w:rsid w:val="3FB61AC3"/>
    <w:rsid w:val="3FBC0CA2"/>
    <w:rsid w:val="3FBC64E2"/>
    <w:rsid w:val="3FBD063E"/>
    <w:rsid w:val="3FC049AC"/>
    <w:rsid w:val="3FC513D0"/>
    <w:rsid w:val="3FC93CC2"/>
    <w:rsid w:val="3FCB5214"/>
    <w:rsid w:val="3FE1200C"/>
    <w:rsid w:val="3FEF2BC0"/>
    <w:rsid w:val="3FF04570"/>
    <w:rsid w:val="3FF50C1E"/>
    <w:rsid w:val="3FF52283"/>
    <w:rsid w:val="400D385F"/>
    <w:rsid w:val="401E27C9"/>
    <w:rsid w:val="402D3647"/>
    <w:rsid w:val="403C453B"/>
    <w:rsid w:val="40495EB5"/>
    <w:rsid w:val="40654172"/>
    <w:rsid w:val="406665DF"/>
    <w:rsid w:val="407755AB"/>
    <w:rsid w:val="407A6407"/>
    <w:rsid w:val="407B21A4"/>
    <w:rsid w:val="407E2FBC"/>
    <w:rsid w:val="40885130"/>
    <w:rsid w:val="40B43F15"/>
    <w:rsid w:val="40BB7084"/>
    <w:rsid w:val="40C928A6"/>
    <w:rsid w:val="40C9668A"/>
    <w:rsid w:val="41253C19"/>
    <w:rsid w:val="412955D5"/>
    <w:rsid w:val="41360B3E"/>
    <w:rsid w:val="41421A51"/>
    <w:rsid w:val="41453220"/>
    <w:rsid w:val="41467A83"/>
    <w:rsid w:val="414A656A"/>
    <w:rsid w:val="41592F99"/>
    <w:rsid w:val="415D7C26"/>
    <w:rsid w:val="416826C1"/>
    <w:rsid w:val="41706B6E"/>
    <w:rsid w:val="41707671"/>
    <w:rsid w:val="41767CBE"/>
    <w:rsid w:val="417E30BF"/>
    <w:rsid w:val="41815431"/>
    <w:rsid w:val="418C726B"/>
    <w:rsid w:val="41973021"/>
    <w:rsid w:val="41A26264"/>
    <w:rsid w:val="41BC123C"/>
    <w:rsid w:val="41D6338A"/>
    <w:rsid w:val="41DD762A"/>
    <w:rsid w:val="41E9571B"/>
    <w:rsid w:val="41F44AE2"/>
    <w:rsid w:val="4200449D"/>
    <w:rsid w:val="42100D98"/>
    <w:rsid w:val="42104BBD"/>
    <w:rsid w:val="42202A39"/>
    <w:rsid w:val="4225391E"/>
    <w:rsid w:val="4231361B"/>
    <w:rsid w:val="423A3BCC"/>
    <w:rsid w:val="423F637A"/>
    <w:rsid w:val="424113B1"/>
    <w:rsid w:val="424E3AFC"/>
    <w:rsid w:val="424E57D2"/>
    <w:rsid w:val="42603A16"/>
    <w:rsid w:val="4262157C"/>
    <w:rsid w:val="4265182A"/>
    <w:rsid w:val="426D03EC"/>
    <w:rsid w:val="42781E01"/>
    <w:rsid w:val="42816043"/>
    <w:rsid w:val="428702EF"/>
    <w:rsid w:val="428C54DC"/>
    <w:rsid w:val="428E31AF"/>
    <w:rsid w:val="42934ECB"/>
    <w:rsid w:val="42B26C49"/>
    <w:rsid w:val="42B34DEF"/>
    <w:rsid w:val="42BD7679"/>
    <w:rsid w:val="42CD688E"/>
    <w:rsid w:val="42CE64BE"/>
    <w:rsid w:val="42D00968"/>
    <w:rsid w:val="42E64762"/>
    <w:rsid w:val="42F51FA1"/>
    <w:rsid w:val="42FD20F7"/>
    <w:rsid w:val="42FE0BC5"/>
    <w:rsid w:val="42FF439C"/>
    <w:rsid w:val="4300630C"/>
    <w:rsid w:val="43084C57"/>
    <w:rsid w:val="43110DBC"/>
    <w:rsid w:val="4311430B"/>
    <w:rsid w:val="4315253F"/>
    <w:rsid w:val="43212AB1"/>
    <w:rsid w:val="432351C2"/>
    <w:rsid w:val="43237C1D"/>
    <w:rsid w:val="43282F54"/>
    <w:rsid w:val="433A6FE6"/>
    <w:rsid w:val="433C6862"/>
    <w:rsid w:val="43480868"/>
    <w:rsid w:val="434C7233"/>
    <w:rsid w:val="434F0436"/>
    <w:rsid w:val="4350713C"/>
    <w:rsid w:val="43617533"/>
    <w:rsid w:val="436653E0"/>
    <w:rsid w:val="438B18D6"/>
    <w:rsid w:val="438C37A3"/>
    <w:rsid w:val="43916070"/>
    <w:rsid w:val="43936EE5"/>
    <w:rsid w:val="43953F94"/>
    <w:rsid w:val="439B2D19"/>
    <w:rsid w:val="43A76826"/>
    <w:rsid w:val="43B97DAC"/>
    <w:rsid w:val="43C4431A"/>
    <w:rsid w:val="43D77866"/>
    <w:rsid w:val="43F85926"/>
    <w:rsid w:val="440B3398"/>
    <w:rsid w:val="440B744E"/>
    <w:rsid w:val="44192B18"/>
    <w:rsid w:val="441B1DD7"/>
    <w:rsid w:val="442C5F01"/>
    <w:rsid w:val="443268B0"/>
    <w:rsid w:val="4433196A"/>
    <w:rsid w:val="4450382F"/>
    <w:rsid w:val="445304EE"/>
    <w:rsid w:val="445C7B91"/>
    <w:rsid w:val="44681308"/>
    <w:rsid w:val="447529FB"/>
    <w:rsid w:val="448654A3"/>
    <w:rsid w:val="448B5125"/>
    <w:rsid w:val="44A350C1"/>
    <w:rsid w:val="44AD5508"/>
    <w:rsid w:val="44B951CC"/>
    <w:rsid w:val="44BD7848"/>
    <w:rsid w:val="44CD14E0"/>
    <w:rsid w:val="44CF7DCE"/>
    <w:rsid w:val="44D13817"/>
    <w:rsid w:val="44D50224"/>
    <w:rsid w:val="44DE6C5C"/>
    <w:rsid w:val="44E47260"/>
    <w:rsid w:val="44F20B0B"/>
    <w:rsid w:val="44FE3FC5"/>
    <w:rsid w:val="45065B8B"/>
    <w:rsid w:val="4517434D"/>
    <w:rsid w:val="451C1963"/>
    <w:rsid w:val="452924D0"/>
    <w:rsid w:val="452E5F4C"/>
    <w:rsid w:val="45350459"/>
    <w:rsid w:val="4551250B"/>
    <w:rsid w:val="4554734F"/>
    <w:rsid w:val="4558344D"/>
    <w:rsid w:val="45604864"/>
    <w:rsid w:val="45612018"/>
    <w:rsid w:val="456C1CB1"/>
    <w:rsid w:val="45774DEB"/>
    <w:rsid w:val="458946E9"/>
    <w:rsid w:val="458B4A60"/>
    <w:rsid w:val="458D5E60"/>
    <w:rsid w:val="458E363B"/>
    <w:rsid w:val="45940F26"/>
    <w:rsid w:val="45987025"/>
    <w:rsid w:val="459939B8"/>
    <w:rsid w:val="45A47C0E"/>
    <w:rsid w:val="45A75D99"/>
    <w:rsid w:val="45AB1C47"/>
    <w:rsid w:val="45AC3E8E"/>
    <w:rsid w:val="45AD0AE4"/>
    <w:rsid w:val="45B36126"/>
    <w:rsid w:val="45C262E5"/>
    <w:rsid w:val="45D24718"/>
    <w:rsid w:val="45D72B1F"/>
    <w:rsid w:val="45D909B0"/>
    <w:rsid w:val="45DE4E78"/>
    <w:rsid w:val="45E22EA1"/>
    <w:rsid w:val="45E342CD"/>
    <w:rsid w:val="45E419AF"/>
    <w:rsid w:val="45E72B53"/>
    <w:rsid w:val="45E77D80"/>
    <w:rsid w:val="45EB1DD4"/>
    <w:rsid w:val="45F829EC"/>
    <w:rsid w:val="461B1C1B"/>
    <w:rsid w:val="461B2DDC"/>
    <w:rsid w:val="462A6302"/>
    <w:rsid w:val="4639500B"/>
    <w:rsid w:val="464859BC"/>
    <w:rsid w:val="46577FD6"/>
    <w:rsid w:val="46753A21"/>
    <w:rsid w:val="46761EA0"/>
    <w:rsid w:val="4677696F"/>
    <w:rsid w:val="468B4FF2"/>
    <w:rsid w:val="468C1093"/>
    <w:rsid w:val="468C49D5"/>
    <w:rsid w:val="46954311"/>
    <w:rsid w:val="46965802"/>
    <w:rsid w:val="46A97923"/>
    <w:rsid w:val="46B4668D"/>
    <w:rsid w:val="46B741FE"/>
    <w:rsid w:val="46B94898"/>
    <w:rsid w:val="46C24EF2"/>
    <w:rsid w:val="46CB400E"/>
    <w:rsid w:val="46D955A7"/>
    <w:rsid w:val="46E135BC"/>
    <w:rsid w:val="46FC4AE5"/>
    <w:rsid w:val="47133957"/>
    <w:rsid w:val="47155C03"/>
    <w:rsid w:val="472D0AE0"/>
    <w:rsid w:val="472F305D"/>
    <w:rsid w:val="472F5733"/>
    <w:rsid w:val="4734464B"/>
    <w:rsid w:val="474677A9"/>
    <w:rsid w:val="47545A67"/>
    <w:rsid w:val="47555CE4"/>
    <w:rsid w:val="47564DFF"/>
    <w:rsid w:val="47591683"/>
    <w:rsid w:val="475A170D"/>
    <w:rsid w:val="475C461E"/>
    <w:rsid w:val="47617940"/>
    <w:rsid w:val="476A0CDF"/>
    <w:rsid w:val="477C7A79"/>
    <w:rsid w:val="478B27FD"/>
    <w:rsid w:val="47937F1F"/>
    <w:rsid w:val="47964976"/>
    <w:rsid w:val="479907EC"/>
    <w:rsid w:val="479E0D55"/>
    <w:rsid w:val="479E68ED"/>
    <w:rsid w:val="47A07E0C"/>
    <w:rsid w:val="47A11A46"/>
    <w:rsid w:val="47D77DC3"/>
    <w:rsid w:val="47EE7F12"/>
    <w:rsid w:val="48066134"/>
    <w:rsid w:val="480B5B76"/>
    <w:rsid w:val="480E5EDB"/>
    <w:rsid w:val="4811215C"/>
    <w:rsid w:val="48141018"/>
    <w:rsid w:val="48204C26"/>
    <w:rsid w:val="483701B3"/>
    <w:rsid w:val="484025DA"/>
    <w:rsid w:val="484458A6"/>
    <w:rsid w:val="485C303A"/>
    <w:rsid w:val="4870272E"/>
    <w:rsid w:val="4873721F"/>
    <w:rsid w:val="48934812"/>
    <w:rsid w:val="48A12AF4"/>
    <w:rsid w:val="48A22E5C"/>
    <w:rsid w:val="48A658C3"/>
    <w:rsid w:val="48B3580C"/>
    <w:rsid w:val="48B634B2"/>
    <w:rsid w:val="48D32E27"/>
    <w:rsid w:val="48E55482"/>
    <w:rsid w:val="48E769D6"/>
    <w:rsid w:val="48EC366C"/>
    <w:rsid w:val="48ED2F9D"/>
    <w:rsid w:val="48F503E1"/>
    <w:rsid w:val="48F922E0"/>
    <w:rsid w:val="49267254"/>
    <w:rsid w:val="49292FCA"/>
    <w:rsid w:val="49394061"/>
    <w:rsid w:val="49415E3C"/>
    <w:rsid w:val="49470B73"/>
    <w:rsid w:val="494A0D76"/>
    <w:rsid w:val="49547C8E"/>
    <w:rsid w:val="495A3EDF"/>
    <w:rsid w:val="496031A8"/>
    <w:rsid w:val="496605FF"/>
    <w:rsid w:val="496741A7"/>
    <w:rsid w:val="497B031F"/>
    <w:rsid w:val="498728FC"/>
    <w:rsid w:val="49885819"/>
    <w:rsid w:val="498C52B0"/>
    <w:rsid w:val="49A430EC"/>
    <w:rsid w:val="49A61B77"/>
    <w:rsid w:val="49B24007"/>
    <w:rsid w:val="49C044C4"/>
    <w:rsid w:val="49C8478B"/>
    <w:rsid w:val="49CA7BE0"/>
    <w:rsid w:val="49CC2D12"/>
    <w:rsid w:val="49DC7715"/>
    <w:rsid w:val="49EA208E"/>
    <w:rsid w:val="49F44C5D"/>
    <w:rsid w:val="49F71AC8"/>
    <w:rsid w:val="4A0129C4"/>
    <w:rsid w:val="4A023139"/>
    <w:rsid w:val="4A070A3A"/>
    <w:rsid w:val="4A0C595B"/>
    <w:rsid w:val="4A28715B"/>
    <w:rsid w:val="4A3132FB"/>
    <w:rsid w:val="4A3712AE"/>
    <w:rsid w:val="4A4812AA"/>
    <w:rsid w:val="4A4C0EA9"/>
    <w:rsid w:val="4A4D3C4F"/>
    <w:rsid w:val="4A7B576F"/>
    <w:rsid w:val="4A7C6B4F"/>
    <w:rsid w:val="4A7D624D"/>
    <w:rsid w:val="4A7E76CA"/>
    <w:rsid w:val="4A901C34"/>
    <w:rsid w:val="4A951B94"/>
    <w:rsid w:val="4A963BE2"/>
    <w:rsid w:val="4A9D18E2"/>
    <w:rsid w:val="4A9E2D10"/>
    <w:rsid w:val="4A9F4671"/>
    <w:rsid w:val="4AAC25EC"/>
    <w:rsid w:val="4AB21D62"/>
    <w:rsid w:val="4ABA50CB"/>
    <w:rsid w:val="4ABA5A9F"/>
    <w:rsid w:val="4ABB74FB"/>
    <w:rsid w:val="4AD3661A"/>
    <w:rsid w:val="4AD60806"/>
    <w:rsid w:val="4ADA667B"/>
    <w:rsid w:val="4AF367F5"/>
    <w:rsid w:val="4AF40C8C"/>
    <w:rsid w:val="4AF561A9"/>
    <w:rsid w:val="4B1501FE"/>
    <w:rsid w:val="4B176EB4"/>
    <w:rsid w:val="4B327D54"/>
    <w:rsid w:val="4B373073"/>
    <w:rsid w:val="4B4A3B5B"/>
    <w:rsid w:val="4B517E72"/>
    <w:rsid w:val="4B6C483E"/>
    <w:rsid w:val="4B78795D"/>
    <w:rsid w:val="4B8137E0"/>
    <w:rsid w:val="4BB1531A"/>
    <w:rsid w:val="4BB30CF4"/>
    <w:rsid w:val="4BC62629"/>
    <w:rsid w:val="4BD42F98"/>
    <w:rsid w:val="4BD8013F"/>
    <w:rsid w:val="4C033A5D"/>
    <w:rsid w:val="4C120403"/>
    <w:rsid w:val="4C2B780E"/>
    <w:rsid w:val="4C2C568C"/>
    <w:rsid w:val="4C2F7D06"/>
    <w:rsid w:val="4C373D10"/>
    <w:rsid w:val="4C3C19A7"/>
    <w:rsid w:val="4C3F55EA"/>
    <w:rsid w:val="4C491266"/>
    <w:rsid w:val="4C4A0649"/>
    <w:rsid w:val="4C506163"/>
    <w:rsid w:val="4C5F1C6F"/>
    <w:rsid w:val="4C6678AC"/>
    <w:rsid w:val="4C701157"/>
    <w:rsid w:val="4C7C74DE"/>
    <w:rsid w:val="4C7E5ECA"/>
    <w:rsid w:val="4C876AA5"/>
    <w:rsid w:val="4C997D3D"/>
    <w:rsid w:val="4CA5340D"/>
    <w:rsid w:val="4CA632E4"/>
    <w:rsid w:val="4CB06512"/>
    <w:rsid w:val="4CB3242F"/>
    <w:rsid w:val="4CB8361A"/>
    <w:rsid w:val="4CC1422F"/>
    <w:rsid w:val="4CC417FC"/>
    <w:rsid w:val="4CC96002"/>
    <w:rsid w:val="4CCE0E25"/>
    <w:rsid w:val="4CD5772B"/>
    <w:rsid w:val="4CD67CFD"/>
    <w:rsid w:val="4CDB691E"/>
    <w:rsid w:val="4CDC2945"/>
    <w:rsid w:val="4CE05F7F"/>
    <w:rsid w:val="4CEB5242"/>
    <w:rsid w:val="4CF3569F"/>
    <w:rsid w:val="4CF8103F"/>
    <w:rsid w:val="4D004428"/>
    <w:rsid w:val="4D0115E0"/>
    <w:rsid w:val="4D0E00FB"/>
    <w:rsid w:val="4D176606"/>
    <w:rsid w:val="4D3B592A"/>
    <w:rsid w:val="4D412F59"/>
    <w:rsid w:val="4D4828B1"/>
    <w:rsid w:val="4D573910"/>
    <w:rsid w:val="4D5B24AA"/>
    <w:rsid w:val="4D5F668D"/>
    <w:rsid w:val="4D871B3D"/>
    <w:rsid w:val="4D874BB0"/>
    <w:rsid w:val="4D941068"/>
    <w:rsid w:val="4DA355E8"/>
    <w:rsid w:val="4DA36EA4"/>
    <w:rsid w:val="4DB01FED"/>
    <w:rsid w:val="4DB972E9"/>
    <w:rsid w:val="4DCF692D"/>
    <w:rsid w:val="4DDC7B96"/>
    <w:rsid w:val="4DE82D2A"/>
    <w:rsid w:val="4DE86B0F"/>
    <w:rsid w:val="4DEC4FB0"/>
    <w:rsid w:val="4DFA00F3"/>
    <w:rsid w:val="4DFA4416"/>
    <w:rsid w:val="4E04150B"/>
    <w:rsid w:val="4E075D8A"/>
    <w:rsid w:val="4E172510"/>
    <w:rsid w:val="4E263853"/>
    <w:rsid w:val="4E273E8A"/>
    <w:rsid w:val="4E275E72"/>
    <w:rsid w:val="4E2D698F"/>
    <w:rsid w:val="4E332DAB"/>
    <w:rsid w:val="4E37780E"/>
    <w:rsid w:val="4E3A621D"/>
    <w:rsid w:val="4E4559D2"/>
    <w:rsid w:val="4E50563B"/>
    <w:rsid w:val="4E7014BB"/>
    <w:rsid w:val="4E7236AE"/>
    <w:rsid w:val="4E864C43"/>
    <w:rsid w:val="4E865845"/>
    <w:rsid w:val="4E9B44BB"/>
    <w:rsid w:val="4EA54189"/>
    <w:rsid w:val="4EB41E04"/>
    <w:rsid w:val="4EC00FAD"/>
    <w:rsid w:val="4EE53412"/>
    <w:rsid w:val="4EEB33C1"/>
    <w:rsid w:val="4EF8203D"/>
    <w:rsid w:val="4F106BA3"/>
    <w:rsid w:val="4F1627F8"/>
    <w:rsid w:val="4F207294"/>
    <w:rsid w:val="4F245FE4"/>
    <w:rsid w:val="4F3E2A6B"/>
    <w:rsid w:val="4F4440FC"/>
    <w:rsid w:val="4F715F4F"/>
    <w:rsid w:val="4F7A26D1"/>
    <w:rsid w:val="4F806DC1"/>
    <w:rsid w:val="4F8970AB"/>
    <w:rsid w:val="4F945E6B"/>
    <w:rsid w:val="4F9843DC"/>
    <w:rsid w:val="4FA03191"/>
    <w:rsid w:val="4FA501A8"/>
    <w:rsid w:val="4FA82E9E"/>
    <w:rsid w:val="4FAC52D3"/>
    <w:rsid w:val="4FB93DA3"/>
    <w:rsid w:val="4FBB6EA2"/>
    <w:rsid w:val="4FC62A8C"/>
    <w:rsid w:val="4FC832BF"/>
    <w:rsid w:val="4FD632F8"/>
    <w:rsid w:val="4FDB0D62"/>
    <w:rsid w:val="4FDB59F1"/>
    <w:rsid w:val="4FE20F0D"/>
    <w:rsid w:val="4FE51552"/>
    <w:rsid w:val="4FF05EC6"/>
    <w:rsid w:val="4FFB73A9"/>
    <w:rsid w:val="4FFF435B"/>
    <w:rsid w:val="501A7A79"/>
    <w:rsid w:val="50452252"/>
    <w:rsid w:val="50494EF6"/>
    <w:rsid w:val="50504C4B"/>
    <w:rsid w:val="50507F54"/>
    <w:rsid w:val="505B49CF"/>
    <w:rsid w:val="50616DC4"/>
    <w:rsid w:val="5076342B"/>
    <w:rsid w:val="50771750"/>
    <w:rsid w:val="507C4F80"/>
    <w:rsid w:val="508F7C31"/>
    <w:rsid w:val="5093714C"/>
    <w:rsid w:val="509A0C4D"/>
    <w:rsid w:val="509C6E7C"/>
    <w:rsid w:val="509D346C"/>
    <w:rsid w:val="509F59DC"/>
    <w:rsid w:val="50A4322F"/>
    <w:rsid w:val="50B81E40"/>
    <w:rsid w:val="50D45DF0"/>
    <w:rsid w:val="50E517A3"/>
    <w:rsid w:val="510813AE"/>
    <w:rsid w:val="510B0668"/>
    <w:rsid w:val="510D0373"/>
    <w:rsid w:val="511835C9"/>
    <w:rsid w:val="51230344"/>
    <w:rsid w:val="513B25AF"/>
    <w:rsid w:val="513D6A7C"/>
    <w:rsid w:val="515B1A65"/>
    <w:rsid w:val="515D0590"/>
    <w:rsid w:val="515E7BAB"/>
    <w:rsid w:val="5162104E"/>
    <w:rsid w:val="516E5498"/>
    <w:rsid w:val="518B2DBA"/>
    <w:rsid w:val="5196023F"/>
    <w:rsid w:val="51986719"/>
    <w:rsid w:val="51A3305C"/>
    <w:rsid w:val="51B51B0F"/>
    <w:rsid w:val="51B6089D"/>
    <w:rsid w:val="51BB394B"/>
    <w:rsid w:val="51BB6CDC"/>
    <w:rsid w:val="51BC4666"/>
    <w:rsid w:val="51CE0489"/>
    <w:rsid w:val="51E12721"/>
    <w:rsid w:val="520E29E1"/>
    <w:rsid w:val="520E7011"/>
    <w:rsid w:val="522E26B1"/>
    <w:rsid w:val="523A5B1F"/>
    <w:rsid w:val="524C628F"/>
    <w:rsid w:val="52746E66"/>
    <w:rsid w:val="52826168"/>
    <w:rsid w:val="528E6D72"/>
    <w:rsid w:val="529C2335"/>
    <w:rsid w:val="529D3122"/>
    <w:rsid w:val="52A204BA"/>
    <w:rsid w:val="52A57A4F"/>
    <w:rsid w:val="52A810DE"/>
    <w:rsid w:val="52D515ED"/>
    <w:rsid w:val="52F2390F"/>
    <w:rsid w:val="5305328B"/>
    <w:rsid w:val="530557FB"/>
    <w:rsid w:val="53071CE4"/>
    <w:rsid w:val="53312A7E"/>
    <w:rsid w:val="53322F4E"/>
    <w:rsid w:val="53392251"/>
    <w:rsid w:val="53752FF0"/>
    <w:rsid w:val="538275E0"/>
    <w:rsid w:val="538452A3"/>
    <w:rsid w:val="53851D39"/>
    <w:rsid w:val="53A039CC"/>
    <w:rsid w:val="53A1505A"/>
    <w:rsid w:val="53BE223A"/>
    <w:rsid w:val="53C37193"/>
    <w:rsid w:val="53C70CE0"/>
    <w:rsid w:val="53D519BD"/>
    <w:rsid w:val="53DA3115"/>
    <w:rsid w:val="53EE5DA1"/>
    <w:rsid w:val="53FB1284"/>
    <w:rsid w:val="54063E08"/>
    <w:rsid w:val="54192D49"/>
    <w:rsid w:val="541E2956"/>
    <w:rsid w:val="541F4E9E"/>
    <w:rsid w:val="542A65BA"/>
    <w:rsid w:val="543437E8"/>
    <w:rsid w:val="543600AC"/>
    <w:rsid w:val="543C5B7E"/>
    <w:rsid w:val="5455279C"/>
    <w:rsid w:val="5457313C"/>
    <w:rsid w:val="545B0BB2"/>
    <w:rsid w:val="54694A42"/>
    <w:rsid w:val="547A4864"/>
    <w:rsid w:val="547A6043"/>
    <w:rsid w:val="547E58E4"/>
    <w:rsid w:val="5489196B"/>
    <w:rsid w:val="548B3A93"/>
    <w:rsid w:val="54991E5B"/>
    <w:rsid w:val="549D22DB"/>
    <w:rsid w:val="54A0469D"/>
    <w:rsid w:val="54AD082A"/>
    <w:rsid w:val="54AE4FD0"/>
    <w:rsid w:val="54B22C01"/>
    <w:rsid w:val="54CB6F02"/>
    <w:rsid w:val="54D8192A"/>
    <w:rsid w:val="54D913B1"/>
    <w:rsid w:val="54D91CA4"/>
    <w:rsid w:val="54E93B8A"/>
    <w:rsid w:val="54F73313"/>
    <w:rsid w:val="54F80955"/>
    <w:rsid w:val="54FB558D"/>
    <w:rsid w:val="55020BFF"/>
    <w:rsid w:val="550648AC"/>
    <w:rsid w:val="550F0176"/>
    <w:rsid w:val="551408A9"/>
    <w:rsid w:val="55166577"/>
    <w:rsid w:val="552C6669"/>
    <w:rsid w:val="552D2486"/>
    <w:rsid w:val="55384597"/>
    <w:rsid w:val="553845CD"/>
    <w:rsid w:val="55466588"/>
    <w:rsid w:val="554938FB"/>
    <w:rsid w:val="554C021D"/>
    <w:rsid w:val="554D5A93"/>
    <w:rsid w:val="555170A7"/>
    <w:rsid w:val="55631B76"/>
    <w:rsid w:val="55690F45"/>
    <w:rsid w:val="55776054"/>
    <w:rsid w:val="5587536D"/>
    <w:rsid w:val="558756D4"/>
    <w:rsid w:val="55943798"/>
    <w:rsid w:val="55944188"/>
    <w:rsid w:val="559B174B"/>
    <w:rsid w:val="559C26BB"/>
    <w:rsid w:val="55C900D6"/>
    <w:rsid w:val="55CE0CF4"/>
    <w:rsid w:val="55FA3F8D"/>
    <w:rsid w:val="56001797"/>
    <w:rsid w:val="56017EDC"/>
    <w:rsid w:val="560E5E6D"/>
    <w:rsid w:val="5611025A"/>
    <w:rsid w:val="5612303A"/>
    <w:rsid w:val="562974E6"/>
    <w:rsid w:val="562C3B5D"/>
    <w:rsid w:val="563C00B7"/>
    <w:rsid w:val="564158D4"/>
    <w:rsid w:val="565834E6"/>
    <w:rsid w:val="566E3B7C"/>
    <w:rsid w:val="567D7F9A"/>
    <w:rsid w:val="56837C14"/>
    <w:rsid w:val="56964F84"/>
    <w:rsid w:val="56A416C4"/>
    <w:rsid w:val="56AD5304"/>
    <w:rsid w:val="56AF0889"/>
    <w:rsid w:val="56AF5610"/>
    <w:rsid w:val="56B22A9C"/>
    <w:rsid w:val="56B65500"/>
    <w:rsid w:val="56CE4644"/>
    <w:rsid w:val="56D06A51"/>
    <w:rsid w:val="56E62EBB"/>
    <w:rsid w:val="56EB2A59"/>
    <w:rsid w:val="56F0164C"/>
    <w:rsid w:val="56F121FE"/>
    <w:rsid w:val="56F3703C"/>
    <w:rsid w:val="5714192E"/>
    <w:rsid w:val="571B616E"/>
    <w:rsid w:val="57220829"/>
    <w:rsid w:val="57222823"/>
    <w:rsid w:val="572A4DAB"/>
    <w:rsid w:val="572F4170"/>
    <w:rsid w:val="57303644"/>
    <w:rsid w:val="5739405E"/>
    <w:rsid w:val="573945F7"/>
    <w:rsid w:val="573A7C80"/>
    <w:rsid w:val="573E5891"/>
    <w:rsid w:val="574014E1"/>
    <w:rsid w:val="57435475"/>
    <w:rsid w:val="574F24A0"/>
    <w:rsid w:val="5755528B"/>
    <w:rsid w:val="576B70A8"/>
    <w:rsid w:val="576C1632"/>
    <w:rsid w:val="57985DE8"/>
    <w:rsid w:val="57B72A76"/>
    <w:rsid w:val="57C32EFF"/>
    <w:rsid w:val="57C3426C"/>
    <w:rsid w:val="57C44354"/>
    <w:rsid w:val="57C77E54"/>
    <w:rsid w:val="57CE1F93"/>
    <w:rsid w:val="57D13A95"/>
    <w:rsid w:val="57E70315"/>
    <w:rsid w:val="57EC089F"/>
    <w:rsid w:val="57FD1BD7"/>
    <w:rsid w:val="58046DDD"/>
    <w:rsid w:val="580F471A"/>
    <w:rsid w:val="581146D7"/>
    <w:rsid w:val="58165684"/>
    <w:rsid w:val="582B0D5A"/>
    <w:rsid w:val="583626A9"/>
    <w:rsid w:val="583A69BF"/>
    <w:rsid w:val="58425E81"/>
    <w:rsid w:val="58526BFB"/>
    <w:rsid w:val="5853340B"/>
    <w:rsid w:val="585A77F1"/>
    <w:rsid w:val="585D72FE"/>
    <w:rsid w:val="586711ED"/>
    <w:rsid w:val="586A1782"/>
    <w:rsid w:val="588743D1"/>
    <w:rsid w:val="5887701A"/>
    <w:rsid w:val="58A04599"/>
    <w:rsid w:val="58B44EDA"/>
    <w:rsid w:val="58D818BE"/>
    <w:rsid w:val="58DD0FB6"/>
    <w:rsid w:val="58FA7DB6"/>
    <w:rsid w:val="58FB6B44"/>
    <w:rsid w:val="59060CBD"/>
    <w:rsid w:val="59092DBA"/>
    <w:rsid w:val="590E6021"/>
    <w:rsid w:val="59314BBB"/>
    <w:rsid w:val="59322095"/>
    <w:rsid w:val="593E2100"/>
    <w:rsid w:val="594610C5"/>
    <w:rsid w:val="594C32EA"/>
    <w:rsid w:val="5951566D"/>
    <w:rsid w:val="59587A67"/>
    <w:rsid w:val="595F5746"/>
    <w:rsid w:val="59673F36"/>
    <w:rsid w:val="596C1C35"/>
    <w:rsid w:val="59743465"/>
    <w:rsid w:val="597B64D2"/>
    <w:rsid w:val="59821157"/>
    <w:rsid w:val="5983409C"/>
    <w:rsid w:val="598A23DF"/>
    <w:rsid w:val="5992000E"/>
    <w:rsid w:val="59986054"/>
    <w:rsid w:val="599C0D1B"/>
    <w:rsid w:val="59AE104F"/>
    <w:rsid w:val="59AE4DE3"/>
    <w:rsid w:val="59B166C6"/>
    <w:rsid w:val="59B9557B"/>
    <w:rsid w:val="59BA0EB4"/>
    <w:rsid w:val="59BA229B"/>
    <w:rsid w:val="59C0439F"/>
    <w:rsid w:val="59CB1E8E"/>
    <w:rsid w:val="59E02BAA"/>
    <w:rsid w:val="59EE2DC8"/>
    <w:rsid w:val="5A1207D6"/>
    <w:rsid w:val="5A1F4495"/>
    <w:rsid w:val="5A217850"/>
    <w:rsid w:val="5A2275C4"/>
    <w:rsid w:val="5A2C6503"/>
    <w:rsid w:val="5A3F58D5"/>
    <w:rsid w:val="5A407082"/>
    <w:rsid w:val="5A494B51"/>
    <w:rsid w:val="5A6B0F6B"/>
    <w:rsid w:val="5A6D575F"/>
    <w:rsid w:val="5A6F20DD"/>
    <w:rsid w:val="5A706581"/>
    <w:rsid w:val="5A7871E4"/>
    <w:rsid w:val="5A901FA7"/>
    <w:rsid w:val="5A9E0528"/>
    <w:rsid w:val="5AA069E9"/>
    <w:rsid w:val="5AA41B86"/>
    <w:rsid w:val="5AAD79C3"/>
    <w:rsid w:val="5AAF2183"/>
    <w:rsid w:val="5AB02966"/>
    <w:rsid w:val="5AB275F8"/>
    <w:rsid w:val="5ABE2233"/>
    <w:rsid w:val="5AC4018C"/>
    <w:rsid w:val="5AC448FB"/>
    <w:rsid w:val="5ACC0BF1"/>
    <w:rsid w:val="5AD362A5"/>
    <w:rsid w:val="5AD7447A"/>
    <w:rsid w:val="5ADF54B5"/>
    <w:rsid w:val="5AE575D9"/>
    <w:rsid w:val="5AEB07AC"/>
    <w:rsid w:val="5AEE25F4"/>
    <w:rsid w:val="5AF52175"/>
    <w:rsid w:val="5AF55DED"/>
    <w:rsid w:val="5AF80C77"/>
    <w:rsid w:val="5B01542B"/>
    <w:rsid w:val="5B161C64"/>
    <w:rsid w:val="5B1A473F"/>
    <w:rsid w:val="5B2468DE"/>
    <w:rsid w:val="5B321A1D"/>
    <w:rsid w:val="5B3D0B35"/>
    <w:rsid w:val="5B4A60C6"/>
    <w:rsid w:val="5B542B11"/>
    <w:rsid w:val="5B5D22E8"/>
    <w:rsid w:val="5B661732"/>
    <w:rsid w:val="5B7C2D04"/>
    <w:rsid w:val="5B84597F"/>
    <w:rsid w:val="5B8628BA"/>
    <w:rsid w:val="5B8D7DD4"/>
    <w:rsid w:val="5B95714F"/>
    <w:rsid w:val="5BA20133"/>
    <w:rsid w:val="5BCB0D54"/>
    <w:rsid w:val="5BD51AC0"/>
    <w:rsid w:val="5BDD1EFE"/>
    <w:rsid w:val="5BDF5D95"/>
    <w:rsid w:val="5BE72562"/>
    <w:rsid w:val="5BE85BAD"/>
    <w:rsid w:val="5BED4605"/>
    <w:rsid w:val="5BF74F7D"/>
    <w:rsid w:val="5BFE7528"/>
    <w:rsid w:val="5C0160DE"/>
    <w:rsid w:val="5C0210A2"/>
    <w:rsid w:val="5C130128"/>
    <w:rsid w:val="5C154544"/>
    <w:rsid w:val="5C192691"/>
    <w:rsid w:val="5C2151C7"/>
    <w:rsid w:val="5C243BDA"/>
    <w:rsid w:val="5C2B266E"/>
    <w:rsid w:val="5C2D707A"/>
    <w:rsid w:val="5C453DA2"/>
    <w:rsid w:val="5C470D3B"/>
    <w:rsid w:val="5C607E16"/>
    <w:rsid w:val="5C6478BA"/>
    <w:rsid w:val="5C657342"/>
    <w:rsid w:val="5C726C7B"/>
    <w:rsid w:val="5C7304BC"/>
    <w:rsid w:val="5C8B6717"/>
    <w:rsid w:val="5C8B6D21"/>
    <w:rsid w:val="5CB45D9B"/>
    <w:rsid w:val="5CCD53D1"/>
    <w:rsid w:val="5CE80168"/>
    <w:rsid w:val="5D141DB5"/>
    <w:rsid w:val="5D317D46"/>
    <w:rsid w:val="5D380EAD"/>
    <w:rsid w:val="5D3E4BE1"/>
    <w:rsid w:val="5D411385"/>
    <w:rsid w:val="5D452C0A"/>
    <w:rsid w:val="5D4642E1"/>
    <w:rsid w:val="5D5204C3"/>
    <w:rsid w:val="5D522274"/>
    <w:rsid w:val="5D57460C"/>
    <w:rsid w:val="5D5A6369"/>
    <w:rsid w:val="5D681792"/>
    <w:rsid w:val="5D6F07E9"/>
    <w:rsid w:val="5D812854"/>
    <w:rsid w:val="5D83481E"/>
    <w:rsid w:val="5D8A7119"/>
    <w:rsid w:val="5D8B2BF2"/>
    <w:rsid w:val="5D995E31"/>
    <w:rsid w:val="5DA30A1C"/>
    <w:rsid w:val="5DA426E1"/>
    <w:rsid w:val="5DA6410C"/>
    <w:rsid w:val="5DA80601"/>
    <w:rsid w:val="5DB84622"/>
    <w:rsid w:val="5DDC7A8A"/>
    <w:rsid w:val="5DE4547F"/>
    <w:rsid w:val="5DE51034"/>
    <w:rsid w:val="5DEF0077"/>
    <w:rsid w:val="5DF4093E"/>
    <w:rsid w:val="5DF931CC"/>
    <w:rsid w:val="5DFF7059"/>
    <w:rsid w:val="5E02779D"/>
    <w:rsid w:val="5E0B252C"/>
    <w:rsid w:val="5E0D5926"/>
    <w:rsid w:val="5E11177E"/>
    <w:rsid w:val="5E2315F3"/>
    <w:rsid w:val="5E2467F1"/>
    <w:rsid w:val="5E294B0F"/>
    <w:rsid w:val="5E2B3917"/>
    <w:rsid w:val="5E2C1D80"/>
    <w:rsid w:val="5E356D3B"/>
    <w:rsid w:val="5E463800"/>
    <w:rsid w:val="5E485E97"/>
    <w:rsid w:val="5E550FC3"/>
    <w:rsid w:val="5E654B5C"/>
    <w:rsid w:val="5E696F04"/>
    <w:rsid w:val="5E7637D5"/>
    <w:rsid w:val="5E8878B6"/>
    <w:rsid w:val="5E93370F"/>
    <w:rsid w:val="5E9D5D3F"/>
    <w:rsid w:val="5EA12874"/>
    <w:rsid w:val="5EAC0292"/>
    <w:rsid w:val="5EAF150A"/>
    <w:rsid w:val="5EAF7C6B"/>
    <w:rsid w:val="5EBA2ABA"/>
    <w:rsid w:val="5ED41FBB"/>
    <w:rsid w:val="5EDB7576"/>
    <w:rsid w:val="5EE17C1F"/>
    <w:rsid w:val="5EE73612"/>
    <w:rsid w:val="5EEE1566"/>
    <w:rsid w:val="5EEE2570"/>
    <w:rsid w:val="5EF12A9E"/>
    <w:rsid w:val="5EF41607"/>
    <w:rsid w:val="5EF655A2"/>
    <w:rsid w:val="5EFB0946"/>
    <w:rsid w:val="5EFC5C54"/>
    <w:rsid w:val="5F133994"/>
    <w:rsid w:val="5F17329D"/>
    <w:rsid w:val="5F1A2B43"/>
    <w:rsid w:val="5F3F098E"/>
    <w:rsid w:val="5F434416"/>
    <w:rsid w:val="5F4762FC"/>
    <w:rsid w:val="5F493995"/>
    <w:rsid w:val="5F5D7478"/>
    <w:rsid w:val="5F712AE3"/>
    <w:rsid w:val="5F795867"/>
    <w:rsid w:val="5F7B6654"/>
    <w:rsid w:val="5F82148C"/>
    <w:rsid w:val="5F8D3732"/>
    <w:rsid w:val="5F995A8C"/>
    <w:rsid w:val="5F9B66A4"/>
    <w:rsid w:val="5FA030CE"/>
    <w:rsid w:val="5FA15687"/>
    <w:rsid w:val="5FAA4838"/>
    <w:rsid w:val="5FB74466"/>
    <w:rsid w:val="5FB837BB"/>
    <w:rsid w:val="5FC21D9B"/>
    <w:rsid w:val="5FC3778A"/>
    <w:rsid w:val="5FC90AA0"/>
    <w:rsid w:val="5FD0361E"/>
    <w:rsid w:val="5FDE0505"/>
    <w:rsid w:val="5FE22FDD"/>
    <w:rsid w:val="5FF22547"/>
    <w:rsid w:val="5FF31A76"/>
    <w:rsid w:val="5FF602F9"/>
    <w:rsid w:val="5FF87A93"/>
    <w:rsid w:val="5FF95855"/>
    <w:rsid w:val="60056E47"/>
    <w:rsid w:val="60102B60"/>
    <w:rsid w:val="60324B03"/>
    <w:rsid w:val="60337DF2"/>
    <w:rsid w:val="60361D45"/>
    <w:rsid w:val="603A5F08"/>
    <w:rsid w:val="60453D0F"/>
    <w:rsid w:val="604A33D1"/>
    <w:rsid w:val="604E3F2D"/>
    <w:rsid w:val="605664B8"/>
    <w:rsid w:val="605E5793"/>
    <w:rsid w:val="606A2307"/>
    <w:rsid w:val="607A3CE7"/>
    <w:rsid w:val="608F6398"/>
    <w:rsid w:val="609650EF"/>
    <w:rsid w:val="60A800F7"/>
    <w:rsid w:val="60AE2BDD"/>
    <w:rsid w:val="60BC667B"/>
    <w:rsid w:val="60C211B9"/>
    <w:rsid w:val="60C23B49"/>
    <w:rsid w:val="60CC405A"/>
    <w:rsid w:val="60E65834"/>
    <w:rsid w:val="611B1C51"/>
    <w:rsid w:val="611B539B"/>
    <w:rsid w:val="612B1A19"/>
    <w:rsid w:val="61304DAF"/>
    <w:rsid w:val="613100ED"/>
    <w:rsid w:val="613320B7"/>
    <w:rsid w:val="613D18BC"/>
    <w:rsid w:val="614D447D"/>
    <w:rsid w:val="615367BD"/>
    <w:rsid w:val="615564D1"/>
    <w:rsid w:val="616056F1"/>
    <w:rsid w:val="61682AC9"/>
    <w:rsid w:val="616C63C6"/>
    <w:rsid w:val="616E139E"/>
    <w:rsid w:val="61794960"/>
    <w:rsid w:val="6183647C"/>
    <w:rsid w:val="61880C08"/>
    <w:rsid w:val="61984B8E"/>
    <w:rsid w:val="619863BE"/>
    <w:rsid w:val="619B53F9"/>
    <w:rsid w:val="61CB1C70"/>
    <w:rsid w:val="61CD41A5"/>
    <w:rsid w:val="61CD7F5E"/>
    <w:rsid w:val="61D30B1D"/>
    <w:rsid w:val="61DC027F"/>
    <w:rsid w:val="61DE0274"/>
    <w:rsid w:val="61E13790"/>
    <w:rsid w:val="61E215D8"/>
    <w:rsid w:val="61E932FC"/>
    <w:rsid w:val="61EB40B1"/>
    <w:rsid w:val="61EB713E"/>
    <w:rsid w:val="61F213CE"/>
    <w:rsid w:val="61F57FD2"/>
    <w:rsid w:val="61FB2878"/>
    <w:rsid w:val="61FC2B75"/>
    <w:rsid w:val="61FE7112"/>
    <w:rsid w:val="62031A89"/>
    <w:rsid w:val="621B3775"/>
    <w:rsid w:val="621D0D8A"/>
    <w:rsid w:val="622362D2"/>
    <w:rsid w:val="622469FC"/>
    <w:rsid w:val="622B4475"/>
    <w:rsid w:val="622C0670"/>
    <w:rsid w:val="622F41A7"/>
    <w:rsid w:val="62364782"/>
    <w:rsid w:val="62405659"/>
    <w:rsid w:val="624A7419"/>
    <w:rsid w:val="624F3E13"/>
    <w:rsid w:val="626B48EE"/>
    <w:rsid w:val="62720FA5"/>
    <w:rsid w:val="627A5566"/>
    <w:rsid w:val="627B106A"/>
    <w:rsid w:val="62824513"/>
    <w:rsid w:val="62841D7F"/>
    <w:rsid w:val="628E5152"/>
    <w:rsid w:val="628E58CD"/>
    <w:rsid w:val="6297037A"/>
    <w:rsid w:val="62A55497"/>
    <w:rsid w:val="62AD7C47"/>
    <w:rsid w:val="62BB0FCD"/>
    <w:rsid w:val="62C355DB"/>
    <w:rsid w:val="62C71588"/>
    <w:rsid w:val="62D1757B"/>
    <w:rsid w:val="62D36DBD"/>
    <w:rsid w:val="62DD439E"/>
    <w:rsid w:val="62E0001C"/>
    <w:rsid w:val="62E67B48"/>
    <w:rsid w:val="62EC3A50"/>
    <w:rsid w:val="63045C90"/>
    <w:rsid w:val="631C21AA"/>
    <w:rsid w:val="631F28F3"/>
    <w:rsid w:val="6325078B"/>
    <w:rsid w:val="632F393A"/>
    <w:rsid w:val="633839B4"/>
    <w:rsid w:val="6355741D"/>
    <w:rsid w:val="6361714A"/>
    <w:rsid w:val="63792218"/>
    <w:rsid w:val="637F7E41"/>
    <w:rsid w:val="63822E81"/>
    <w:rsid w:val="63860F6D"/>
    <w:rsid w:val="6394356A"/>
    <w:rsid w:val="63AD79E9"/>
    <w:rsid w:val="63BA72B4"/>
    <w:rsid w:val="63C61B2C"/>
    <w:rsid w:val="63D40BE9"/>
    <w:rsid w:val="63E17570"/>
    <w:rsid w:val="63E75C47"/>
    <w:rsid w:val="63EC7C4A"/>
    <w:rsid w:val="63F21220"/>
    <w:rsid w:val="63F35069"/>
    <w:rsid w:val="63FB1DF6"/>
    <w:rsid w:val="640B13D8"/>
    <w:rsid w:val="64102392"/>
    <w:rsid w:val="64102431"/>
    <w:rsid w:val="64177106"/>
    <w:rsid w:val="64183F13"/>
    <w:rsid w:val="64240300"/>
    <w:rsid w:val="64315F4E"/>
    <w:rsid w:val="64321894"/>
    <w:rsid w:val="64494292"/>
    <w:rsid w:val="644D1F7D"/>
    <w:rsid w:val="644F2E3C"/>
    <w:rsid w:val="64511081"/>
    <w:rsid w:val="64554D98"/>
    <w:rsid w:val="645D0CE8"/>
    <w:rsid w:val="646D1B22"/>
    <w:rsid w:val="649B15AC"/>
    <w:rsid w:val="64A10414"/>
    <w:rsid w:val="64A21A2D"/>
    <w:rsid w:val="64A33709"/>
    <w:rsid w:val="64A5243A"/>
    <w:rsid w:val="64BC215C"/>
    <w:rsid w:val="64CD1A9E"/>
    <w:rsid w:val="64DF2DAB"/>
    <w:rsid w:val="64E00B14"/>
    <w:rsid w:val="64EF30B3"/>
    <w:rsid w:val="64F531DE"/>
    <w:rsid w:val="64FA352D"/>
    <w:rsid w:val="64FC146D"/>
    <w:rsid w:val="64FF7945"/>
    <w:rsid w:val="651007F3"/>
    <w:rsid w:val="651259FD"/>
    <w:rsid w:val="651915CF"/>
    <w:rsid w:val="6523104F"/>
    <w:rsid w:val="65257F68"/>
    <w:rsid w:val="65265CC9"/>
    <w:rsid w:val="652B0DD1"/>
    <w:rsid w:val="65373578"/>
    <w:rsid w:val="65387B45"/>
    <w:rsid w:val="653B554A"/>
    <w:rsid w:val="653C19D4"/>
    <w:rsid w:val="65486B9A"/>
    <w:rsid w:val="65492975"/>
    <w:rsid w:val="654A318A"/>
    <w:rsid w:val="655F0CA4"/>
    <w:rsid w:val="655F2481"/>
    <w:rsid w:val="65625E1A"/>
    <w:rsid w:val="6578286F"/>
    <w:rsid w:val="657A4D27"/>
    <w:rsid w:val="657B5DDA"/>
    <w:rsid w:val="657C5CCE"/>
    <w:rsid w:val="65815649"/>
    <w:rsid w:val="65876E5A"/>
    <w:rsid w:val="658B18F4"/>
    <w:rsid w:val="659A527B"/>
    <w:rsid w:val="65A71CB8"/>
    <w:rsid w:val="65B25CA0"/>
    <w:rsid w:val="65BC3B18"/>
    <w:rsid w:val="65D04577"/>
    <w:rsid w:val="65D200F0"/>
    <w:rsid w:val="65DE60B0"/>
    <w:rsid w:val="65EA38BA"/>
    <w:rsid w:val="65FB0745"/>
    <w:rsid w:val="6606583D"/>
    <w:rsid w:val="662374E8"/>
    <w:rsid w:val="66320049"/>
    <w:rsid w:val="663662E9"/>
    <w:rsid w:val="66366E6C"/>
    <w:rsid w:val="663F3E7B"/>
    <w:rsid w:val="664649E4"/>
    <w:rsid w:val="664C7443"/>
    <w:rsid w:val="664D46E2"/>
    <w:rsid w:val="665136C4"/>
    <w:rsid w:val="66597653"/>
    <w:rsid w:val="665A57E4"/>
    <w:rsid w:val="666A711B"/>
    <w:rsid w:val="666E4CCC"/>
    <w:rsid w:val="6697332F"/>
    <w:rsid w:val="669C44A4"/>
    <w:rsid w:val="669E25EE"/>
    <w:rsid w:val="66A672BE"/>
    <w:rsid w:val="66AA2EF7"/>
    <w:rsid w:val="66B25FC1"/>
    <w:rsid w:val="66C76501"/>
    <w:rsid w:val="66D01BCB"/>
    <w:rsid w:val="66DC0AFB"/>
    <w:rsid w:val="66E474AD"/>
    <w:rsid w:val="66F2031E"/>
    <w:rsid w:val="66F27387"/>
    <w:rsid w:val="66FE141A"/>
    <w:rsid w:val="670124F6"/>
    <w:rsid w:val="67026C46"/>
    <w:rsid w:val="671109E2"/>
    <w:rsid w:val="67157D36"/>
    <w:rsid w:val="671F124A"/>
    <w:rsid w:val="672E46AD"/>
    <w:rsid w:val="672F3320"/>
    <w:rsid w:val="67336578"/>
    <w:rsid w:val="6735672D"/>
    <w:rsid w:val="67421C1A"/>
    <w:rsid w:val="675960DA"/>
    <w:rsid w:val="676D39FE"/>
    <w:rsid w:val="676E0346"/>
    <w:rsid w:val="676E1926"/>
    <w:rsid w:val="67734FB3"/>
    <w:rsid w:val="6776433B"/>
    <w:rsid w:val="6778718A"/>
    <w:rsid w:val="677A0429"/>
    <w:rsid w:val="677A0665"/>
    <w:rsid w:val="677A27ED"/>
    <w:rsid w:val="677A33C6"/>
    <w:rsid w:val="677A6C20"/>
    <w:rsid w:val="677C0A19"/>
    <w:rsid w:val="677F7FB2"/>
    <w:rsid w:val="678A07C4"/>
    <w:rsid w:val="67946077"/>
    <w:rsid w:val="679C3C32"/>
    <w:rsid w:val="679F23C0"/>
    <w:rsid w:val="67A428D3"/>
    <w:rsid w:val="67AA0F8D"/>
    <w:rsid w:val="67B52500"/>
    <w:rsid w:val="67BD1B62"/>
    <w:rsid w:val="67C32028"/>
    <w:rsid w:val="67C75F74"/>
    <w:rsid w:val="67D2026E"/>
    <w:rsid w:val="67DB7004"/>
    <w:rsid w:val="67E56D38"/>
    <w:rsid w:val="67EB3261"/>
    <w:rsid w:val="68136ACA"/>
    <w:rsid w:val="68164404"/>
    <w:rsid w:val="681B4F11"/>
    <w:rsid w:val="681F6961"/>
    <w:rsid w:val="68233CD5"/>
    <w:rsid w:val="682571B7"/>
    <w:rsid w:val="68262975"/>
    <w:rsid w:val="684F2F2C"/>
    <w:rsid w:val="68610A2F"/>
    <w:rsid w:val="68634616"/>
    <w:rsid w:val="68667971"/>
    <w:rsid w:val="686B1124"/>
    <w:rsid w:val="687731D1"/>
    <w:rsid w:val="688053D3"/>
    <w:rsid w:val="68805514"/>
    <w:rsid w:val="688364A3"/>
    <w:rsid w:val="688A46A7"/>
    <w:rsid w:val="68917687"/>
    <w:rsid w:val="68983653"/>
    <w:rsid w:val="689E250C"/>
    <w:rsid w:val="68A4640D"/>
    <w:rsid w:val="68AF11D4"/>
    <w:rsid w:val="68CB1F07"/>
    <w:rsid w:val="68CB51AC"/>
    <w:rsid w:val="68D02EA9"/>
    <w:rsid w:val="68DE77DF"/>
    <w:rsid w:val="68F4478C"/>
    <w:rsid w:val="68F77E6E"/>
    <w:rsid w:val="69055F3C"/>
    <w:rsid w:val="690C211C"/>
    <w:rsid w:val="690F0FD7"/>
    <w:rsid w:val="691C78D4"/>
    <w:rsid w:val="69265A83"/>
    <w:rsid w:val="692C55B4"/>
    <w:rsid w:val="692E17ED"/>
    <w:rsid w:val="69316E2F"/>
    <w:rsid w:val="69355FC7"/>
    <w:rsid w:val="694442CD"/>
    <w:rsid w:val="694E2071"/>
    <w:rsid w:val="69524000"/>
    <w:rsid w:val="695B237B"/>
    <w:rsid w:val="695D07F4"/>
    <w:rsid w:val="696109F0"/>
    <w:rsid w:val="69664FB4"/>
    <w:rsid w:val="69726D8F"/>
    <w:rsid w:val="69756195"/>
    <w:rsid w:val="69766163"/>
    <w:rsid w:val="697A3B33"/>
    <w:rsid w:val="6984682B"/>
    <w:rsid w:val="69875FEE"/>
    <w:rsid w:val="699031DE"/>
    <w:rsid w:val="69935836"/>
    <w:rsid w:val="699504D9"/>
    <w:rsid w:val="69974601"/>
    <w:rsid w:val="699D3AD9"/>
    <w:rsid w:val="699D4166"/>
    <w:rsid w:val="69BA6756"/>
    <w:rsid w:val="69C37C0C"/>
    <w:rsid w:val="69C87E1D"/>
    <w:rsid w:val="69CC01A4"/>
    <w:rsid w:val="69CD24A7"/>
    <w:rsid w:val="69D44760"/>
    <w:rsid w:val="69DC0F24"/>
    <w:rsid w:val="69E322D4"/>
    <w:rsid w:val="69E32FF7"/>
    <w:rsid w:val="69EA2BDC"/>
    <w:rsid w:val="6A097E59"/>
    <w:rsid w:val="6A136062"/>
    <w:rsid w:val="6A154A4F"/>
    <w:rsid w:val="6A156BEE"/>
    <w:rsid w:val="6A167CB7"/>
    <w:rsid w:val="6A173476"/>
    <w:rsid w:val="6A3C16A6"/>
    <w:rsid w:val="6A470FB0"/>
    <w:rsid w:val="6A520EC7"/>
    <w:rsid w:val="6A551D1C"/>
    <w:rsid w:val="6A570C2B"/>
    <w:rsid w:val="6A5B1321"/>
    <w:rsid w:val="6A66367A"/>
    <w:rsid w:val="6A6908F7"/>
    <w:rsid w:val="6A6A0C36"/>
    <w:rsid w:val="6A7A3701"/>
    <w:rsid w:val="6A826134"/>
    <w:rsid w:val="6A8676F4"/>
    <w:rsid w:val="6A9250CC"/>
    <w:rsid w:val="6A9C4383"/>
    <w:rsid w:val="6AA679F6"/>
    <w:rsid w:val="6AA954F1"/>
    <w:rsid w:val="6AA96BF3"/>
    <w:rsid w:val="6AB2092A"/>
    <w:rsid w:val="6AC4389A"/>
    <w:rsid w:val="6AD83C99"/>
    <w:rsid w:val="6ADE6DFF"/>
    <w:rsid w:val="6AE935D1"/>
    <w:rsid w:val="6AEA1BD2"/>
    <w:rsid w:val="6AED5AED"/>
    <w:rsid w:val="6AF056F7"/>
    <w:rsid w:val="6AF87E20"/>
    <w:rsid w:val="6B0146EE"/>
    <w:rsid w:val="6B057A7D"/>
    <w:rsid w:val="6B257A13"/>
    <w:rsid w:val="6B322639"/>
    <w:rsid w:val="6B3501C5"/>
    <w:rsid w:val="6B3F3A66"/>
    <w:rsid w:val="6B457CBA"/>
    <w:rsid w:val="6B47779F"/>
    <w:rsid w:val="6B4A3F4E"/>
    <w:rsid w:val="6B520E98"/>
    <w:rsid w:val="6B55084E"/>
    <w:rsid w:val="6B69787B"/>
    <w:rsid w:val="6B6A27AC"/>
    <w:rsid w:val="6B740425"/>
    <w:rsid w:val="6B7B56C6"/>
    <w:rsid w:val="6B814674"/>
    <w:rsid w:val="6B86060F"/>
    <w:rsid w:val="6B9B0F84"/>
    <w:rsid w:val="6BA32318"/>
    <w:rsid w:val="6BA86083"/>
    <w:rsid w:val="6BAF2C82"/>
    <w:rsid w:val="6BCD741A"/>
    <w:rsid w:val="6BDC43FA"/>
    <w:rsid w:val="6BE55BDB"/>
    <w:rsid w:val="6BE8464A"/>
    <w:rsid w:val="6BF863D7"/>
    <w:rsid w:val="6BFB7FA3"/>
    <w:rsid w:val="6BFC46FE"/>
    <w:rsid w:val="6C06579E"/>
    <w:rsid w:val="6C1467AC"/>
    <w:rsid w:val="6C1673CB"/>
    <w:rsid w:val="6C1C3785"/>
    <w:rsid w:val="6C3448D7"/>
    <w:rsid w:val="6C36710B"/>
    <w:rsid w:val="6C3C47FB"/>
    <w:rsid w:val="6C467713"/>
    <w:rsid w:val="6C4C1A48"/>
    <w:rsid w:val="6C4D0E5C"/>
    <w:rsid w:val="6C5555D7"/>
    <w:rsid w:val="6C5A4C04"/>
    <w:rsid w:val="6C636C38"/>
    <w:rsid w:val="6C6E7DA4"/>
    <w:rsid w:val="6C6F128D"/>
    <w:rsid w:val="6C946088"/>
    <w:rsid w:val="6CA91402"/>
    <w:rsid w:val="6CB23783"/>
    <w:rsid w:val="6CBB53E5"/>
    <w:rsid w:val="6CC738AC"/>
    <w:rsid w:val="6CC96212"/>
    <w:rsid w:val="6CD64D39"/>
    <w:rsid w:val="6CDF1345"/>
    <w:rsid w:val="6CE16F93"/>
    <w:rsid w:val="6CFD0BC9"/>
    <w:rsid w:val="6D01750D"/>
    <w:rsid w:val="6D0C3566"/>
    <w:rsid w:val="6D106B35"/>
    <w:rsid w:val="6D1D0784"/>
    <w:rsid w:val="6D1D2CB4"/>
    <w:rsid w:val="6D1F2F10"/>
    <w:rsid w:val="6D2D17D7"/>
    <w:rsid w:val="6D3A21F0"/>
    <w:rsid w:val="6D3D544E"/>
    <w:rsid w:val="6D400BB5"/>
    <w:rsid w:val="6D515F72"/>
    <w:rsid w:val="6D620362"/>
    <w:rsid w:val="6D812E96"/>
    <w:rsid w:val="6D85099A"/>
    <w:rsid w:val="6D964491"/>
    <w:rsid w:val="6D966EC8"/>
    <w:rsid w:val="6D9D2749"/>
    <w:rsid w:val="6DB34098"/>
    <w:rsid w:val="6DB545B6"/>
    <w:rsid w:val="6DB55363"/>
    <w:rsid w:val="6DBD283F"/>
    <w:rsid w:val="6DBF12DF"/>
    <w:rsid w:val="6DCF5414"/>
    <w:rsid w:val="6DD30DB6"/>
    <w:rsid w:val="6DD43FE3"/>
    <w:rsid w:val="6DD541BE"/>
    <w:rsid w:val="6DD662A4"/>
    <w:rsid w:val="6DDB0802"/>
    <w:rsid w:val="6DE02FB4"/>
    <w:rsid w:val="6DE40374"/>
    <w:rsid w:val="6DF14D7E"/>
    <w:rsid w:val="6E045A62"/>
    <w:rsid w:val="6E0B6418"/>
    <w:rsid w:val="6E101390"/>
    <w:rsid w:val="6E16664F"/>
    <w:rsid w:val="6E336A2E"/>
    <w:rsid w:val="6E3C004B"/>
    <w:rsid w:val="6E3E6138"/>
    <w:rsid w:val="6E494CC8"/>
    <w:rsid w:val="6E514CED"/>
    <w:rsid w:val="6E5E4E9D"/>
    <w:rsid w:val="6E76342B"/>
    <w:rsid w:val="6E926535"/>
    <w:rsid w:val="6E9E28F5"/>
    <w:rsid w:val="6EB563D5"/>
    <w:rsid w:val="6EC47BB6"/>
    <w:rsid w:val="6EC72A80"/>
    <w:rsid w:val="6ECC47A4"/>
    <w:rsid w:val="6ECD72D3"/>
    <w:rsid w:val="6ED92677"/>
    <w:rsid w:val="6EEF7766"/>
    <w:rsid w:val="6EF16572"/>
    <w:rsid w:val="6EF7159C"/>
    <w:rsid w:val="6EF83E19"/>
    <w:rsid w:val="6F160DE9"/>
    <w:rsid w:val="6F1A3762"/>
    <w:rsid w:val="6F1E2156"/>
    <w:rsid w:val="6F213497"/>
    <w:rsid w:val="6F225983"/>
    <w:rsid w:val="6F2C2B87"/>
    <w:rsid w:val="6F2E757B"/>
    <w:rsid w:val="6F3911E0"/>
    <w:rsid w:val="6F495C8D"/>
    <w:rsid w:val="6F4E2810"/>
    <w:rsid w:val="6F603822"/>
    <w:rsid w:val="6F8473D3"/>
    <w:rsid w:val="6F8D698F"/>
    <w:rsid w:val="6F8E1BD2"/>
    <w:rsid w:val="6F8F012D"/>
    <w:rsid w:val="6F9C351D"/>
    <w:rsid w:val="6FA038B1"/>
    <w:rsid w:val="6FAA2176"/>
    <w:rsid w:val="6FAF0E8B"/>
    <w:rsid w:val="6FBD5AA9"/>
    <w:rsid w:val="6FBF71B0"/>
    <w:rsid w:val="6FCD1928"/>
    <w:rsid w:val="6FCD5D09"/>
    <w:rsid w:val="6FDB1163"/>
    <w:rsid w:val="6FEC3922"/>
    <w:rsid w:val="6FFB432F"/>
    <w:rsid w:val="6FFB5E31"/>
    <w:rsid w:val="6FFC5590"/>
    <w:rsid w:val="700536BA"/>
    <w:rsid w:val="702D6433"/>
    <w:rsid w:val="703F6C00"/>
    <w:rsid w:val="704C5E79"/>
    <w:rsid w:val="7053040C"/>
    <w:rsid w:val="706D1DD0"/>
    <w:rsid w:val="70755D62"/>
    <w:rsid w:val="7079270E"/>
    <w:rsid w:val="70856B87"/>
    <w:rsid w:val="708929F4"/>
    <w:rsid w:val="708B69B7"/>
    <w:rsid w:val="709500AD"/>
    <w:rsid w:val="7098367E"/>
    <w:rsid w:val="709B1F71"/>
    <w:rsid w:val="709B7CF2"/>
    <w:rsid w:val="70AC7790"/>
    <w:rsid w:val="70C40FA3"/>
    <w:rsid w:val="70CB13D0"/>
    <w:rsid w:val="70D527EE"/>
    <w:rsid w:val="70D610A4"/>
    <w:rsid w:val="70E65B7C"/>
    <w:rsid w:val="70F00EBB"/>
    <w:rsid w:val="70F73003"/>
    <w:rsid w:val="710D4CA3"/>
    <w:rsid w:val="711258E5"/>
    <w:rsid w:val="71142448"/>
    <w:rsid w:val="71242427"/>
    <w:rsid w:val="714262AF"/>
    <w:rsid w:val="714A304C"/>
    <w:rsid w:val="714D4ACF"/>
    <w:rsid w:val="71553E88"/>
    <w:rsid w:val="715966F9"/>
    <w:rsid w:val="715B5300"/>
    <w:rsid w:val="71654D57"/>
    <w:rsid w:val="71781678"/>
    <w:rsid w:val="717C4356"/>
    <w:rsid w:val="71806B31"/>
    <w:rsid w:val="7191387A"/>
    <w:rsid w:val="71937F62"/>
    <w:rsid w:val="71A4119B"/>
    <w:rsid w:val="71A47801"/>
    <w:rsid w:val="71AB50EA"/>
    <w:rsid w:val="71AD3177"/>
    <w:rsid w:val="71AE23B8"/>
    <w:rsid w:val="71B15540"/>
    <w:rsid w:val="71C823A7"/>
    <w:rsid w:val="71CE0BEC"/>
    <w:rsid w:val="71D23226"/>
    <w:rsid w:val="71D27F8A"/>
    <w:rsid w:val="71D419FC"/>
    <w:rsid w:val="71D72C0E"/>
    <w:rsid w:val="71DD1B82"/>
    <w:rsid w:val="71E23E81"/>
    <w:rsid w:val="71FB452B"/>
    <w:rsid w:val="720158C4"/>
    <w:rsid w:val="72023ED1"/>
    <w:rsid w:val="720316D1"/>
    <w:rsid w:val="7210451A"/>
    <w:rsid w:val="72235394"/>
    <w:rsid w:val="72324158"/>
    <w:rsid w:val="723426C3"/>
    <w:rsid w:val="72361BD5"/>
    <w:rsid w:val="724B5428"/>
    <w:rsid w:val="72553024"/>
    <w:rsid w:val="72625B5F"/>
    <w:rsid w:val="72682D0E"/>
    <w:rsid w:val="7274711D"/>
    <w:rsid w:val="729A3850"/>
    <w:rsid w:val="729B2130"/>
    <w:rsid w:val="72A03C9D"/>
    <w:rsid w:val="72A3143C"/>
    <w:rsid w:val="72A379C3"/>
    <w:rsid w:val="72D218D8"/>
    <w:rsid w:val="72D7359F"/>
    <w:rsid w:val="72DC0618"/>
    <w:rsid w:val="72E84CEF"/>
    <w:rsid w:val="72F14D63"/>
    <w:rsid w:val="72FB18D5"/>
    <w:rsid w:val="72FE7439"/>
    <w:rsid w:val="730D205E"/>
    <w:rsid w:val="73122968"/>
    <w:rsid w:val="73135E9A"/>
    <w:rsid w:val="731801B1"/>
    <w:rsid w:val="731F5D5E"/>
    <w:rsid w:val="73286350"/>
    <w:rsid w:val="732878BB"/>
    <w:rsid w:val="732E0930"/>
    <w:rsid w:val="7354147A"/>
    <w:rsid w:val="735C1FAD"/>
    <w:rsid w:val="735D2FC3"/>
    <w:rsid w:val="73615680"/>
    <w:rsid w:val="737B65F3"/>
    <w:rsid w:val="737C169B"/>
    <w:rsid w:val="737F03B6"/>
    <w:rsid w:val="738C4580"/>
    <w:rsid w:val="73927111"/>
    <w:rsid w:val="73950FAE"/>
    <w:rsid w:val="739C1156"/>
    <w:rsid w:val="73BB0C87"/>
    <w:rsid w:val="73C14486"/>
    <w:rsid w:val="73C40B67"/>
    <w:rsid w:val="73C51AD5"/>
    <w:rsid w:val="73C84A4E"/>
    <w:rsid w:val="73CB0B61"/>
    <w:rsid w:val="73D802CE"/>
    <w:rsid w:val="73DC65DE"/>
    <w:rsid w:val="7403605F"/>
    <w:rsid w:val="740E1EB6"/>
    <w:rsid w:val="74123846"/>
    <w:rsid w:val="74147A7B"/>
    <w:rsid w:val="7417620E"/>
    <w:rsid w:val="741A5E66"/>
    <w:rsid w:val="741E793C"/>
    <w:rsid w:val="741F49C9"/>
    <w:rsid w:val="74323E5B"/>
    <w:rsid w:val="743B3D59"/>
    <w:rsid w:val="744011EB"/>
    <w:rsid w:val="74464C29"/>
    <w:rsid w:val="74482D82"/>
    <w:rsid w:val="744A020D"/>
    <w:rsid w:val="744C7914"/>
    <w:rsid w:val="744F6DB0"/>
    <w:rsid w:val="745E3944"/>
    <w:rsid w:val="745F630E"/>
    <w:rsid w:val="7464262C"/>
    <w:rsid w:val="746A6196"/>
    <w:rsid w:val="746F40D1"/>
    <w:rsid w:val="7472351F"/>
    <w:rsid w:val="747269CA"/>
    <w:rsid w:val="747B04F9"/>
    <w:rsid w:val="748754F9"/>
    <w:rsid w:val="748955C0"/>
    <w:rsid w:val="748E680A"/>
    <w:rsid w:val="7491196F"/>
    <w:rsid w:val="74A631FB"/>
    <w:rsid w:val="74B0584E"/>
    <w:rsid w:val="74B77B69"/>
    <w:rsid w:val="74BC7628"/>
    <w:rsid w:val="74DD75F0"/>
    <w:rsid w:val="74DF682F"/>
    <w:rsid w:val="74E605CD"/>
    <w:rsid w:val="74F032A0"/>
    <w:rsid w:val="74FE6368"/>
    <w:rsid w:val="75222FF1"/>
    <w:rsid w:val="75260638"/>
    <w:rsid w:val="753C12D6"/>
    <w:rsid w:val="754C6432"/>
    <w:rsid w:val="755121C2"/>
    <w:rsid w:val="755F77CE"/>
    <w:rsid w:val="756E6B86"/>
    <w:rsid w:val="757009BF"/>
    <w:rsid w:val="757474ED"/>
    <w:rsid w:val="75765064"/>
    <w:rsid w:val="757936B7"/>
    <w:rsid w:val="75824187"/>
    <w:rsid w:val="758B04AE"/>
    <w:rsid w:val="758D0A39"/>
    <w:rsid w:val="75981ABF"/>
    <w:rsid w:val="759C3BA3"/>
    <w:rsid w:val="75CE1FAD"/>
    <w:rsid w:val="75D600B9"/>
    <w:rsid w:val="75D704AF"/>
    <w:rsid w:val="75DC693C"/>
    <w:rsid w:val="75F927F2"/>
    <w:rsid w:val="76020568"/>
    <w:rsid w:val="76057626"/>
    <w:rsid w:val="761D6EC0"/>
    <w:rsid w:val="763357EA"/>
    <w:rsid w:val="7635099D"/>
    <w:rsid w:val="7639575C"/>
    <w:rsid w:val="7651279B"/>
    <w:rsid w:val="765273F2"/>
    <w:rsid w:val="76630776"/>
    <w:rsid w:val="76630B09"/>
    <w:rsid w:val="76674885"/>
    <w:rsid w:val="767A0797"/>
    <w:rsid w:val="76827CE2"/>
    <w:rsid w:val="76840610"/>
    <w:rsid w:val="768E65C2"/>
    <w:rsid w:val="769349C4"/>
    <w:rsid w:val="76A44A0A"/>
    <w:rsid w:val="76AD7650"/>
    <w:rsid w:val="76B0301B"/>
    <w:rsid w:val="76BC4D68"/>
    <w:rsid w:val="76D055EE"/>
    <w:rsid w:val="76F3122A"/>
    <w:rsid w:val="76F679B7"/>
    <w:rsid w:val="76FC79C0"/>
    <w:rsid w:val="77040325"/>
    <w:rsid w:val="771816DB"/>
    <w:rsid w:val="773109EF"/>
    <w:rsid w:val="77342B51"/>
    <w:rsid w:val="77536BB7"/>
    <w:rsid w:val="776808B4"/>
    <w:rsid w:val="77762421"/>
    <w:rsid w:val="778458B6"/>
    <w:rsid w:val="7793219E"/>
    <w:rsid w:val="779F7920"/>
    <w:rsid w:val="77B113F5"/>
    <w:rsid w:val="77B56B1F"/>
    <w:rsid w:val="77B92F89"/>
    <w:rsid w:val="77C1415C"/>
    <w:rsid w:val="77C15B51"/>
    <w:rsid w:val="77EE72B3"/>
    <w:rsid w:val="77F03A1E"/>
    <w:rsid w:val="78024B63"/>
    <w:rsid w:val="780D67C1"/>
    <w:rsid w:val="780F09F4"/>
    <w:rsid w:val="78202F3D"/>
    <w:rsid w:val="78260E50"/>
    <w:rsid w:val="78284C3A"/>
    <w:rsid w:val="78413E15"/>
    <w:rsid w:val="78486109"/>
    <w:rsid w:val="785C4F2B"/>
    <w:rsid w:val="78704E70"/>
    <w:rsid w:val="78713799"/>
    <w:rsid w:val="78850A4A"/>
    <w:rsid w:val="78A90480"/>
    <w:rsid w:val="78AE246B"/>
    <w:rsid w:val="78CE5318"/>
    <w:rsid w:val="78E7428E"/>
    <w:rsid w:val="78EC72C3"/>
    <w:rsid w:val="78F22662"/>
    <w:rsid w:val="78F35734"/>
    <w:rsid w:val="790E52F6"/>
    <w:rsid w:val="793C7DFD"/>
    <w:rsid w:val="794232C9"/>
    <w:rsid w:val="794744F9"/>
    <w:rsid w:val="795F2FC8"/>
    <w:rsid w:val="79616027"/>
    <w:rsid w:val="79654980"/>
    <w:rsid w:val="7966214C"/>
    <w:rsid w:val="797D617F"/>
    <w:rsid w:val="7999747D"/>
    <w:rsid w:val="79A032F2"/>
    <w:rsid w:val="79C02D02"/>
    <w:rsid w:val="79C44F96"/>
    <w:rsid w:val="79CC49FF"/>
    <w:rsid w:val="79D4369F"/>
    <w:rsid w:val="79DA77E0"/>
    <w:rsid w:val="79DD04AA"/>
    <w:rsid w:val="79DF5FA1"/>
    <w:rsid w:val="79FC7C87"/>
    <w:rsid w:val="7A163075"/>
    <w:rsid w:val="7A176FAF"/>
    <w:rsid w:val="7A1C0F62"/>
    <w:rsid w:val="7A2B019E"/>
    <w:rsid w:val="7A322F75"/>
    <w:rsid w:val="7A364017"/>
    <w:rsid w:val="7A392B08"/>
    <w:rsid w:val="7A3A68CF"/>
    <w:rsid w:val="7A3F3AF5"/>
    <w:rsid w:val="7A40754D"/>
    <w:rsid w:val="7A564AF9"/>
    <w:rsid w:val="7A5B2728"/>
    <w:rsid w:val="7A664E53"/>
    <w:rsid w:val="7A6A6793"/>
    <w:rsid w:val="7A753CFE"/>
    <w:rsid w:val="7A78076D"/>
    <w:rsid w:val="7A785523"/>
    <w:rsid w:val="7A82192C"/>
    <w:rsid w:val="7A824E0F"/>
    <w:rsid w:val="7A8265E1"/>
    <w:rsid w:val="7A855AA1"/>
    <w:rsid w:val="7A8C5A06"/>
    <w:rsid w:val="7A924D05"/>
    <w:rsid w:val="7A93661D"/>
    <w:rsid w:val="7A94551C"/>
    <w:rsid w:val="7A9D6EC6"/>
    <w:rsid w:val="7AA228DD"/>
    <w:rsid w:val="7AAA43D3"/>
    <w:rsid w:val="7AB657CF"/>
    <w:rsid w:val="7AD97C60"/>
    <w:rsid w:val="7ADC784E"/>
    <w:rsid w:val="7AF03C6C"/>
    <w:rsid w:val="7AFA4617"/>
    <w:rsid w:val="7AFD63AC"/>
    <w:rsid w:val="7B016954"/>
    <w:rsid w:val="7B076AA0"/>
    <w:rsid w:val="7B0D0704"/>
    <w:rsid w:val="7B0D52C5"/>
    <w:rsid w:val="7B4C22AF"/>
    <w:rsid w:val="7B4F58E7"/>
    <w:rsid w:val="7B576CBD"/>
    <w:rsid w:val="7B686D42"/>
    <w:rsid w:val="7B767318"/>
    <w:rsid w:val="7B7C1976"/>
    <w:rsid w:val="7B7F341F"/>
    <w:rsid w:val="7B832F8F"/>
    <w:rsid w:val="7B841746"/>
    <w:rsid w:val="7B851CEF"/>
    <w:rsid w:val="7B917CAE"/>
    <w:rsid w:val="7B926952"/>
    <w:rsid w:val="7B9F7631"/>
    <w:rsid w:val="7BA21329"/>
    <w:rsid w:val="7BAA4311"/>
    <w:rsid w:val="7BAE5340"/>
    <w:rsid w:val="7BB93E9E"/>
    <w:rsid w:val="7BC20200"/>
    <w:rsid w:val="7BDA1655"/>
    <w:rsid w:val="7BDB7218"/>
    <w:rsid w:val="7BE01478"/>
    <w:rsid w:val="7BE44282"/>
    <w:rsid w:val="7BE87A15"/>
    <w:rsid w:val="7BF729E6"/>
    <w:rsid w:val="7BF92281"/>
    <w:rsid w:val="7BFD5D5C"/>
    <w:rsid w:val="7C0D17E9"/>
    <w:rsid w:val="7C1229C4"/>
    <w:rsid w:val="7C18270A"/>
    <w:rsid w:val="7C1879AF"/>
    <w:rsid w:val="7C2F7BF3"/>
    <w:rsid w:val="7C35666D"/>
    <w:rsid w:val="7C383D41"/>
    <w:rsid w:val="7C3D3992"/>
    <w:rsid w:val="7C46398C"/>
    <w:rsid w:val="7C672466"/>
    <w:rsid w:val="7C683FCF"/>
    <w:rsid w:val="7C6C5AC7"/>
    <w:rsid w:val="7C7F50BC"/>
    <w:rsid w:val="7C8A1AAC"/>
    <w:rsid w:val="7C8D60F0"/>
    <w:rsid w:val="7CA275A8"/>
    <w:rsid w:val="7CB03FB6"/>
    <w:rsid w:val="7CB361FC"/>
    <w:rsid w:val="7CC6544B"/>
    <w:rsid w:val="7CCC044E"/>
    <w:rsid w:val="7CD225D7"/>
    <w:rsid w:val="7CEE3C27"/>
    <w:rsid w:val="7CF42F0C"/>
    <w:rsid w:val="7CF44594"/>
    <w:rsid w:val="7CFB02CC"/>
    <w:rsid w:val="7D0018AE"/>
    <w:rsid w:val="7D015C0E"/>
    <w:rsid w:val="7D0239FF"/>
    <w:rsid w:val="7D135EC8"/>
    <w:rsid w:val="7D1C053B"/>
    <w:rsid w:val="7D2D00E6"/>
    <w:rsid w:val="7D2F0EC6"/>
    <w:rsid w:val="7D3A6273"/>
    <w:rsid w:val="7D3D7B79"/>
    <w:rsid w:val="7D3F103A"/>
    <w:rsid w:val="7D3F78CF"/>
    <w:rsid w:val="7D4412A3"/>
    <w:rsid w:val="7D49631C"/>
    <w:rsid w:val="7D4D4666"/>
    <w:rsid w:val="7D4E7ED8"/>
    <w:rsid w:val="7D5E40CD"/>
    <w:rsid w:val="7D6806CE"/>
    <w:rsid w:val="7D731D61"/>
    <w:rsid w:val="7D7633A2"/>
    <w:rsid w:val="7D767281"/>
    <w:rsid w:val="7D7D2BE0"/>
    <w:rsid w:val="7D906AE0"/>
    <w:rsid w:val="7D963F52"/>
    <w:rsid w:val="7D9A1627"/>
    <w:rsid w:val="7D9B4026"/>
    <w:rsid w:val="7DA61C25"/>
    <w:rsid w:val="7DB9229C"/>
    <w:rsid w:val="7DC06C54"/>
    <w:rsid w:val="7DC80C8F"/>
    <w:rsid w:val="7DCD56F2"/>
    <w:rsid w:val="7DDB284C"/>
    <w:rsid w:val="7DE24576"/>
    <w:rsid w:val="7DE70059"/>
    <w:rsid w:val="7DF03D1F"/>
    <w:rsid w:val="7DF509C8"/>
    <w:rsid w:val="7E0235B7"/>
    <w:rsid w:val="7E153458"/>
    <w:rsid w:val="7E214A4C"/>
    <w:rsid w:val="7E316132"/>
    <w:rsid w:val="7E322735"/>
    <w:rsid w:val="7E38096E"/>
    <w:rsid w:val="7E415E6E"/>
    <w:rsid w:val="7E4542F0"/>
    <w:rsid w:val="7E552544"/>
    <w:rsid w:val="7E560C13"/>
    <w:rsid w:val="7E5F0C57"/>
    <w:rsid w:val="7E60358A"/>
    <w:rsid w:val="7E6317B5"/>
    <w:rsid w:val="7E6C61A3"/>
    <w:rsid w:val="7E7713DD"/>
    <w:rsid w:val="7E7C2A3B"/>
    <w:rsid w:val="7E900D64"/>
    <w:rsid w:val="7E9472CA"/>
    <w:rsid w:val="7E963858"/>
    <w:rsid w:val="7EB160A3"/>
    <w:rsid w:val="7EC16169"/>
    <w:rsid w:val="7EC23286"/>
    <w:rsid w:val="7EC32874"/>
    <w:rsid w:val="7EC431B6"/>
    <w:rsid w:val="7EDD771A"/>
    <w:rsid w:val="7EE822DB"/>
    <w:rsid w:val="7EEE7363"/>
    <w:rsid w:val="7EEF71FF"/>
    <w:rsid w:val="7F001CE7"/>
    <w:rsid w:val="7F0A529C"/>
    <w:rsid w:val="7F101870"/>
    <w:rsid w:val="7F127358"/>
    <w:rsid w:val="7F143602"/>
    <w:rsid w:val="7F295606"/>
    <w:rsid w:val="7F3207A9"/>
    <w:rsid w:val="7F3B4E64"/>
    <w:rsid w:val="7F413799"/>
    <w:rsid w:val="7F421F1A"/>
    <w:rsid w:val="7F500240"/>
    <w:rsid w:val="7F594702"/>
    <w:rsid w:val="7F5F2CA3"/>
    <w:rsid w:val="7F62208D"/>
    <w:rsid w:val="7F6A0F51"/>
    <w:rsid w:val="7F6C6A85"/>
    <w:rsid w:val="7F7B3B40"/>
    <w:rsid w:val="7F81138E"/>
    <w:rsid w:val="7F813244"/>
    <w:rsid w:val="7F9718F3"/>
    <w:rsid w:val="7FB917D7"/>
    <w:rsid w:val="7FC958EF"/>
    <w:rsid w:val="7FCE4CB2"/>
    <w:rsid w:val="7FD33565"/>
    <w:rsid w:val="7FDA080C"/>
    <w:rsid w:val="7FDC71C6"/>
    <w:rsid w:val="7FE47E50"/>
    <w:rsid w:val="7FE51A2B"/>
    <w:rsid w:val="7FE62EFE"/>
    <w:rsid w:val="7FE74A2C"/>
    <w:rsid w:val="7FED4879"/>
    <w:rsid w:val="7FF244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9" w:semiHidden="0" w:name="heading 4" w:locked="1"/>
    <w:lsdException w:qFormat="1" w:unhideWhenUsed="0" w:uiPriority="1"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200" w:after="200"/>
      <w:jc w:val="left"/>
      <w:outlineLvl w:val="1"/>
    </w:pPr>
    <w:rPr>
      <w:b/>
      <w:bCs/>
      <w:sz w:val="32"/>
      <w:szCs w:val="32"/>
    </w:rPr>
  </w:style>
  <w:style w:type="paragraph" w:styleId="4">
    <w:name w:val="heading 3"/>
    <w:basedOn w:val="1"/>
    <w:next w:val="1"/>
    <w:link w:val="53"/>
    <w:qFormat/>
    <w:locked/>
    <w:uiPriority w:val="0"/>
    <w:pPr>
      <w:keepNext/>
      <w:keepLines/>
      <w:spacing w:before="260" w:after="260" w:line="416" w:lineRule="auto"/>
      <w:outlineLvl w:val="2"/>
    </w:pPr>
    <w:rPr>
      <w:b/>
      <w:bCs/>
      <w:sz w:val="32"/>
      <w:szCs w:val="32"/>
    </w:rPr>
  </w:style>
  <w:style w:type="paragraph" w:styleId="5">
    <w:name w:val="heading 4"/>
    <w:basedOn w:val="1"/>
    <w:next w:val="1"/>
    <w:qFormat/>
    <w:locked/>
    <w:uiPriority w:val="9"/>
    <w:pPr>
      <w:keepNext/>
      <w:keepLines/>
      <w:spacing w:after="120"/>
      <w:jc w:val="left"/>
      <w:outlineLvl w:val="3"/>
    </w:pPr>
    <w:rPr>
      <w:rFonts w:eastAsia="黑体"/>
      <w:b/>
      <w:sz w:val="28"/>
    </w:rPr>
  </w:style>
  <w:style w:type="paragraph" w:styleId="6">
    <w:name w:val="heading 5"/>
    <w:basedOn w:val="1"/>
    <w:next w:val="1"/>
    <w:qFormat/>
    <w:locked/>
    <w:uiPriority w:val="1"/>
    <w:pPr>
      <w:ind w:left="1534"/>
      <w:outlineLvl w:val="4"/>
    </w:pPr>
    <w:rPr>
      <w:rFonts w:ascii="宋体" w:hAnsi="宋体" w:cs="宋体"/>
      <w:b/>
      <w:bCs/>
      <w:sz w:val="24"/>
      <w:lang w:val="zh-CN" w:bidi="zh-CN"/>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7">
    <w:name w:val="table of authorities"/>
    <w:basedOn w:val="1"/>
    <w:next w:val="1"/>
    <w:qFormat/>
    <w:locked/>
    <w:uiPriority w:val="0"/>
    <w:pPr>
      <w:spacing w:line="360" w:lineRule="auto"/>
      <w:ind w:left="420" w:leftChars="200" w:firstLine="640" w:firstLineChars="200"/>
    </w:pPr>
    <w:rPr>
      <w:sz w:val="24"/>
      <w:szCs w:val="24"/>
    </w:rPr>
  </w:style>
  <w:style w:type="paragraph" w:styleId="8">
    <w:name w:val="Normal Indent"/>
    <w:basedOn w:val="1"/>
    <w:next w:val="1"/>
    <w:qFormat/>
    <w:locked/>
    <w:uiPriority w:val="0"/>
    <w:pPr>
      <w:ind w:firstLine="420"/>
    </w:pPr>
    <w:rPr>
      <w:rFonts w:eastAsia="仿宋_GB2312"/>
    </w:rPr>
  </w:style>
  <w:style w:type="paragraph" w:styleId="9">
    <w:name w:val="caption"/>
    <w:basedOn w:val="1"/>
    <w:next w:val="1"/>
    <w:qFormat/>
    <w:locked/>
    <w:uiPriority w:val="0"/>
    <w:pPr>
      <w:keepNext/>
      <w:snapToGrid w:val="0"/>
      <w:jc w:val="center"/>
    </w:pPr>
    <w:rPr>
      <w:rFonts w:hAnsi="宋体" w:cs="Arial"/>
    </w:rPr>
  </w:style>
  <w:style w:type="paragraph" w:styleId="10">
    <w:name w:val="Document Map"/>
    <w:basedOn w:val="1"/>
    <w:next w:val="11"/>
    <w:semiHidden/>
    <w:qFormat/>
    <w:locked/>
    <w:uiPriority w:val="0"/>
    <w:pPr>
      <w:spacing w:line="520" w:lineRule="exact"/>
      <w:ind w:firstLine="880" w:firstLineChars="200"/>
    </w:pPr>
    <w:rPr>
      <w:rFonts w:cs="仿宋_GB2312"/>
      <w:sz w:val="18"/>
      <w:szCs w:val="18"/>
    </w:rPr>
  </w:style>
  <w:style w:type="paragraph" w:styleId="11">
    <w:name w:val="Body Text 3"/>
    <w:basedOn w:val="1"/>
    <w:next w:val="12"/>
    <w:qFormat/>
    <w:locked/>
    <w:uiPriority w:val="0"/>
    <w:pPr>
      <w:ind w:firstLine="3584"/>
    </w:pPr>
  </w:style>
  <w:style w:type="paragraph" w:styleId="12">
    <w:name w:val="Body Text Indent"/>
    <w:basedOn w:val="1"/>
    <w:link w:val="56"/>
    <w:qFormat/>
    <w:uiPriority w:val="0"/>
    <w:pPr>
      <w:spacing w:after="120"/>
      <w:ind w:left="420" w:leftChars="200"/>
    </w:pPr>
    <w:rPr>
      <w:kern w:val="0"/>
      <w:sz w:val="24"/>
      <w:szCs w:val="20"/>
    </w:rPr>
  </w:style>
  <w:style w:type="paragraph" w:styleId="13">
    <w:name w:val="annotation text"/>
    <w:basedOn w:val="1"/>
    <w:link w:val="54"/>
    <w:semiHidden/>
    <w:qFormat/>
    <w:uiPriority w:val="0"/>
    <w:pPr>
      <w:jc w:val="left"/>
    </w:pPr>
    <w:rPr>
      <w:kern w:val="0"/>
      <w:sz w:val="24"/>
      <w:szCs w:val="20"/>
    </w:rPr>
  </w:style>
  <w:style w:type="paragraph" w:styleId="14">
    <w:name w:val="Body Text"/>
    <w:basedOn w:val="1"/>
    <w:next w:val="15"/>
    <w:link w:val="55"/>
    <w:qFormat/>
    <w:uiPriority w:val="0"/>
    <w:pPr>
      <w:widowControl/>
      <w:snapToGrid w:val="0"/>
      <w:spacing w:before="60" w:after="160" w:line="259" w:lineRule="auto"/>
      <w:ind w:right="113"/>
    </w:pPr>
    <w:rPr>
      <w:kern w:val="0"/>
      <w:sz w:val="18"/>
      <w:szCs w:val="20"/>
    </w:rPr>
  </w:style>
  <w:style w:type="paragraph" w:customStyle="1" w:styleId="15">
    <w:name w:val="Normal (Web)1"/>
    <w:basedOn w:val="1"/>
    <w:next w:val="16"/>
    <w:qFormat/>
    <w:uiPriority w:val="0"/>
    <w:pPr>
      <w:widowControl/>
      <w:jc w:val="left"/>
    </w:pPr>
    <w:rPr>
      <w:rFonts w:ascii="宋体"/>
      <w:kern w:val="0"/>
      <w:sz w:val="24"/>
      <w:szCs w:val="21"/>
    </w:rPr>
  </w:style>
  <w:style w:type="paragraph" w:customStyle="1" w:styleId="16">
    <w:name w:val="Date1"/>
    <w:basedOn w:val="1"/>
    <w:next w:val="1"/>
    <w:qFormat/>
    <w:uiPriority w:val="0"/>
    <w:pPr>
      <w:ind w:left="2500" w:leftChars="2500"/>
    </w:pPr>
  </w:style>
  <w:style w:type="paragraph" w:styleId="17">
    <w:name w:val="toc 3"/>
    <w:basedOn w:val="1"/>
    <w:next w:val="1"/>
    <w:qFormat/>
    <w:locked/>
    <w:uiPriority w:val="0"/>
    <w:pPr>
      <w:ind w:left="840" w:leftChars="400"/>
    </w:pPr>
  </w:style>
  <w:style w:type="paragraph" w:styleId="18">
    <w:name w:val="Plain Text"/>
    <w:basedOn w:val="1"/>
    <w:next w:val="1"/>
    <w:link w:val="57"/>
    <w:qFormat/>
    <w:locked/>
    <w:uiPriority w:val="0"/>
    <w:rPr>
      <w:rFonts w:hint="eastAsia" w:ascii="宋体" w:hAnsi="Courier New"/>
      <w:kern w:val="0"/>
      <w:sz w:val="20"/>
      <w:szCs w:val="21"/>
    </w:rPr>
  </w:style>
  <w:style w:type="paragraph" w:styleId="19">
    <w:name w:val="List Bullet 5"/>
    <w:basedOn w:val="1"/>
    <w:qFormat/>
    <w:locked/>
    <w:uiPriority w:val="0"/>
    <w:pPr>
      <w:numPr>
        <w:ilvl w:val="0"/>
        <w:numId w:val="1"/>
      </w:numPr>
    </w:pPr>
  </w:style>
  <w:style w:type="paragraph" w:styleId="20">
    <w:name w:val="Date"/>
    <w:basedOn w:val="1"/>
    <w:next w:val="1"/>
    <w:link w:val="58"/>
    <w:qFormat/>
    <w:uiPriority w:val="0"/>
    <w:pPr>
      <w:ind w:left="100" w:leftChars="2500"/>
    </w:pPr>
    <w:rPr>
      <w:kern w:val="0"/>
      <w:sz w:val="24"/>
      <w:szCs w:val="20"/>
    </w:rPr>
  </w:style>
  <w:style w:type="paragraph" w:styleId="21">
    <w:name w:val="Body Text Indent 2"/>
    <w:basedOn w:val="1"/>
    <w:next w:val="22"/>
    <w:link w:val="59"/>
    <w:qFormat/>
    <w:locked/>
    <w:uiPriority w:val="0"/>
    <w:pPr>
      <w:spacing w:after="120" w:line="480" w:lineRule="auto"/>
      <w:ind w:left="420" w:leftChars="200"/>
    </w:pPr>
  </w:style>
  <w:style w:type="paragraph" w:styleId="22">
    <w:name w:val="Body Text First Indent"/>
    <w:basedOn w:val="14"/>
    <w:next w:val="1"/>
    <w:link w:val="66"/>
    <w:qFormat/>
    <w:locked/>
    <w:uiPriority w:val="0"/>
    <w:pPr>
      <w:spacing w:after="120"/>
      <w:ind w:firstLine="420" w:firstLineChars="100"/>
    </w:pPr>
  </w:style>
  <w:style w:type="paragraph" w:styleId="23">
    <w:name w:val="Balloon Text"/>
    <w:basedOn w:val="1"/>
    <w:link w:val="60"/>
    <w:semiHidden/>
    <w:qFormat/>
    <w:uiPriority w:val="0"/>
    <w:rPr>
      <w:kern w:val="0"/>
      <w:sz w:val="18"/>
      <w:szCs w:val="20"/>
    </w:rPr>
  </w:style>
  <w:style w:type="paragraph" w:styleId="24">
    <w:name w:val="footer"/>
    <w:basedOn w:val="1"/>
    <w:next w:val="1"/>
    <w:link w:val="61"/>
    <w:qFormat/>
    <w:uiPriority w:val="99"/>
    <w:pPr>
      <w:tabs>
        <w:tab w:val="center" w:pos="4153"/>
        <w:tab w:val="right" w:pos="8306"/>
      </w:tabs>
      <w:snapToGrid w:val="0"/>
      <w:jc w:val="left"/>
    </w:pPr>
    <w:rPr>
      <w:kern w:val="0"/>
      <w:sz w:val="18"/>
      <w:szCs w:val="20"/>
    </w:rPr>
  </w:style>
  <w:style w:type="paragraph" w:styleId="25">
    <w:name w:val="header"/>
    <w:basedOn w:val="1"/>
    <w:next w:val="26"/>
    <w:link w:val="62"/>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26">
    <w:name w:val="样式5"/>
    <w:basedOn w:val="8"/>
    <w:qFormat/>
    <w:uiPriority w:val="0"/>
    <w:pPr>
      <w:spacing w:line="380" w:lineRule="exact"/>
      <w:ind w:firstLine="566" w:firstLineChars="202"/>
    </w:pPr>
    <w:rPr>
      <w:rFonts w:eastAsia="华文行楷"/>
    </w:rPr>
  </w:style>
  <w:style w:type="paragraph" w:styleId="27">
    <w:name w:val="toc 1"/>
    <w:basedOn w:val="1"/>
    <w:next w:val="1"/>
    <w:qFormat/>
    <w:locked/>
    <w:uiPriority w:val="39"/>
  </w:style>
  <w:style w:type="paragraph" w:styleId="28">
    <w:name w:val="List"/>
    <w:basedOn w:val="1"/>
    <w:next w:val="1"/>
    <w:qFormat/>
    <w:locked/>
    <w:uiPriority w:val="0"/>
    <w:pPr>
      <w:jc w:val="center"/>
    </w:pPr>
  </w:style>
  <w:style w:type="paragraph" w:styleId="29">
    <w:name w:val="table of figures"/>
    <w:basedOn w:val="1"/>
    <w:next w:val="1"/>
    <w:qFormat/>
    <w:locked/>
    <w:uiPriority w:val="0"/>
    <w:pPr>
      <w:autoSpaceDE w:val="0"/>
      <w:autoSpaceDN w:val="0"/>
      <w:spacing w:line="360" w:lineRule="auto"/>
      <w:ind w:left="200" w:leftChars="200" w:hanging="200" w:hangingChars="200"/>
    </w:pPr>
    <w:rPr>
      <w:sz w:val="28"/>
      <w:szCs w:val="20"/>
    </w:rPr>
  </w:style>
  <w:style w:type="paragraph" w:styleId="30">
    <w:name w:val="toc 2"/>
    <w:basedOn w:val="1"/>
    <w:next w:val="1"/>
    <w:semiHidden/>
    <w:qFormat/>
    <w:locked/>
    <w:uiPriority w:val="0"/>
    <w:pPr>
      <w:ind w:left="210"/>
      <w:jc w:val="left"/>
    </w:pPr>
    <w:rPr>
      <w:smallCaps/>
      <w:sz w:val="20"/>
      <w:szCs w:val="20"/>
    </w:rPr>
  </w:style>
  <w:style w:type="paragraph" w:styleId="31">
    <w:name w:val="Body Text 2"/>
    <w:basedOn w:val="1"/>
    <w:link w:val="63"/>
    <w:qFormat/>
    <w:locked/>
    <w:uiPriority w:val="0"/>
    <w:rPr>
      <w:sz w:val="28"/>
    </w:rPr>
  </w:style>
  <w:style w:type="paragraph" w:styleId="32">
    <w:name w:val="Message Header"/>
    <w:basedOn w:val="1"/>
    <w:qFormat/>
    <w:locked/>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3">
    <w:name w:val="Normal (Web)"/>
    <w:basedOn w:val="1"/>
    <w:link w:val="64"/>
    <w:qFormat/>
    <w:uiPriority w:val="0"/>
    <w:pPr>
      <w:widowControl/>
      <w:spacing w:before="100" w:beforeAutospacing="1" w:after="100" w:afterAutospacing="1"/>
      <w:jc w:val="left"/>
    </w:pPr>
    <w:rPr>
      <w:rFonts w:ascii="宋体" w:hAnsi="宋体"/>
      <w:kern w:val="0"/>
      <w:sz w:val="24"/>
      <w:szCs w:val="20"/>
    </w:rPr>
  </w:style>
  <w:style w:type="paragraph" w:styleId="34">
    <w:name w:val="index 1"/>
    <w:basedOn w:val="1"/>
    <w:next w:val="1"/>
    <w:qFormat/>
    <w:locked/>
    <w:uiPriority w:val="0"/>
    <w:pPr>
      <w:spacing w:line="360" w:lineRule="auto"/>
      <w:jc w:val="center"/>
    </w:pPr>
  </w:style>
  <w:style w:type="paragraph" w:styleId="35">
    <w:name w:val="Title"/>
    <w:basedOn w:val="1"/>
    <w:next w:val="1"/>
    <w:qFormat/>
    <w:locked/>
    <w:uiPriority w:val="0"/>
    <w:pPr>
      <w:keepLines/>
      <w:pageBreakBefore/>
      <w:spacing w:before="240" w:after="120"/>
      <w:jc w:val="center"/>
      <w:outlineLvl w:val="0"/>
    </w:pPr>
    <w:rPr>
      <w:rFonts w:eastAsia="黑体"/>
      <w:b/>
      <w:sz w:val="36"/>
    </w:rPr>
  </w:style>
  <w:style w:type="paragraph" w:styleId="36">
    <w:name w:val="annotation subject"/>
    <w:basedOn w:val="13"/>
    <w:next w:val="13"/>
    <w:link w:val="65"/>
    <w:semiHidden/>
    <w:qFormat/>
    <w:uiPriority w:val="0"/>
    <w:rPr>
      <w:b/>
      <w:kern w:val="2"/>
    </w:rPr>
  </w:style>
  <w:style w:type="paragraph" w:styleId="37">
    <w:name w:val="Body Text First Indent 2"/>
    <w:basedOn w:val="12"/>
    <w:next w:val="22"/>
    <w:link w:val="67"/>
    <w:qFormat/>
    <w:locked/>
    <w:uiPriority w:val="0"/>
    <w:pPr>
      <w:ind w:firstLine="420" w:firstLineChars="200"/>
    </w:pPr>
    <w:rPr>
      <w:kern w:val="2"/>
      <w:sz w:val="21"/>
      <w:szCs w:val="24"/>
    </w:rPr>
  </w:style>
  <w:style w:type="table" w:styleId="39">
    <w:name w:val="Table Grid"/>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1">
    <w:name w:val="Strong"/>
    <w:qFormat/>
    <w:locked/>
    <w:uiPriority w:val="22"/>
    <w:rPr>
      <w:b/>
      <w:bCs/>
    </w:rPr>
  </w:style>
  <w:style w:type="character" w:styleId="42">
    <w:name w:val="page number"/>
    <w:qFormat/>
    <w:locked/>
    <w:uiPriority w:val="0"/>
  </w:style>
  <w:style w:type="character" w:styleId="43">
    <w:name w:val="FollowedHyperlink"/>
    <w:basedOn w:val="40"/>
    <w:qFormat/>
    <w:locked/>
    <w:uiPriority w:val="0"/>
    <w:rPr>
      <w:color w:val="000000"/>
      <w:u w:val="none"/>
    </w:rPr>
  </w:style>
  <w:style w:type="character" w:styleId="44">
    <w:name w:val="Emphasis"/>
    <w:basedOn w:val="40"/>
    <w:qFormat/>
    <w:locked/>
    <w:uiPriority w:val="0"/>
  </w:style>
  <w:style w:type="character" w:styleId="45">
    <w:name w:val="Hyperlink"/>
    <w:basedOn w:val="40"/>
    <w:unhideWhenUsed/>
    <w:qFormat/>
    <w:locked/>
    <w:uiPriority w:val="99"/>
    <w:rPr>
      <w:color w:val="000000"/>
      <w:u w:val="none"/>
    </w:rPr>
  </w:style>
  <w:style w:type="character" w:styleId="46">
    <w:name w:val="annotation reference"/>
    <w:semiHidden/>
    <w:qFormat/>
    <w:uiPriority w:val="0"/>
    <w:rPr>
      <w:sz w:val="21"/>
    </w:rPr>
  </w:style>
  <w:style w:type="paragraph" w:customStyle="1" w:styleId="47">
    <w:name w:val="报告正文"/>
    <w:basedOn w:val="1"/>
    <w:next w:val="1"/>
    <w:qFormat/>
    <w:uiPriority w:val="0"/>
    <w:pPr>
      <w:adjustRightInd w:val="0"/>
      <w:snapToGrid w:val="0"/>
      <w:spacing w:line="360" w:lineRule="auto"/>
      <w:ind w:firstLine="200" w:firstLineChars="200"/>
    </w:pPr>
    <w:rPr>
      <w:sz w:val="24"/>
    </w:rPr>
  </w:style>
  <w:style w:type="paragraph" w:customStyle="1" w:styleId="48">
    <w:name w:val="Default"/>
    <w:basedOn w:val="49"/>
    <w:next w:val="1"/>
    <w:qFormat/>
    <w:uiPriority w:val="0"/>
    <w:pPr>
      <w:autoSpaceDE w:val="0"/>
      <w:autoSpaceDN w:val="0"/>
    </w:pPr>
    <w:rPr>
      <w:rFonts w:hAnsi="Times New Roman" w:cs="宋体"/>
      <w:color w:val="000000"/>
      <w:sz w:val="24"/>
      <w:szCs w:val="24"/>
    </w:rPr>
  </w:style>
  <w:style w:type="paragraph" w:customStyle="1" w:styleId="49">
    <w:name w:val="纯文本1"/>
    <w:basedOn w:val="1"/>
    <w:qFormat/>
    <w:uiPriority w:val="0"/>
    <w:pPr>
      <w:adjustRightInd w:val="0"/>
    </w:pPr>
    <w:rPr>
      <w:rFonts w:ascii="宋体" w:hAnsi="Courier New"/>
      <w:szCs w:val="20"/>
    </w:rPr>
  </w:style>
  <w:style w:type="paragraph" w:customStyle="1" w:styleId="50">
    <w:name w:val="样式 10 磅31114"/>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1">
    <w:name w:val="Intense Quote"/>
    <w:basedOn w:val="1"/>
    <w:next w:val="1"/>
    <w:qFormat/>
    <w:uiPriority w:val="0"/>
    <w:pPr>
      <w:wordWrap w:val="0"/>
      <w:spacing w:before="360" w:after="360"/>
      <w:ind w:left="950" w:right="950"/>
      <w:jc w:val="center"/>
    </w:pPr>
    <w:rPr>
      <w:i/>
    </w:rPr>
  </w:style>
  <w:style w:type="paragraph" w:customStyle="1" w:styleId="52">
    <w:name w:val="样式 正文首行缩进 + 首行缩进:  2 字符1"/>
    <w:basedOn w:val="1"/>
    <w:next w:val="27"/>
    <w:qFormat/>
    <w:uiPriority w:val="0"/>
    <w:pPr>
      <w:spacing w:line="360" w:lineRule="auto"/>
      <w:ind w:firstLine="480" w:firstLineChars="200"/>
    </w:pPr>
    <w:rPr>
      <w:sz w:val="24"/>
      <w:szCs w:val="20"/>
    </w:rPr>
  </w:style>
  <w:style w:type="character" w:customStyle="1" w:styleId="53">
    <w:name w:val="标题 3 Char"/>
    <w:link w:val="4"/>
    <w:semiHidden/>
    <w:qFormat/>
    <w:uiPriority w:val="0"/>
    <w:rPr>
      <w:b/>
      <w:bCs/>
      <w:kern w:val="2"/>
      <w:sz w:val="32"/>
      <w:szCs w:val="32"/>
    </w:rPr>
  </w:style>
  <w:style w:type="character" w:customStyle="1" w:styleId="54">
    <w:name w:val="批注文字 Char"/>
    <w:link w:val="13"/>
    <w:qFormat/>
    <w:locked/>
    <w:uiPriority w:val="0"/>
    <w:rPr>
      <w:rFonts w:ascii="Times New Roman" w:hAnsi="Times New Roman" w:eastAsia="宋体"/>
      <w:sz w:val="24"/>
    </w:rPr>
  </w:style>
  <w:style w:type="character" w:customStyle="1" w:styleId="55">
    <w:name w:val="正文文本 Char"/>
    <w:link w:val="14"/>
    <w:qFormat/>
    <w:locked/>
    <w:uiPriority w:val="0"/>
    <w:rPr>
      <w:sz w:val="18"/>
    </w:rPr>
  </w:style>
  <w:style w:type="character" w:customStyle="1" w:styleId="56">
    <w:name w:val="正文文本缩进 Char"/>
    <w:link w:val="12"/>
    <w:qFormat/>
    <w:locked/>
    <w:uiPriority w:val="0"/>
    <w:rPr>
      <w:rFonts w:ascii="Times New Roman" w:hAnsi="Times New Roman" w:eastAsia="宋体"/>
      <w:sz w:val="24"/>
    </w:rPr>
  </w:style>
  <w:style w:type="character" w:customStyle="1" w:styleId="57">
    <w:name w:val="纯文本 Char"/>
    <w:link w:val="18"/>
    <w:qFormat/>
    <w:uiPriority w:val="0"/>
    <w:rPr>
      <w:rFonts w:hint="eastAsia" w:ascii="宋体" w:hAnsi="Courier New" w:eastAsia="宋体" w:cs="宋体"/>
      <w:szCs w:val="21"/>
      <w:lang w:val="zh-CN"/>
    </w:rPr>
  </w:style>
  <w:style w:type="character" w:customStyle="1" w:styleId="58">
    <w:name w:val="日期 Char"/>
    <w:link w:val="20"/>
    <w:qFormat/>
    <w:locked/>
    <w:uiPriority w:val="0"/>
    <w:rPr>
      <w:rFonts w:ascii="Times New Roman" w:hAnsi="Times New Roman" w:eastAsia="宋体"/>
      <w:sz w:val="24"/>
    </w:rPr>
  </w:style>
  <w:style w:type="character" w:customStyle="1" w:styleId="59">
    <w:name w:val="正文文本缩进 2 Char"/>
    <w:link w:val="21"/>
    <w:qFormat/>
    <w:uiPriority w:val="0"/>
    <w:rPr>
      <w:kern w:val="2"/>
      <w:sz w:val="21"/>
      <w:szCs w:val="24"/>
    </w:rPr>
  </w:style>
  <w:style w:type="character" w:customStyle="1" w:styleId="60">
    <w:name w:val="批注框文本 Char"/>
    <w:link w:val="23"/>
    <w:semiHidden/>
    <w:qFormat/>
    <w:locked/>
    <w:uiPriority w:val="0"/>
    <w:rPr>
      <w:rFonts w:ascii="Times New Roman" w:hAnsi="Times New Roman" w:eastAsia="宋体"/>
      <w:sz w:val="18"/>
    </w:rPr>
  </w:style>
  <w:style w:type="character" w:customStyle="1" w:styleId="61">
    <w:name w:val="页脚 Char"/>
    <w:link w:val="24"/>
    <w:qFormat/>
    <w:locked/>
    <w:uiPriority w:val="99"/>
    <w:rPr>
      <w:sz w:val="18"/>
    </w:rPr>
  </w:style>
  <w:style w:type="character" w:customStyle="1" w:styleId="62">
    <w:name w:val="页眉 Char"/>
    <w:link w:val="25"/>
    <w:qFormat/>
    <w:locked/>
    <w:uiPriority w:val="99"/>
    <w:rPr>
      <w:sz w:val="18"/>
    </w:rPr>
  </w:style>
  <w:style w:type="character" w:customStyle="1" w:styleId="63">
    <w:name w:val="正文文本 2 Char"/>
    <w:link w:val="31"/>
    <w:qFormat/>
    <w:uiPriority w:val="0"/>
    <w:rPr>
      <w:kern w:val="2"/>
      <w:sz w:val="28"/>
      <w:szCs w:val="24"/>
    </w:rPr>
  </w:style>
  <w:style w:type="character" w:customStyle="1" w:styleId="64">
    <w:name w:val="普通(网站) Char"/>
    <w:link w:val="33"/>
    <w:qFormat/>
    <w:locked/>
    <w:uiPriority w:val="0"/>
    <w:rPr>
      <w:rFonts w:ascii="宋体" w:hAnsi="宋体" w:eastAsia="宋体"/>
      <w:sz w:val="24"/>
    </w:rPr>
  </w:style>
  <w:style w:type="character" w:customStyle="1" w:styleId="65">
    <w:name w:val="批注主题 Char"/>
    <w:link w:val="36"/>
    <w:semiHidden/>
    <w:qFormat/>
    <w:locked/>
    <w:uiPriority w:val="0"/>
    <w:rPr>
      <w:rFonts w:ascii="Times New Roman" w:hAnsi="Times New Roman" w:eastAsia="宋体"/>
      <w:b/>
      <w:kern w:val="2"/>
      <w:sz w:val="24"/>
    </w:rPr>
  </w:style>
  <w:style w:type="character" w:customStyle="1" w:styleId="66">
    <w:name w:val="正文首行缩进 Char"/>
    <w:link w:val="22"/>
    <w:qFormat/>
    <w:uiPriority w:val="0"/>
    <w:rPr>
      <w:kern w:val="2"/>
      <w:sz w:val="21"/>
      <w:szCs w:val="24"/>
    </w:rPr>
  </w:style>
  <w:style w:type="character" w:customStyle="1" w:styleId="67">
    <w:name w:val="正文首行缩进 2 Char"/>
    <w:link w:val="37"/>
    <w:qFormat/>
    <w:uiPriority w:val="0"/>
    <w:rPr>
      <w:rFonts w:ascii="Times New Roman" w:hAnsi="Times New Roman" w:eastAsia="宋体"/>
      <w:kern w:val="2"/>
      <w:sz w:val="21"/>
      <w:szCs w:val="24"/>
    </w:rPr>
  </w:style>
  <w:style w:type="character" w:customStyle="1" w:styleId="68">
    <w:name w:val="正文文本 2 Char1"/>
    <w:qFormat/>
    <w:uiPriority w:val="0"/>
    <w:rPr>
      <w:kern w:val="2"/>
      <w:sz w:val="21"/>
      <w:szCs w:val="24"/>
    </w:rPr>
  </w:style>
  <w:style w:type="character" w:customStyle="1" w:styleId="69">
    <w:name w:val="【表中文字】 Char"/>
    <w:link w:val="70"/>
    <w:qFormat/>
    <w:uiPriority w:val="0"/>
    <w:rPr>
      <w:kern w:val="2"/>
      <w:sz w:val="21"/>
    </w:rPr>
  </w:style>
  <w:style w:type="paragraph" w:customStyle="1" w:styleId="70">
    <w:name w:val="【表中文字】"/>
    <w:basedOn w:val="1"/>
    <w:link w:val="69"/>
    <w:qFormat/>
    <w:uiPriority w:val="0"/>
    <w:pPr>
      <w:jc w:val="center"/>
    </w:pPr>
    <w:rPr>
      <w:szCs w:val="20"/>
    </w:rPr>
  </w:style>
  <w:style w:type="character" w:customStyle="1" w:styleId="71">
    <w:name w:val="【正文】 Char"/>
    <w:link w:val="72"/>
    <w:qFormat/>
    <w:uiPriority w:val="0"/>
    <w:rPr>
      <w:kern w:val="2"/>
      <w:sz w:val="24"/>
      <w:szCs w:val="24"/>
    </w:rPr>
  </w:style>
  <w:style w:type="paragraph" w:customStyle="1" w:styleId="72">
    <w:name w:val="【正文】"/>
    <w:basedOn w:val="1"/>
    <w:next w:val="32"/>
    <w:link w:val="71"/>
    <w:qFormat/>
    <w:uiPriority w:val="0"/>
    <w:pPr>
      <w:spacing w:line="360" w:lineRule="auto"/>
      <w:ind w:firstLine="480" w:firstLineChars="200"/>
    </w:pPr>
    <w:rPr>
      <w:sz w:val="24"/>
    </w:rPr>
  </w:style>
  <w:style w:type="character" w:customStyle="1" w:styleId="73">
    <w:name w:val="表文00 Char"/>
    <w:link w:val="74"/>
    <w:qFormat/>
    <w:uiPriority w:val="0"/>
    <w:rPr>
      <w:rFonts w:hAnsi="宋体"/>
      <w:szCs w:val="18"/>
    </w:rPr>
  </w:style>
  <w:style w:type="paragraph" w:customStyle="1" w:styleId="74">
    <w:name w:val="表文00"/>
    <w:basedOn w:val="1"/>
    <w:next w:val="1"/>
    <w:link w:val="73"/>
    <w:qFormat/>
    <w:uiPriority w:val="0"/>
    <w:pPr>
      <w:autoSpaceDE w:val="0"/>
      <w:autoSpaceDN w:val="0"/>
      <w:ind w:firstLine="3584"/>
      <w:contextualSpacing/>
      <w:jc w:val="center"/>
    </w:pPr>
    <w:rPr>
      <w:rFonts w:hAnsi="宋体"/>
      <w:kern w:val="0"/>
      <w:sz w:val="20"/>
      <w:szCs w:val="18"/>
    </w:rPr>
  </w:style>
  <w:style w:type="character" w:customStyle="1" w:styleId="75">
    <w:name w:val="日期 字符"/>
    <w:semiHidden/>
    <w:qFormat/>
    <w:uiPriority w:val="0"/>
    <w:rPr>
      <w:rFonts w:ascii="Times New Roman" w:hAnsi="Times New Roman" w:eastAsia="宋体"/>
      <w:sz w:val="24"/>
    </w:rPr>
  </w:style>
  <w:style w:type="character" w:customStyle="1" w:styleId="76">
    <w:name w:val="样式 Times New Roman 五号 居中 Char"/>
    <w:link w:val="77"/>
    <w:qFormat/>
    <w:uiPriority w:val="0"/>
  </w:style>
  <w:style w:type="paragraph" w:customStyle="1" w:styleId="77">
    <w:name w:val="样式 Times New Roman 五号 居中"/>
    <w:basedOn w:val="1"/>
    <w:link w:val="76"/>
    <w:qFormat/>
    <w:uiPriority w:val="0"/>
    <w:pPr>
      <w:ind w:firstLine="3584"/>
      <w:jc w:val="center"/>
    </w:pPr>
    <w:rPr>
      <w:kern w:val="0"/>
      <w:sz w:val="20"/>
      <w:szCs w:val="20"/>
    </w:rPr>
  </w:style>
  <w:style w:type="character" w:customStyle="1" w:styleId="78">
    <w:name w:val="表格内容 Char"/>
    <w:link w:val="79"/>
    <w:qFormat/>
    <w:locked/>
    <w:uiPriority w:val="0"/>
    <w:rPr>
      <w:rFonts w:ascii="宋体" w:hAnsi="宋体"/>
      <w:kern w:val="2"/>
      <w:sz w:val="21"/>
      <w:szCs w:val="21"/>
    </w:rPr>
  </w:style>
  <w:style w:type="paragraph" w:customStyle="1" w:styleId="79">
    <w:name w:val="表格内容"/>
    <w:basedOn w:val="1"/>
    <w:link w:val="78"/>
    <w:qFormat/>
    <w:uiPriority w:val="0"/>
    <w:pPr>
      <w:spacing w:line="340" w:lineRule="exact"/>
      <w:jc w:val="center"/>
    </w:pPr>
    <w:rPr>
      <w:rFonts w:ascii="宋体" w:hAnsi="宋体"/>
      <w:szCs w:val="21"/>
    </w:rPr>
  </w:style>
  <w:style w:type="character" w:customStyle="1" w:styleId="80">
    <w:name w:val="正文文本 字符1"/>
    <w:semiHidden/>
    <w:qFormat/>
    <w:uiPriority w:val="0"/>
    <w:rPr>
      <w:rFonts w:ascii="Times New Roman" w:hAnsi="Times New Roman" w:eastAsia="宋体"/>
      <w:sz w:val="24"/>
    </w:rPr>
  </w:style>
  <w:style w:type="character" w:customStyle="1" w:styleId="81">
    <w:name w:val="表格 Char"/>
    <w:link w:val="82"/>
    <w:qFormat/>
    <w:locked/>
    <w:uiPriority w:val="0"/>
    <w:rPr>
      <w:rFonts w:ascii="宋体"/>
      <w:sz w:val="21"/>
    </w:rPr>
  </w:style>
  <w:style w:type="paragraph" w:customStyle="1" w:styleId="82">
    <w:name w:val="表格"/>
    <w:basedOn w:val="1"/>
    <w:next w:val="1"/>
    <w:link w:val="81"/>
    <w:qFormat/>
    <w:uiPriority w:val="0"/>
    <w:pPr>
      <w:adjustRightInd w:val="0"/>
      <w:snapToGrid w:val="0"/>
      <w:spacing w:beforeLines="10" w:afterLines="10" w:line="259" w:lineRule="auto"/>
      <w:jc w:val="center"/>
    </w:pPr>
    <w:rPr>
      <w:rFonts w:ascii="宋体"/>
      <w:kern w:val="0"/>
      <w:szCs w:val="20"/>
    </w:rPr>
  </w:style>
  <w:style w:type="character" w:customStyle="1" w:styleId="83">
    <w:name w:val="批注文字 字符1"/>
    <w:semiHidden/>
    <w:qFormat/>
    <w:uiPriority w:val="0"/>
    <w:rPr>
      <w:rFonts w:ascii="Times New Roman" w:hAnsi="Times New Roman" w:eastAsia="宋体"/>
      <w:sz w:val="24"/>
    </w:rPr>
  </w:style>
  <w:style w:type="character" w:customStyle="1" w:styleId="84">
    <w:name w:val="页脚 字符"/>
    <w:qFormat/>
    <w:uiPriority w:val="99"/>
  </w:style>
  <w:style w:type="character" w:customStyle="1" w:styleId="85">
    <w:name w:val="内容 Char"/>
    <w:link w:val="86"/>
    <w:qFormat/>
    <w:uiPriority w:val="0"/>
    <w:rPr>
      <w:color w:val="000000"/>
      <w:kern w:val="2"/>
      <w:sz w:val="24"/>
      <w:szCs w:val="24"/>
    </w:rPr>
  </w:style>
  <w:style w:type="paragraph" w:customStyle="1" w:styleId="86">
    <w:name w:val="内容"/>
    <w:basedOn w:val="1"/>
    <w:link w:val="85"/>
    <w:qFormat/>
    <w:uiPriority w:val="0"/>
    <w:pPr>
      <w:spacing w:before="50" w:beforeLines="50" w:after="50" w:afterLines="50"/>
      <w:ind w:firstLine="200" w:firstLineChars="200"/>
    </w:pPr>
    <w:rPr>
      <w:color w:val="000000"/>
      <w:sz w:val="24"/>
    </w:rPr>
  </w:style>
  <w:style w:type="character" w:customStyle="1" w:styleId="87">
    <w:name w:val="NormalCharacter"/>
    <w:qFormat/>
    <w:uiPriority w:val="0"/>
    <w:rPr>
      <w:rFonts w:ascii="宋体"/>
      <w:sz w:val="24"/>
      <w:lang w:val="en-US" w:eastAsia="zh-CN" w:bidi="ar-SA"/>
    </w:rPr>
  </w:style>
  <w:style w:type="paragraph" w:customStyle="1" w:styleId="88">
    <w:name w:val="环评表中文字"/>
    <w:basedOn w:val="1"/>
    <w:qFormat/>
    <w:uiPriority w:val="0"/>
    <w:pPr>
      <w:jc w:val="center"/>
    </w:pPr>
    <w:rPr>
      <w:sz w:val="24"/>
      <w:szCs w:val="22"/>
    </w:rPr>
  </w:style>
  <w:style w:type="paragraph" w:customStyle="1" w:styleId="89">
    <w:name w:val="[表中文字]"/>
    <w:basedOn w:val="1"/>
    <w:qFormat/>
    <w:uiPriority w:val="0"/>
    <w:pPr>
      <w:spacing w:before="60" w:after="60"/>
      <w:jc w:val="center"/>
    </w:pPr>
    <w:rPr>
      <w:rFonts w:eastAsia="仿宋_GB2312"/>
      <w:szCs w:val="20"/>
    </w:rPr>
  </w:style>
  <w:style w:type="paragraph" w:customStyle="1" w:styleId="90">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91">
    <w:name w:val="正文（首行缩进）"/>
    <w:basedOn w:val="1"/>
    <w:next w:val="92"/>
    <w:qFormat/>
    <w:uiPriority w:val="0"/>
    <w:pPr>
      <w:spacing w:line="360" w:lineRule="auto"/>
      <w:ind w:left="560" w:firstLine="3632"/>
    </w:pPr>
    <w:rPr>
      <w:kern w:val="0"/>
      <w:sz w:val="20"/>
      <w:szCs w:val="20"/>
    </w:rPr>
  </w:style>
  <w:style w:type="paragraph" w:customStyle="1" w:styleId="92">
    <w:name w:val="正文00"/>
    <w:basedOn w:val="1"/>
    <w:next w:val="1"/>
    <w:qFormat/>
    <w:uiPriority w:val="0"/>
    <w:pPr>
      <w:spacing w:line="360" w:lineRule="auto"/>
      <w:ind w:left="480" w:firstLine="3808"/>
    </w:pPr>
    <w:rPr>
      <w:kern w:val="0"/>
      <w:sz w:val="20"/>
      <w:szCs w:val="20"/>
    </w:rPr>
  </w:style>
  <w:style w:type="paragraph" w:customStyle="1" w:styleId="93">
    <w:name w:val="样式 Times New Roman 五号 居中1"/>
    <w:basedOn w:val="1"/>
    <w:next w:val="94"/>
    <w:qFormat/>
    <w:uiPriority w:val="0"/>
    <w:pPr>
      <w:ind w:firstLine="3584"/>
      <w:jc w:val="center"/>
    </w:pPr>
    <w:rPr>
      <w:kern w:val="0"/>
      <w:sz w:val="20"/>
      <w:szCs w:val="20"/>
    </w:rPr>
  </w:style>
  <w:style w:type="paragraph" w:customStyle="1" w:styleId="94">
    <w:name w:val="表头"/>
    <w:basedOn w:val="30"/>
    <w:next w:val="1"/>
    <w:qFormat/>
    <w:uiPriority w:val="0"/>
    <w:pPr>
      <w:spacing w:line="360" w:lineRule="auto"/>
      <w:jc w:val="center"/>
    </w:pPr>
    <w:rPr>
      <w:rFonts w:ascii="黑体" w:hAnsi="黑体" w:eastAsia="黑体" w:cs="Arial"/>
      <w:bCs/>
      <w:szCs w:val="21"/>
    </w:rPr>
  </w:style>
  <w:style w:type="paragraph" w:customStyle="1" w:styleId="95">
    <w:name w:val="表头00"/>
    <w:basedOn w:val="1"/>
    <w:qFormat/>
    <w:uiPriority w:val="0"/>
    <w:pPr>
      <w:ind w:firstLine="3584"/>
      <w:jc w:val="center"/>
    </w:pPr>
    <w:rPr>
      <w:rFonts w:eastAsia="黑体"/>
      <w:sz w:val="24"/>
      <w:szCs w:val="18"/>
    </w:rPr>
  </w:style>
  <w:style w:type="paragraph" w:customStyle="1" w:styleId="96">
    <w:name w:val="正文 首行缩进:  2 字符"/>
    <w:basedOn w:val="1"/>
    <w:qFormat/>
    <w:uiPriority w:val="0"/>
    <w:pPr>
      <w:adjustRightInd w:val="0"/>
      <w:snapToGrid w:val="0"/>
      <w:spacing w:line="500" w:lineRule="exact"/>
      <w:ind w:firstLine="200" w:firstLineChars="200"/>
      <w:jc w:val="left"/>
    </w:pPr>
    <w:rPr>
      <w:rFonts w:cs="宋体"/>
    </w:rPr>
  </w:style>
  <w:style w:type="paragraph" w:customStyle="1" w:styleId="97">
    <w:name w:val="段落正文"/>
    <w:basedOn w:val="1"/>
    <w:qFormat/>
    <w:uiPriority w:val="0"/>
    <w:pPr>
      <w:spacing w:line="500" w:lineRule="atLeast"/>
      <w:ind w:firstLine="200" w:firstLineChars="200"/>
    </w:pPr>
    <w:rPr>
      <w:rFonts w:eastAsia="仿宋_GB2312"/>
      <w:sz w:val="28"/>
      <w:szCs w:val="28"/>
    </w:rPr>
  </w:style>
  <w:style w:type="paragraph" w:customStyle="1" w:styleId="98">
    <w:name w:val="帆表头"/>
    <w:basedOn w:val="1"/>
    <w:qFormat/>
    <w:uiPriority w:val="0"/>
    <w:pPr>
      <w:widowControl/>
      <w:spacing w:line="360" w:lineRule="auto"/>
      <w:jc w:val="center"/>
    </w:pPr>
    <w:rPr>
      <w:rFonts w:ascii="黑体" w:hAnsi="黑体" w:eastAsia="黑体"/>
      <w:bCs/>
      <w:szCs w:val="21"/>
    </w:rPr>
  </w:style>
  <w:style w:type="paragraph" w:customStyle="1" w:styleId="99">
    <w:name w:val="表格填充项"/>
    <w:basedOn w:val="1"/>
    <w:qFormat/>
    <w:uiPriority w:val="0"/>
    <w:pPr>
      <w:spacing w:line="240" w:lineRule="atLeast"/>
      <w:jc w:val="center"/>
    </w:pPr>
    <w:rPr>
      <w:rFonts w:ascii="宋体" w:hAnsi="宋体"/>
      <w:b/>
    </w:rPr>
  </w:style>
  <w:style w:type="paragraph" w:customStyle="1" w:styleId="100">
    <w:name w:val="表格题目"/>
    <w:basedOn w:val="1"/>
    <w:qFormat/>
    <w:uiPriority w:val="99"/>
    <w:pPr>
      <w:spacing w:line="240" w:lineRule="atLeast"/>
      <w:jc w:val="center"/>
    </w:pPr>
    <w:rPr>
      <w:rFonts w:ascii="黑体" w:hAnsi="宋体" w:eastAsia="黑体"/>
      <w:sz w:val="24"/>
    </w:rPr>
  </w:style>
  <w:style w:type="paragraph" w:customStyle="1" w:styleId="101">
    <w:name w:val="表文"/>
    <w:next w:val="1"/>
    <w:qFormat/>
    <w:uiPriority w:val="0"/>
    <w:pPr>
      <w:jc w:val="both"/>
    </w:pPr>
    <w:rPr>
      <w:rFonts w:ascii="Times New Roman" w:hAnsi="Times New Roman" w:eastAsia="宋体" w:cs="Times New Roman"/>
      <w:color w:val="FF0000"/>
      <w:kern w:val="2"/>
      <w:sz w:val="21"/>
      <w:szCs w:val="24"/>
      <w:lang w:val="en-US" w:eastAsia="zh-CN" w:bidi="ar-SA"/>
    </w:rPr>
  </w:style>
  <w:style w:type="paragraph" w:customStyle="1" w:styleId="102">
    <w:name w:val="正文4"/>
    <w:qFormat/>
    <w:uiPriority w:val="0"/>
    <w:pPr>
      <w:widowControl w:val="0"/>
      <w:spacing w:line="360" w:lineRule="atLeast"/>
    </w:pPr>
    <w:rPr>
      <w:rFonts w:ascii="宋体" w:hAnsi="宋体" w:eastAsia="宋体" w:cs="Times New Roman"/>
      <w:color w:val="000000"/>
      <w:sz w:val="24"/>
      <w:szCs w:val="22"/>
      <w:lang w:val="en-US" w:eastAsia="zh-CN" w:bidi="ar-SA"/>
    </w:rPr>
  </w:style>
  <w:style w:type="paragraph" w:customStyle="1" w:styleId="10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4">
    <w:name w:val="设计表格"/>
    <w:basedOn w:val="1"/>
    <w:qFormat/>
    <w:uiPriority w:val="0"/>
    <w:pPr>
      <w:adjustRightInd w:val="0"/>
      <w:jc w:val="center"/>
    </w:pPr>
    <w:rPr>
      <w:kern w:val="0"/>
      <w:sz w:val="24"/>
    </w:rPr>
  </w:style>
  <w:style w:type="paragraph" w:customStyle="1" w:styleId="105">
    <w:name w:val="图头00"/>
    <w:basedOn w:val="1"/>
    <w:qFormat/>
    <w:uiPriority w:val="0"/>
    <w:pPr>
      <w:adjustRightInd w:val="0"/>
      <w:spacing w:line="360" w:lineRule="auto"/>
      <w:jc w:val="center"/>
      <w:textAlignment w:val="baseline"/>
    </w:pPr>
    <w:rPr>
      <w:rFonts w:ascii="宋体" w:eastAsia="黑体"/>
      <w:kern w:val="0"/>
      <w:sz w:val="24"/>
      <w:szCs w:val="20"/>
    </w:rPr>
  </w:style>
  <w:style w:type="paragraph" w:customStyle="1" w:styleId="106">
    <w:name w:val="报告表正文"/>
    <w:basedOn w:val="1"/>
    <w:qFormat/>
    <w:uiPriority w:val="0"/>
    <w:pPr>
      <w:adjustRightInd w:val="0"/>
      <w:spacing w:line="312" w:lineRule="auto"/>
      <w:ind w:left="113" w:right="113" w:firstLine="482"/>
      <w:jc w:val="left"/>
      <w:textAlignment w:val="baseline"/>
    </w:pPr>
    <w:rPr>
      <w:kern w:val="0"/>
      <w:sz w:val="24"/>
      <w:szCs w:val="22"/>
    </w:rPr>
  </w:style>
  <w:style w:type="paragraph" w:customStyle="1" w:styleId="107">
    <w:name w:val="WW-纯文本"/>
    <w:basedOn w:val="1"/>
    <w:qFormat/>
    <w:uiPriority w:val="0"/>
    <w:pPr>
      <w:suppressAutoHyphens/>
      <w:spacing w:line="312" w:lineRule="atLeast"/>
      <w:textAlignment w:val="baseline"/>
    </w:pPr>
    <w:rPr>
      <w:rFonts w:hAnsi="宋体" w:eastAsia="楷体_GB2312"/>
      <w:szCs w:val="21"/>
    </w:rPr>
  </w:style>
  <w:style w:type="paragraph" w:customStyle="1" w:styleId="108">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09">
    <w:name w:val="Table Paragraph"/>
    <w:basedOn w:val="1"/>
    <w:qFormat/>
    <w:uiPriority w:val="0"/>
    <w:pPr>
      <w:jc w:val="left"/>
    </w:pPr>
    <w:rPr>
      <w:rFonts w:ascii="Calibri" w:hAnsi="Calibri"/>
      <w:kern w:val="0"/>
      <w:sz w:val="22"/>
      <w:szCs w:val="22"/>
      <w:lang w:eastAsia="en-US"/>
    </w:rPr>
  </w:style>
  <w:style w:type="paragraph" w:customStyle="1" w:styleId="110">
    <w:name w:val="表体"/>
    <w:basedOn w:val="14"/>
    <w:qFormat/>
    <w:uiPriority w:val="0"/>
    <w:pPr>
      <w:widowControl w:val="0"/>
      <w:overflowPunct w:val="0"/>
      <w:adjustRightInd w:val="0"/>
      <w:snapToGrid/>
      <w:spacing w:before="0" w:after="120" w:line="300" w:lineRule="atLeast"/>
      <w:ind w:right="0"/>
      <w:jc w:val="center"/>
      <w:textAlignment w:val="baseline"/>
    </w:pPr>
    <w:rPr>
      <w:color w:val="000000"/>
      <w:kern w:val="24"/>
    </w:rPr>
  </w:style>
  <w:style w:type="paragraph" w:customStyle="1" w:styleId="111">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112">
    <w:name w:val="报告表内正文"/>
    <w:qFormat/>
    <w:uiPriority w:val="0"/>
    <w:pPr>
      <w:spacing w:line="360" w:lineRule="auto"/>
      <w:ind w:firstLine="1040" w:firstLineChars="200"/>
    </w:pPr>
    <w:rPr>
      <w:rFonts w:ascii="Calibri" w:hAnsi="Calibri" w:eastAsia="宋体" w:cs="Times New Roman"/>
      <w:sz w:val="24"/>
      <w:szCs w:val="22"/>
      <w:lang w:val="en-US" w:eastAsia="zh-CN" w:bidi="ar-SA"/>
    </w:rPr>
  </w:style>
  <w:style w:type="paragraph" w:customStyle="1" w:styleId="113">
    <w:name w:val="正文1"/>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114">
    <w:name w:val="..正文格式"/>
    <w:basedOn w:val="1"/>
    <w:qFormat/>
    <w:uiPriority w:val="0"/>
    <w:pPr>
      <w:spacing w:line="500" w:lineRule="exact"/>
      <w:ind w:firstLine="480" w:firstLineChars="200"/>
    </w:pPr>
    <w:rPr>
      <w:snapToGrid w:val="0"/>
      <w:kern w:val="0"/>
    </w:rPr>
  </w:style>
  <w:style w:type="character" w:customStyle="1" w:styleId="115">
    <w:name w:val="lable"/>
    <w:basedOn w:val="40"/>
    <w:qFormat/>
    <w:uiPriority w:val="0"/>
    <w:rPr>
      <w:sz w:val="19"/>
      <w:szCs w:val="19"/>
    </w:rPr>
  </w:style>
  <w:style w:type="character" w:customStyle="1" w:styleId="116">
    <w:name w:val="radio-btn"/>
    <w:basedOn w:val="40"/>
    <w:qFormat/>
    <w:uiPriority w:val="0"/>
    <w:rPr>
      <w:sz w:val="16"/>
      <w:szCs w:val="16"/>
    </w:rPr>
  </w:style>
  <w:style w:type="character" w:customStyle="1" w:styleId="117">
    <w:name w:val="radio-btn1"/>
    <w:basedOn w:val="40"/>
    <w:qFormat/>
    <w:uiPriority w:val="0"/>
    <w:rPr>
      <w:sz w:val="19"/>
      <w:szCs w:val="19"/>
    </w:rPr>
  </w:style>
  <w:style w:type="character" w:customStyle="1" w:styleId="118">
    <w:name w:val="radio-btn2"/>
    <w:basedOn w:val="40"/>
    <w:qFormat/>
    <w:uiPriority w:val="0"/>
    <w:rPr>
      <w:sz w:val="19"/>
      <w:szCs w:val="19"/>
    </w:rPr>
  </w:style>
  <w:style w:type="character" w:customStyle="1" w:styleId="119">
    <w:name w:val="lishishuju"/>
    <w:basedOn w:val="40"/>
    <w:qFormat/>
    <w:uiPriority w:val="0"/>
    <w:rPr>
      <w:b/>
      <w:bCs/>
      <w:color w:val="000052"/>
      <w:sz w:val="19"/>
      <w:szCs w:val="19"/>
      <w:bdr w:val="single" w:color="E3E3E3" w:sz="4" w:space="0"/>
    </w:rPr>
  </w:style>
  <w:style w:type="character" w:customStyle="1" w:styleId="120">
    <w:name w:val="cur1"/>
    <w:basedOn w:val="40"/>
    <w:qFormat/>
    <w:uiPriority w:val="0"/>
    <w:rPr>
      <w:color w:val="FFFFFF"/>
      <w:shd w:val="clear" w:color="auto" w:fill="2F6B98"/>
    </w:rPr>
  </w:style>
  <w:style w:type="character" w:customStyle="1" w:styleId="121">
    <w:name w:val="znspantitle"/>
    <w:basedOn w:val="40"/>
    <w:qFormat/>
    <w:uiPriority w:val="0"/>
    <w:rPr>
      <w:b/>
      <w:bCs/>
      <w:color w:val="333333"/>
    </w:rPr>
  </w:style>
  <w:style w:type="paragraph" w:customStyle="1" w:styleId="122">
    <w:name w:val="表格正文"/>
    <w:next w:val="8"/>
    <w:qFormat/>
    <w:uiPriority w:val="0"/>
    <w:pPr>
      <w:adjustRightInd w:val="0"/>
      <w:snapToGrid w:val="0"/>
      <w:spacing w:line="440" w:lineRule="exact"/>
      <w:jc w:val="center"/>
    </w:pPr>
    <w:rPr>
      <w:rFonts w:ascii="Times New Roman" w:hAnsi="Times New Roman" w:eastAsia="宋体" w:cs="Times New Roman"/>
      <w:color w:val="FF0000"/>
      <w:szCs w:val="21"/>
      <w:lang w:val="en-US" w:eastAsia="zh-CN" w:bidi="ar-SA"/>
    </w:rPr>
  </w:style>
  <w:style w:type="paragraph" w:customStyle="1" w:styleId="123">
    <w:name w:val="表格标题"/>
    <w:basedOn w:val="106"/>
    <w:qFormat/>
    <w:uiPriority w:val="0"/>
    <w:pPr>
      <w:tabs>
        <w:tab w:val="left" w:pos="5400"/>
      </w:tabs>
      <w:spacing w:before="156" w:beforeLines="50" w:after="156" w:afterLines="50" w:line="400" w:lineRule="exact"/>
      <w:jc w:val="center"/>
    </w:pPr>
    <w:rPr>
      <w:rFonts w:ascii="黑体" w:hAnsi="宋体" w:eastAsia="黑体"/>
      <w:color w:val="000000"/>
      <w:spacing w:val="4"/>
    </w:rPr>
  </w:style>
  <w:style w:type="paragraph" w:customStyle="1" w:styleId="124">
    <w:name w:val="11111"/>
    <w:basedOn w:val="1"/>
    <w:next w:val="1"/>
    <w:qFormat/>
    <w:uiPriority w:val="0"/>
    <w:pPr>
      <w:spacing w:line="360" w:lineRule="auto"/>
      <w:ind w:firstLine="200" w:firstLineChars="200"/>
    </w:pPr>
    <w:rPr>
      <w:rFonts w:hAnsi="宋体" w:cs="宋体"/>
    </w:rPr>
  </w:style>
  <w:style w:type="paragraph" w:customStyle="1" w:styleId="125">
    <w:name w:val="【表头】"/>
    <w:basedOn w:val="1"/>
    <w:qFormat/>
    <w:uiPriority w:val="0"/>
    <w:pPr>
      <w:spacing w:line="460" w:lineRule="exact"/>
      <w:jc w:val="center"/>
    </w:pPr>
    <w:rPr>
      <w:rFonts w:eastAsia="黑体"/>
      <w:sz w:val="24"/>
    </w:rPr>
  </w:style>
  <w:style w:type="paragraph" w:customStyle="1" w:styleId="126">
    <w:name w:val="表格题头"/>
    <w:basedOn w:val="1"/>
    <w:next w:val="1"/>
    <w:qFormat/>
    <w:uiPriority w:val="0"/>
    <w:pPr>
      <w:widowControl/>
      <w:autoSpaceDE w:val="0"/>
      <w:autoSpaceDN w:val="0"/>
      <w:spacing w:line="260" w:lineRule="exact"/>
      <w:jc w:val="center"/>
    </w:pPr>
    <w:rPr>
      <w:rFonts w:eastAsia="黑体"/>
      <w:color w:val="000000"/>
      <w:szCs w:val="20"/>
    </w:rPr>
  </w:style>
  <w:style w:type="paragraph" w:customStyle="1" w:styleId="127">
    <w:name w:val="【标题2】"/>
    <w:basedOn w:val="3"/>
    <w:qFormat/>
    <w:uiPriority w:val="0"/>
    <w:pPr>
      <w:keepNext w:val="0"/>
      <w:spacing w:before="120" w:after="120"/>
      <w:jc w:val="both"/>
    </w:pPr>
    <w:rPr>
      <w:szCs w:val="20"/>
    </w:rPr>
  </w:style>
  <w:style w:type="paragraph" w:customStyle="1" w:styleId="128">
    <w:name w:val="【标题3】"/>
    <w:basedOn w:val="4"/>
    <w:qFormat/>
    <w:uiPriority w:val="0"/>
    <w:pPr>
      <w:keepNext w:val="0"/>
      <w:spacing w:before="240" w:after="240" w:line="380" w:lineRule="exact"/>
    </w:pPr>
    <w:rPr>
      <w:sz w:val="30"/>
      <w:szCs w:val="20"/>
    </w:rPr>
  </w:style>
  <w:style w:type="paragraph" w:customStyle="1" w:styleId="129">
    <w:name w:val="Char Char Char Char1"/>
    <w:basedOn w:val="1"/>
    <w:qFormat/>
    <w:uiPriority w:val="0"/>
    <w:pPr>
      <w:tabs>
        <w:tab w:val="left" w:pos="1080"/>
      </w:tabs>
      <w:jc w:val="left"/>
    </w:pPr>
    <w:rPr>
      <w:rFonts w:ascii="Calibri" w:hAnsi="Calibri"/>
      <w:szCs w:val="21"/>
    </w:rPr>
  </w:style>
  <w:style w:type="paragraph" w:customStyle="1" w:styleId="130">
    <w:name w:val="正文缩进1"/>
    <w:basedOn w:val="1"/>
    <w:qFormat/>
    <w:uiPriority w:val="0"/>
    <w:pPr>
      <w:spacing w:line="520" w:lineRule="exact"/>
      <w:ind w:firstLine="624"/>
    </w:pPr>
    <w:rPr>
      <w:sz w:val="28"/>
    </w:rPr>
  </w:style>
  <w:style w:type="paragraph" w:customStyle="1" w:styleId="131">
    <w:name w:val="内容11"/>
    <w:basedOn w:val="18"/>
    <w:qFormat/>
    <w:uiPriority w:val="0"/>
    <w:pPr>
      <w:ind w:right="-92" w:rightChars="-44" w:firstLine="415" w:firstLineChars="179"/>
    </w:pPr>
    <w:rPr>
      <w:rFonts w:hAnsi="宋体"/>
      <w:spacing w:val="-4"/>
      <w:position w:val="6"/>
      <w:sz w:val="24"/>
      <w:szCs w:val="24"/>
    </w:rPr>
  </w:style>
  <w:style w:type="paragraph" w:customStyle="1" w:styleId="132">
    <w:name w:val="Char Char Char Char Char Char Char1"/>
    <w:basedOn w:val="1"/>
    <w:qFormat/>
    <w:uiPriority w:val="0"/>
    <w:pPr>
      <w:spacing w:line="360" w:lineRule="auto"/>
      <w:ind w:firstLine="200" w:firstLineChars="200"/>
    </w:pPr>
    <w:rPr>
      <w:rFonts w:ascii="宋体" w:hAnsi="宋体" w:cs="宋体"/>
      <w:sz w:val="24"/>
    </w:rPr>
  </w:style>
  <w:style w:type="paragraph" w:customStyle="1" w:styleId="133">
    <w:name w:val="四级标题"/>
    <w:basedOn w:val="20"/>
    <w:next w:val="1"/>
    <w:qFormat/>
    <w:uiPriority w:val="0"/>
    <w:pPr>
      <w:spacing w:line="480" w:lineRule="exact"/>
    </w:pPr>
    <w:rPr>
      <w:rFonts w:asciiTheme="minorHAnsi" w:hAnsiTheme="minorHAnsi" w:cstheme="minorBidi"/>
      <w:bCs/>
      <w:color w:val="0070C0"/>
      <w:szCs w:val="28"/>
    </w:rPr>
  </w:style>
  <w:style w:type="paragraph" w:customStyle="1" w:styleId="134">
    <w:name w:val="正文 + 首行缩进:  2 字符"/>
    <w:basedOn w:val="1"/>
    <w:qFormat/>
    <w:uiPriority w:val="99"/>
    <w:pPr>
      <w:spacing w:line="480" w:lineRule="exact"/>
      <w:ind w:firstLine="200" w:firstLineChars="200"/>
      <w:jc w:val="left"/>
    </w:pPr>
    <w:rPr>
      <w:snapToGrid w:val="0"/>
      <w:kern w:val="0"/>
      <w:sz w:val="24"/>
    </w:rPr>
  </w:style>
  <w:style w:type="paragraph" w:customStyle="1" w:styleId="135">
    <w:name w:val="正文111"/>
    <w:basedOn w:val="1"/>
    <w:qFormat/>
    <w:uiPriority w:val="0"/>
    <w:pPr>
      <w:spacing w:line="520" w:lineRule="exact"/>
      <w:ind w:firstLine="480" w:firstLineChars="200"/>
    </w:pPr>
  </w:style>
  <w:style w:type="paragraph" w:customStyle="1" w:styleId="136">
    <w:name w:val="正文（首行缩进两字） Char"/>
    <w:basedOn w:val="1"/>
    <w:qFormat/>
    <w:uiPriority w:val="0"/>
    <w:pPr>
      <w:widowControl/>
      <w:spacing w:line="360" w:lineRule="auto"/>
      <w:ind w:firstLine="420"/>
    </w:pPr>
    <w:rPr>
      <w:kern w:val="0"/>
      <w:sz w:val="24"/>
      <w:szCs w:val="20"/>
    </w:rPr>
  </w:style>
  <w:style w:type="paragraph" w:customStyle="1" w:styleId="137">
    <w:name w:val="我的正文"/>
    <w:basedOn w:val="1"/>
    <w:qFormat/>
    <w:uiPriority w:val="0"/>
    <w:pPr>
      <w:adjustRightInd w:val="0"/>
      <w:snapToGrid w:val="0"/>
      <w:spacing w:line="480" w:lineRule="exact"/>
      <w:ind w:firstLine="720" w:firstLineChars="200"/>
      <w:jc w:val="left"/>
    </w:pPr>
    <w:rPr>
      <w:bCs/>
      <w:kern w:val="0"/>
      <w:sz w:val="20"/>
      <w:szCs w:val="21"/>
    </w:rPr>
  </w:style>
  <w:style w:type="paragraph" w:customStyle="1" w:styleId="138">
    <w:name w:val="表头和图片"/>
    <w:basedOn w:val="18"/>
    <w:next w:val="1"/>
    <w:qFormat/>
    <w:uiPriority w:val="0"/>
    <w:pPr>
      <w:spacing w:line="480" w:lineRule="exact"/>
      <w:jc w:val="center"/>
    </w:pPr>
    <w:rPr>
      <w:rFonts w:ascii="Times New Roman" w:hAnsi="Times New Roman" w:eastAsia="黑体"/>
      <w:b/>
    </w:rPr>
  </w:style>
  <w:style w:type="paragraph" w:styleId="139">
    <w:name w:val="List Paragraph"/>
    <w:basedOn w:val="1"/>
    <w:qFormat/>
    <w:uiPriority w:val="0"/>
    <w:pPr>
      <w:ind w:firstLine="420" w:firstLineChars="200"/>
    </w:pPr>
  </w:style>
  <w:style w:type="paragraph" w:customStyle="1" w:styleId="140">
    <w:name w:val="我的表格"/>
    <w:basedOn w:val="1"/>
    <w:next w:val="1"/>
    <w:qFormat/>
    <w:uiPriority w:val="0"/>
    <w:pPr>
      <w:adjustRightInd w:val="0"/>
      <w:snapToGrid w:val="0"/>
      <w:spacing w:beforeLines="10" w:afterLines="10" w:line="240" w:lineRule="atLeast"/>
      <w:jc w:val="center"/>
    </w:pPr>
    <w:rPr>
      <w:kern w:val="0"/>
      <w:szCs w:val="20"/>
    </w:rPr>
  </w:style>
  <w:style w:type="paragraph" w:customStyle="1" w:styleId="141">
    <w:name w:val="正文 New New New New New New New New New New New New New New New New New New New New New New New New New New New New New New New New New New New New New New New New New New New New New New New New New New New New New New New New New New New"/>
    <w:qFormat/>
    <w:uiPriority w:val="0"/>
    <w:pPr>
      <w:widowControl w:val="0"/>
      <w:jc w:val="both"/>
    </w:pPr>
    <w:rPr>
      <w:rFonts w:ascii="Calibri" w:hAnsi="Calibri" w:eastAsia="Calibri" w:cs="Times New Roman"/>
      <w:kern w:val="2"/>
      <w:sz w:val="21"/>
      <w:szCs w:val="24"/>
      <w:lang w:val="en-US" w:eastAsia="zh-CN" w:bidi="ar-SA"/>
    </w:rPr>
  </w:style>
  <w:style w:type="table" w:customStyle="1" w:styleId="142">
    <w:name w:val="Table Normal"/>
    <w:semiHidden/>
    <w:unhideWhenUsed/>
    <w:qFormat/>
    <w:uiPriority w:val="0"/>
    <w:tblPr>
      <w:tblCellMar>
        <w:top w:w="0" w:type="dxa"/>
        <w:left w:w="0" w:type="dxa"/>
        <w:bottom w:w="0" w:type="dxa"/>
        <w:right w:w="0" w:type="dxa"/>
      </w:tblCellMar>
    </w:tblPr>
  </w:style>
  <w:style w:type="paragraph" w:customStyle="1" w:styleId="143">
    <w:name w:val="样式 正文11 + 首行缩进:  2 字符"/>
    <w:basedOn w:val="1"/>
    <w:qFormat/>
    <w:uiPriority w:val="0"/>
    <w:pPr>
      <w:spacing w:line="500" w:lineRule="exact"/>
      <w:ind w:firstLine="560" w:firstLineChars="200"/>
    </w:pPr>
    <w:rPr>
      <w:rFonts w:ascii="宋体" w:hAnsi="宋体" w:cs="宋体"/>
      <w:color w:val="FF0000"/>
      <w:sz w:val="28"/>
      <w:szCs w:val="20"/>
    </w:rPr>
  </w:style>
  <w:style w:type="paragraph" w:customStyle="1" w:styleId="144">
    <w:name w:val="表格中文字"/>
    <w:basedOn w:val="1"/>
    <w:qFormat/>
    <w:uiPriority w:val="0"/>
    <w:pPr>
      <w:adjustRightInd w:val="0"/>
      <w:snapToGrid w:val="0"/>
      <w:jc w:val="center"/>
    </w:pPr>
    <w:rPr>
      <w:kern w:val="18"/>
      <w:sz w:val="20"/>
      <w:szCs w:val="21"/>
    </w:rPr>
  </w:style>
  <w:style w:type="paragraph" w:customStyle="1" w:styleId="145">
    <w:name w:val="环评正文"/>
    <w:basedOn w:val="146"/>
    <w:qFormat/>
    <w:uiPriority w:val="0"/>
    <w:pPr>
      <w:ind w:firstLine="425" w:firstLineChars="177"/>
    </w:pPr>
    <w:rPr>
      <w:kern w:val="0"/>
    </w:rPr>
  </w:style>
  <w:style w:type="paragraph" w:customStyle="1" w:styleId="146">
    <w:name w:val="Char Char Char"/>
    <w:basedOn w:val="1"/>
    <w:next w:val="1"/>
    <w:qFormat/>
    <w:uiPriority w:val="0"/>
    <w:pPr>
      <w:spacing w:line="360" w:lineRule="auto"/>
      <w:ind w:firstLine="200" w:firstLineChars="200"/>
    </w:pPr>
    <w:rPr>
      <w:rFonts w:ascii="宋体" w:hAnsi="宋体" w:cs="宋体"/>
      <w:sz w:val="24"/>
    </w:rPr>
  </w:style>
  <w:style w:type="paragraph" w:customStyle="1" w:styleId="147">
    <w:name w:val="巴彦3"/>
    <w:basedOn w:val="4"/>
    <w:next w:val="148"/>
    <w:qFormat/>
    <w:uiPriority w:val="0"/>
    <w:rPr>
      <w:color w:val="0070C0"/>
    </w:rPr>
  </w:style>
  <w:style w:type="paragraph" w:customStyle="1" w:styleId="148">
    <w:name w:val="巴彦正文"/>
    <w:basedOn w:val="1"/>
    <w:qFormat/>
    <w:uiPriority w:val="0"/>
    <w:pPr>
      <w:spacing w:line="360" w:lineRule="auto"/>
      <w:ind w:firstLine="200" w:firstLineChars="200"/>
    </w:pPr>
    <w:rPr>
      <w:sz w:val="28"/>
    </w:rPr>
  </w:style>
  <w:style w:type="paragraph" w:customStyle="1" w:styleId="149">
    <w:name w:val="正文01"/>
    <w:basedOn w:val="1"/>
    <w:qFormat/>
    <w:uiPriority w:val="0"/>
    <w:pPr>
      <w:spacing w:before="60" w:line="460" w:lineRule="exact"/>
      <w:ind w:firstLine="200" w:firstLineChars="200"/>
    </w:pPr>
    <w:rPr>
      <w:snapToGrid w:val="0"/>
      <w:kern w:val="0"/>
    </w:rPr>
  </w:style>
  <w:style w:type="paragraph" w:customStyle="1" w:styleId="150">
    <w:name w:val="图表内容"/>
    <w:next w:val="14"/>
    <w:qFormat/>
    <w:uiPriority w:val="0"/>
    <w:pPr>
      <w:jc w:val="center"/>
    </w:pPr>
    <w:rPr>
      <w:rFonts w:ascii="Calibri" w:hAnsi="Calibri" w:eastAsia="宋体" w:cs="Times New Roman"/>
      <w:kern w:val="2"/>
      <w:sz w:val="21"/>
      <w:szCs w:val="21"/>
      <w:lang w:val="en-US" w:eastAsia="zh-CN" w:bidi="ar-SA"/>
    </w:rPr>
  </w:style>
  <w:style w:type="paragraph" w:customStyle="1" w:styleId="151">
    <w:name w:val="表、图名"/>
    <w:basedOn w:val="1"/>
    <w:qFormat/>
    <w:uiPriority w:val="0"/>
    <w:pPr>
      <w:adjustRightInd w:val="0"/>
      <w:snapToGrid w:val="0"/>
      <w:jc w:val="center"/>
    </w:pPr>
    <w:rPr>
      <w:rFonts w:ascii="黑体" w:hAnsi="黑体" w:eastAsia="黑体" w:cstheme="minorBidi"/>
      <w:szCs w:val="21"/>
    </w:rPr>
  </w:style>
  <w:style w:type="paragraph" w:customStyle="1" w:styleId="152">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153">
    <w:name w:val="九晟表格"/>
    <w:basedOn w:val="1"/>
    <w:qFormat/>
    <w:uiPriority w:val="0"/>
    <w:pPr>
      <w:jc w:val="center"/>
    </w:pPr>
    <w:rPr>
      <w:rFonts w:hAnsi="宋体"/>
      <w:szCs w:val="21"/>
    </w:rPr>
  </w:style>
  <w:style w:type="paragraph" w:customStyle="1" w:styleId="154">
    <w:name w:val="p0"/>
    <w:basedOn w:val="1"/>
    <w:qFormat/>
    <w:uiPriority w:val="0"/>
    <w:pPr>
      <w:widowControl/>
    </w:pPr>
    <w:rPr>
      <w:kern w:val="0"/>
      <w:szCs w:val="21"/>
    </w:rPr>
  </w:style>
  <w:style w:type="paragraph" w:customStyle="1" w:styleId="155">
    <w:name w:val="00"/>
    <w:basedOn w:val="1"/>
    <w:qFormat/>
    <w:uiPriority w:val="0"/>
    <w:pPr>
      <w:spacing w:line="520" w:lineRule="exact"/>
      <w:ind w:firstLine="200" w:firstLineChars="200"/>
    </w:pPr>
    <w:rPr>
      <w:rFonts w:ascii="宋体" w:hAnsi="宋体" w:cs="宋体"/>
      <w:sz w:val="24"/>
      <w:szCs w:val="20"/>
    </w:rPr>
  </w:style>
  <w:style w:type="paragraph" w:customStyle="1" w:styleId="156">
    <w:name w:val="C首行缩进正文"/>
    <w:basedOn w:val="72"/>
    <w:qFormat/>
    <w:uiPriority w:val="0"/>
    <w:pPr>
      <w:ind w:firstLine="200"/>
    </w:pPr>
    <w:rPr>
      <w:rFonts w:cs="宋体"/>
      <w:color w:val="000000"/>
      <w:sz w:val="21"/>
    </w:rPr>
  </w:style>
  <w:style w:type="paragraph" w:customStyle="1" w:styleId="157">
    <w:name w:val="表中文字"/>
    <w:basedOn w:val="1"/>
    <w:qFormat/>
    <w:uiPriority w:val="0"/>
    <w:pPr>
      <w:jc w:val="center"/>
    </w:pPr>
  </w:style>
  <w:style w:type="paragraph" w:customStyle="1" w:styleId="158">
    <w:name w:val="Char Char Char Char Char Char Char2"/>
    <w:basedOn w:val="1"/>
    <w:qFormat/>
    <w:uiPriority w:val="0"/>
    <w:pPr>
      <w:snapToGrid w:val="0"/>
      <w:spacing w:line="360" w:lineRule="auto"/>
      <w:ind w:firstLine="529" w:firstLineChars="200"/>
    </w:pPr>
  </w:style>
  <w:style w:type="paragraph" w:customStyle="1" w:styleId="159">
    <w:name w:val="【正文四号】"/>
    <w:basedOn w:val="1"/>
    <w:qFormat/>
    <w:uiPriority w:val="0"/>
    <w:pPr>
      <w:spacing w:line="360" w:lineRule="auto"/>
      <w:ind w:firstLine="200" w:firstLineChars="200"/>
    </w:pPr>
    <w:rPr>
      <w:kern w:val="0"/>
      <w:sz w:val="28"/>
    </w:rPr>
  </w:style>
  <w:style w:type="paragraph" w:customStyle="1" w:styleId="160">
    <w:name w:val="表头、图头"/>
    <w:basedOn w:val="1"/>
    <w:next w:val="1"/>
    <w:qFormat/>
    <w:uiPriority w:val="0"/>
    <w:pPr>
      <w:jc w:val="center"/>
    </w:pPr>
    <w:rPr>
      <w:rFonts w:eastAsia="黑体"/>
    </w:rPr>
  </w:style>
  <w:style w:type="paragraph" w:customStyle="1" w:styleId="161">
    <w:name w:val="正文内容"/>
    <w:basedOn w:val="1"/>
    <w:qFormat/>
    <w:uiPriority w:val="0"/>
    <w:pPr>
      <w:ind w:firstLine="200" w:firstLineChars="200"/>
    </w:pPr>
    <w:rPr>
      <w:sz w:val="28"/>
    </w:rPr>
  </w:style>
  <w:style w:type="paragraph" w:customStyle="1" w:styleId="162">
    <w:name w:val="图头、表头"/>
    <w:basedOn w:val="1"/>
    <w:next w:val="1"/>
    <w:qFormat/>
    <w:uiPriority w:val="0"/>
    <w:pPr>
      <w:autoSpaceDE w:val="0"/>
      <w:autoSpaceDN w:val="0"/>
      <w:spacing w:line="360" w:lineRule="auto"/>
      <w:jc w:val="center"/>
      <w:textAlignment w:val="baseline"/>
    </w:pPr>
    <w:rPr>
      <w:rFonts w:eastAsia="黑体"/>
      <w:szCs w:val="20"/>
    </w:rPr>
  </w:style>
  <w:style w:type="paragraph" w:customStyle="1" w:styleId="163">
    <w:name w:val="样式1"/>
    <w:basedOn w:val="1"/>
    <w:next w:val="1"/>
    <w:qFormat/>
    <w:uiPriority w:val="0"/>
    <w:rPr>
      <w:rFonts w:eastAsia="黑体"/>
      <w:szCs w:val="21"/>
    </w:rPr>
  </w:style>
  <w:style w:type="character" w:customStyle="1" w:styleId="164">
    <w:name w:val="font31"/>
    <w:basedOn w:val="40"/>
    <w:qFormat/>
    <w:uiPriority w:val="0"/>
    <w:rPr>
      <w:rFonts w:hint="eastAsia" w:ascii="宋体" w:hAnsi="宋体" w:eastAsia="宋体" w:cs="宋体"/>
      <w:color w:val="FF0000"/>
      <w:sz w:val="21"/>
      <w:szCs w:val="21"/>
      <w:u w:val="none"/>
    </w:rPr>
  </w:style>
  <w:style w:type="character" w:customStyle="1" w:styleId="165">
    <w:name w:val="font41"/>
    <w:basedOn w:val="40"/>
    <w:qFormat/>
    <w:uiPriority w:val="0"/>
    <w:rPr>
      <w:rFonts w:hint="default" w:ascii="Times New Roman" w:hAnsi="Times New Roman" w:eastAsia="宋体" w:cs="Times New Roman"/>
      <w:color w:val="FF0000"/>
      <w:sz w:val="21"/>
      <w:szCs w:val="21"/>
      <w:u w:val="none"/>
    </w:rPr>
  </w:style>
  <w:style w:type="character" w:customStyle="1" w:styleId="166">
    <w:name w:val="font21"/>
    <w:basedOn w:val="40"/>
    <w:qFormat/>
    <w:uiPriority w:val="0"/>
    <w:rPr>
      <w:rFonts w:hint="default" w:ascii="Times New Roman" w:hAnsi="Times New Roman" w:eastAsia="宋体" w:cs="Times New Roman"/>
      <w:color w:val="FF0000"/>
      <w:sz w:val="21"/>
      <w:szCs w:val="21"/>
      <w:u w:val="none"/>
      <w:vertAlign w:val="subscript"/>
    </w:rPr>
  </w:style>
  <w:style w:type="paragraph" w:customStyle="1" w:styleId="167">
    <w:name w:val="正文B"/>
    <w:basedOn w:val="163"/>
    <w:qFormat/>
    <w:uiPriority w:val="0"/>
    <w:pPr>
      <w:spacing w:line="360" w:lineRule="auto"/>
      <w:ind w:firstLine="200" w:firstLineChars="200"/>
    </w:pPr>
    <w:rPr>
      <w:rFonts w:ascii="宋体" w:hAnsi="宋体" w:eastAsia="宋体" w:cs="宋体"/>
      <w:sz w:val="24"/>
    </w:rPr>
  </w:style>
  <w:style w:type="character" w:customStyle="1" w:styleId="168">
    <w:name w:val="样式 小四 黑色 行距: 1.5 倍行距 Char"/>
    <w:link w:val="169"/>
    <w:qFormat/>
    <w:uiPriority w:val="0"/>
    <w:rPr>
      <w:color w:val="000000"/>
      <w:sz w:val="24"/>
    </w:rPr>
  </w:style>
  <w:style w:type="paragraph" w:customStyle="1" w:styleId="169">
    <w:name w:val="样式 小四 黑色 行距: 1.5 倍行距"/>
    <w:basedOn w:val="1"/>
    <w:link w:val="168"/>
    <w:qFormat/>
    <w:uiPriority w:val="0"/>
    <w:pPr>
      <w:spacing w:line="360" w:lineRule="auto"/>
      <w:ind w:firstLine="360" w:firstLineChars="150"/>
    </w:pPr>
    <w:rPr>
      <w:color w:val="000000"/>
      <w:sz w:val="24"/>
    </w:rPr>
  </w:style>
  <w:style w:type="paragraph" w:customStyle="1" w:styleId="170">
    <w:name w:val="天强正文"/>
    <w:basedOn w:val="1"/>
    <w:qFormat/>
    <w:uiPriority w:val="0"/>
    <w:pPr>
      <w:snapToGrid w:val="0"/>
      <w:spacing w:line="360" w:lineRule="auto"/>
      <w:ind w:firstLine="200" w:firstLineChars="200"/>
    </w:pPr>
    <w:rPr>
      <w:sz w:val="24"/>
    </w:rPr>
  </w:style>
  <w:style w:type="paragraph" w:customStyle="1" w:styleId="171">
    <w:name w:val="中文报告书样式"/>
    <w:basedOn w:val="1"/>
    <w:qFormat/>
    <w:uiPriority w:val="0"/>
    <w:pPr>
      <w:adjustRightInd w:val="0"/>
      <w:spacing w:line="480" w:lineRule="atLeast"/>
      <w:ind w:firstLine="482"/>
      <w:textAlignment w:val="baseline"/>
    </w:pPr>
    <w:rPr>
      <w:kern w:val="24"/>
      <w:szCs w:val="20"/>
    </w:rPr>
  </w:style>
  <w:style w:type="paragraph" w:customStyle="1" w:styleId="172">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73">
    <w:name w:val="1黑体头"/>
    <w:basedOn w:val="1"/>
    <w:qFormat/>
    <w:uiPriority w:val="0"/>
    <w:pPr>
      <w:spacing w:line="360" w:lineRule="auto"/>
      <w:ind w:firstLine="479" w:firstLineChars="199"/>
      <w:jc w:val="left"/>
      <w:textAlignment w:val="center"/>
    </w:pPr>
    <w:rPr>
      <w:b/>
      <w:sz w:val="24"/>
    </w:rPr>
  </w:style>
  <w:style w:type="paragraph" w:customStyle="1" w:styleId="174">
    <w:name w:val="表内"/>
    <w:basedOn w:val="1"/>
    <w:qFormat/>
    <w:uiPriority w:val="0"/>
    <w:pPr>
      <w:jc w:val="center"/>
    </w:pPr>
    <w:rPr>
      <w:kern w:val="0"/>
      <w:szCs w:val="20"/>
    </w:rPr>
  </w:style>
  <w:style w:type="paragraph" w:customStyle="1" w:styleId="175">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76">
    <w:name w:val="表格2"/>
    <w:basedOn w:val="1"/>
    <w:next w:val="1"/>
    <w:qFormat/>
    <w:uiPriority w:val="0"/>
    <w:pPr>
      <w:topLinePunct/>
      <w:autoSpaceDE w:val="0"/>
      <w:autoSpaceDN w:val="0"/>
      <w:adjustRightInd w:val="0"/>
      <w:jc w:val="center"/>
      <w:textAlignment w:val="baseline"/>
    </w:pPr>
    <w:rPr>
      <w:rFonts w:ascii="宋体" w:hAnsi="Impact"/>
      <w:kern w:val="24"/>
      <w:position w:val="-28"/>
      <w:szCs w:val="20"/>
    </w:rPr>
  </w:style>
  <w:style w:type="paragraph" w:customStyle="1" w:styleId="177">
    <w:name w:val="Table Text"/>
    <w:basedOn w:val="1"/>
    <w:autoRedefine/>
    <w:semiHidden/>
    <w:qFormat/>
    <w:uiPriority w:val="0"/>
    <w:rPr>
      <w:rFonts w:ascii="宋体" w:hAnsi="宋体" w:eastAsia="宋体" w:cs="宋体"/>
      <w:sz w:val="24"/>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theme" Target="theme/theme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jpe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wmf"/><Relationship Id="rId3" Type="http://schemas.openxmlformats.org/officeDocument/2006/relationships/footer" Target="footer1.xml"/><Relationship Id="rId29" Type="http://schemas.openxmlformats.org/officeDocument/2006/relationships/oleObject" Target="embeddings/oleObject6.bin"/><Relationship Id="rId28" Type="http://schemas.openxmlformats.org/officeDocument/2006/relationships/image" Target="media/image17.wmf"/><Relationship Id="rId27" Type="http://schemas.openxmlformats.org/officeDocument/2006/relationships/oleObject" Target="embeddings/oleObject5.bin"/><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wmf"/><Relationship Id="rId23" Type="http://schemas.openxmlformats.org/officeDocument/2006/relationships/oleObject" Target="embeddings/oleObject4.bin"/><Relationship Id="rId22" Type="http://schemas.openxmlformats.org/officeDocument/2006/relationships/image" Target="media/image13.wmf"/><Relationship Id="rId21" Type="http://schemas.openxmlformats.org/officeDocument/2006/relationships/oleObject" Target="embeddings/oleObject3.bin"/><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1.wmf"/><Relationship Id="rId17" Type="http://schemas.openxmlformats.org/officeDocument/2006/relationships/oleObject" Target="embeddings/oleObject1.bin"/><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134</Pages>
  <Words>33931</Words>
  <Characters>37277</Characters>
  <Lines>424</Lines>
  <Paragraphs>119</Paragraphs>
  <TotalTime>1</TotalTime>
  <ScaleCrop>false</ScaleCrop>
  <LinksUpToDate>false</LinksUpToDate>
  <CharactersWithSpaces>37470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2023-04-21T02:47:00Z</dcterms:created>
  <dc:creator>lhj</dc:creator>
  <cp:lastModifiedBy>小星星“⭐</cp:lastModifiedBy>
  <cp:lastPrinted>2023-05-31T05:30:00Z</cp:lastPrinted>
  <dcterms:modified xsi:type="dcterms:W3CDTF">2025-06-16T10:04:59Z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C0BA6E4A2C424440B70127B55DAE423F_13</vt:lpwstr>
  </property>
  <property fmtid="{D5CDD505-2E9C-101B-9397-08002B2CF9AE}" pid="4" name="KSOTemplateDocerSaveRecord">
    <vt:lpwstr>eyJoZGlkIjoiYWI4MjgyZjcwOWZlNDA1MzgxODY2YjU5Nzg2ZDEwYWMiLCJ1c2VySWQiOiIyODQ2ODkxNTEifQ==</vt:lpwstr>
  </property>
</Properties>
</file>